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903B7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同主要条款（参考）</w:t>
      </w:r>
    </w:p>
    <w:p w14:paraId="3124DD80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一、合同内容及金额：即成交供应商的磋商内容及其成交总金额。</w:t>
      </w:r>
    </w:p>
    <w:p w14:paraId="45BC4EC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二、产品技术规格、数量：即交付的产品技术规格、型号、数量与响应文件所指明的，或者与本合同所指明的产品技术规格及型号相一致。</w:t>
      </w:r>
    </w:p>
    <w:p w14:paraId="4023A65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三、知识产权：即成交供应商应保证采购人在使用成交货物时，不承担任何涉及知识产权法律诉讼的责任。</w:t>
      </w:r>
    </w:p>
    <w:p w14:paraId="44A232B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四、实施周期：</w:t>
      </w:r>
      <w:r>
        <w:rPr>
          <w:rFonts w:hint="eastAsia" w:ascii="宋体" w:hAnsi="宋体" w:eastAsia="宋体" w:cs="宋体"/>
          <w:bCs/>
          <w:sz w:val="24"/>
          <w:szCs w:val="24"/>
        </w:rPr>
        <w:t xml:space="preserve">本项目要求在 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bCs/>
          <w:sz w:val="24"/>
          <w:szCs w:val="24"/>
        </w:rPr>
        <w:t>日之前完成项目实施及工作网上线与省院平台对接，总实施周期不超过15天。</w:t>
      </w:r>
    </w:p>
    <w:p w14:paraId="45C3860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成交供应商未征得采购人同意和谅解而单方面延迟交货，将按违约终止合同。</w:t>
      </w:r>
    </w:p>
    <w:p w14:paraId="5DBF326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交供应商遇到可能妨碍按时交货和提供服务的情况，应当及时以书面形式通知采购人，说明原由、拖延的期限等；采购人、采购代理机构在收到通知后，尽快进行情况评估并确定是否通过修改合同，酌情延长交货时间或者通过协商加收误期赔偿金。</w:t>
      </w:r>
    </w:p>
    <w:p w14:paraId="58BFF861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sz w:val="24"/>
          <w:szCs w:val="24"/>
        </w:rPr>
        <w:t>项目实施地点：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采购人指定地点</w:t>
      </w:r>
    </w:p>
    <w:p w14:paraId="1C18F4A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六、结算方式：</w:t>
      </w:r>
    </w:p>
    <w:p w14:paraId="4A535A13">
      <w:pPr>
        <w:keepNext w:val="0"/>
        <w:keepLines w:val="0"/>
        <w:pageBreakBefore w:val="0"/>
        <w:widowControl w:val="0"/>
        <w:tabs>
          <w:tab w:val="left" w:pos="840"/>
        </w:tabs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40" w:firstLineChars="225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（1）付款方式：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</w:t>
      </w:r>
    </w:p>
    <w:p w14:paraId="3F95D6D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七、包装：包装必须适应货物特性和交通运输要求，以及国家有关标准或企业标准或合同要求。成交供应商应承担于包装、防护措施不妥引起的所有损失的责任和费用。</w:t>
      </w:r>
    </w:p>
    <w:p w14:paraId="54C5E19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八、运输：成交供应商可根据交货期、运输条件自行选择运输方式（另有规定的除外），承担一切运输费用。</w:t>
      </w:r>
    </w:p>
    <w:p w14:paraId="64117299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九、技术保障：成交供应商应随同货物提供相应的中文技术文件（包括产品合格证、装箱清单、操作手册、使用说明、检测报告、维护手册、服务指南等资料）,现场安装、调试、试运行技术保障服务。</w:t>
      </w:r>
    </w:p>
    <w:p w14:paraId="37E4448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十、人员培训：提供免费培训，人数、地点按采购人的要求约定。</w:t>
      </w:r>
    </w:p>
    <w:p w14:paraId="0832086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十一、质量保证</w:t>
      </w:r>
    </w:p>
    <w:p w14:paraId="325AE5F7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（1）成交供应商使用的原材料应提供清单，并在到货24小时内通知采购人代表检验核实（具体方式在合同中明确）。</w:t>
      </w:r>
    </w:p>
    <w:p w14:paraId="1C65331F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成交供应商应当保证所供货物的来源渠道正常，产品是全新的、未使用过的、且完全符合合同规定的质量、规格、技术指标等要求，并在质保期内、外应对由于产品设计、工艺或材料的缺陷而产生的质量问题负责。</w:t>
      </w:r>
    </w:p>
    <w:p w14:paraId="00026B97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（3）在质保期内，如果发现货物的质量、规格、技术指标等存在与合同中任何一项不符，采购人应在最短时间内，以书面形式向成交供应商提出索赔，同时通告采购代理机构。</w:t>
      </w:r>
    </w:p>
    <w:p w14:paraId="3A0B4109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（4）成交供应商应当明确售后服务公约，承诺免费维修服务条件。</w:t>
      </w:r>
    </w:p>
    <w:p w14:paraId="6B94DFD7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十二、采购项目执行内容需要调整时，经采购人同意后，可以对相应的原材料进行调整，并协商确定价格差额计算方法和负担办法。</w:t>
      </w:r>
    </w:p>
    <w:p w14:paraId="6BC0610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十三、产品设计变更</w:t>
      </w:r>
    </w:p>
    <w:p w14:paraId="24A0CC9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成交后，生产加工产品的设计、数量需要变更、调整时，应办理相应的变更、调整审批手续，并协商确定设计变更、数量调整后的产品价款计算方法和工期顺延等事宜。</w:t>
      </w:r>
    </w:p>
    <w:p w14:paraId="690D7E77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十四、检验：在交货前，制造商应当对产品的质量、规格、数量等进行准确而全面的检验，出具合格证并封装；产品送达指定地点后，成交供应商、采购人须在约定的时间和地点共同开箱检验。</w:t>
      </w:r>
    </w:p>
    <w:p w14:paraId="30119C4C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五、验收：通过检验的产品方可进行安装、调试、达到使用条件时由采购人负责组织验收，或者邀请有关专家、质检机构、采购代理机构共同进行验收,验收费用由成交供应商支付；验收合格须交接项目实施的全部资料，并填写政府采购项目验收报告单。验收须以合同、磋商文件及响应文件、澄清、及国家相应的标准、规范等为依据。</w:t>
      </w:r>
    </w:p>
    <w:p w14:paraId="667FB9A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十六、合同争议的解决：合同执行中发生争议的，当事人双方应协商解决，协商达不成一致时，可向人民法院提请诉讼。</w:t>
      </w:r>
    </w:p>
    <w:p w14:paraId="0A7C4E4E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十七、在发生不可抗力情况下的应对措施和解决办法。</w:t>
      </w:r>
    </w:p>
    <w:p w14:paraId="6FA6B21F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十八、合同一经签订，不得擅自变更、中止或者终止合同。对确需变更、调整或者中止、终止合同的，应按规定履行相应的手续。</w:t>
      </w:r>
    </w:p>
    <w:p w14:paraId="0F75BDCD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十九、违约责任：依据《中华人民共和国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民法典</w:t>
      </w:r>
      <w:r>
        <w:rPr>
          <w:rFonts w:hint="eastAsia" w:ascii="宋体" w:hAnsi="宋体" w:eastAsia="宋体" w:cs="宋体"/>
          <w:sz w:val="24"/>
          <w:szCs w:val="24"/>
        </w:rPr>
        <w:t>》、《中华人民共和国政府采购法》的相关条款和本合同约定，成交供应商未全面履行合同义务或者发生违约，采购人会同采购代理机构有权终止合同，依法向成交供应商进行经济索赔，并报请政府采购监督管理机关进行相应的行政处罚。采购人违约的，应当赔偿给成交供应商造成的经济损失。</w:t>
      </w:r>
    </w:p>
    <w:p w14:paraId="27B27D1E">
      <w:pPr>
        <w:keepNext w:val="0"/>
        <w:keepLines w:val="0"/>
        <w:pageBreakBefore w:val="0"/>
        <w:widowControl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二十、本合同一式肆份，甲方、乙方、采购代理机构各执壹份。签字盖章后生效，合同执行完毕自动失效（合同的服务承诺则长期有效）。</w:t>
      </w:r>
    </w:p>
    <w:p w14:paraId="4AF4DB2F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二十一、其它（在合同中具体明确）</w:t>
      </w:r>
    </w:p>
    <w:tbl>
      <w:tblPr>
        <w:tblStyle w:val="4"/>
        <w:tblW w:w="8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25BF9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0" w:type="dxa"/>
            <w:vAlign w:val="center"/>
          </w:tcPr>
          <w:p w14:paraId="2C53E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甲方</w:t>
            </w:r>
          </w:p>
        </w:tc>
        <w:tc>
          <w:tcPr>
            <w:tcW w:w="4441" w:type="dxa"/>
            <w:vAlign w:val="center"/>
          </w:tcPr>
          <w:p w14:paraId="5620F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乙方</w:t>
            </w:r>
          </w:p>
        </w:tc>
      </w:tr>
      <w:tr w14:paraId="7BDD3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0" w:type="dxa"/>
            <w:vAlign w:val="center"/>
          </w:tcPr>
          <w:p w14:paraId="5344D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（盖章）</w:t>
            </w:r>
          </w:p>
        </w:tc>
        <w:tc>
          <w:tcPr>
            <w:tcW w:w="4441" w:type="dxa"/>
            <w:vAlign w:val="center"/>
          </w:tcPr>
          <w:p w14:paraId="2410C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成交供应商全称（盖章）</w:t>
            </w:r>
          </w:p>
        </w:tc>
      </w:tr>
      <w:tr w14:paraId="41F50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0" w:type="dxa"/>
            <w:vAlign w:val="center"/>
          </w:tcPr>
          <w:p w14:paraId="5EA5C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地址：</w:t>
            </w:r>
          </w:p>
        </w:tc>
        <w:tc>
          <w:tcPr>
            <w:tcW w:w="4441" w:type="dxa"/>
            <w:vAlign w:val="center"/>
          </w:tcPr>
          <w:p w14:paraId="78B55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地址：</w:t>
            </w:r>
          </w:p>
        </w:tc>
      </w:tr>
      <w:tr w14:paraId="5719E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0" w:type="dxa"/>
            <w:vAlign w:val="center"/>
          </w:tcPr>
          <w:p w14:paraId="572348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邮编：</w:t>
            </w:r>
          </w:p>
        </w:tc>
        <w:tc>
          <w:tcPr>
            <w:tcW w:w="4441" w:type="dxa"/>
            <w:vAlign w:val="center"/>
          </w:tcPr>
          <w:p w14:paraId="74318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邮编：</w:t>
            </w:r>
          </w:p>
        </w:tc>
      </w:tr>
      <w:tr w14:paraId="0765D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0" w:type="dxa"/>
            <w:vMerge w:val="restart"/>
            <w:vAlign w:val="center"/>
          </w:tcPr>
          <w:p w14:paraId="10307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全权代表：（签字）</w:t>
            </w:r>
          </w:p>
        </w:tc>
        <w:tc>
          <w:tcPr>
            <w:tcW w:w="4441" w:type="dxa"/>
            <w:vAlign w:val="center"/>
          </w:tcPr>
          <w:p w14:paraId="40A54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法定代表人：</w:t>
            </w:r>
          </w:p>
        </w:tc>
      </w:tr>
      <w:tr w14:paraId="6B73B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0" w:type="dxa"/>
            <w:vMerge w:val="continue"/>
            <w:vAlign w:val="center"/>
          </w:tcPr>
          <w:p w14:paraId="6BF17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vAlign w:val="center"/>
          </w:tcPr>
          <w:p w14:paraId="0A3AF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被授权代表：（签字）</w:t>
            </w:r>
          </w:p>
        </w:tc>
      </w:tr>
      <w:tr w14:paraId="51E2F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0" w:type="dxa"/>
            <w:vAlign w:val="center"/>
          </w:tcPr>
          <w:p w14:paraId="50491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电话：</w:t>
            </w:r>
          </w:p>
        </w:tc>
        <w:tc>
          <w:tcPr>
            <w:tcW w:w="4441" w:type="dxa"/>
            <w:vAlign w:val="center"/>
          </w:tcPr>
          <w:p w14:paraId="04131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电话：</w:t>
            </w:r>
          </w:p>
        </w:tc>
      </w:tr>
      <w:tr w14:paraId="06573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0" w:type="dxa"/>
            <w:vAlign w:val="center"/>
          </w:tcPr>
          <w:p w14:paraId="3C65F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传真：</w:t>
            </w:r>
          </w:p>
        </w:tc>
        <w:tc>
          <w:tcPr>
            <w:tcW w:w="4441" w:type="dxa"/>
            <w:vAlign w:val="center"/>
          </w:tcPr>
          <w:p w14:paraId="6C8A2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传真：</w:t>
            </w:r>
          </w:p>
        </w:tc>
      </w:tr>
      <w:tr w14:paraId="38E9B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0" w:type="dxa"/>
            <w:vAlign w:val="center"/>
          </w:tcPr>
          <w:p w14:paraId="350FF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vAlign w:val="center"/>
          </w:tcPr>
          <w:p w14:paraId="170D7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开户银行：</w:t>
            </w:r>
          </w:p>
        </w:tc>
      </w:tr>
      <w:tr w14:paraId="7A57C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0" w:type="dxa"/>
            <w:vAlign w:val="center"/>
          </w:tcPr>
          <w:p w14:paraId="7FF76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vAlign w:val="center"/>
          </w:tcPr>
          <w:p w14:paraId="36141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账号:</w:t>
            </w:r>
          </w:p>
        </w:tc>
      </w:tr>
      <w:tr w14:paraId="6358E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440" w:type="dxa"/>
            <w:vAlign w:val="center"/>
          </w:tcPr>
          <w:p w14:paraId="4DBFD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日期：年月日</w:t>
            </w:r>
          </w:p>
        </w:tc>
        <w:tc>
          <w:tcPr>
            <w:tcW w:w="4441" w:type="dxa"/>
            <w:vAlign w:val="center"/>
          </w:tcPr>
          <w:p w14:paraId="7D7BD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日期：年月日</w:t>
            </w:r>
          </w:p>
        </w:tc>
      </w:tr>
    </w:tbl>
    <w:p w14:paraId="04C98862">
      <w:pPr>
        <w:pStyle w:val="2"/>
        <w:ind w:left="0" w:leftChars="0" w:firstLine="0" w:firstLineChars="0"/>
        <w:jc w:val="both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2464B"/>
    <w:rsid w:val="02A2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spacing w:after="120" w:line="240" w:lineRule="auto"/>
      <w:ind w:firstLine="420" w:firstLineChars="100"/>
    </w:pPr>
    <w:rPr>
      <w:color w:val="auto"/>
      <w:kern w:val="0"/>
      <w:sz w:val="20"/>
      <w:szCs w:val="20"/>
    </w:r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2026-06-04T08:41:00Z</dcterms:created>
  <dc:creator>小嘟嘟</dc:creator>
  <cp:lastModifiedBy>小嘟嘟</cp:lastModifiedBy>
  <dcterms:modified xsi:type="dcterms:W3CDTF">2026-06-04T08:45:50Z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2D5D66D0DDE04223951046EFC3F23EBB_11</vt:lpwstr>
  </property>
  <property fmtid="{D5CDD505-2E9C-101B-9397-08002B2CF9AE}" pid="4" name="KSOTemplateDocerSaveRecord">
    <vt:lpwstr>eyJoZGlkIjoiM2Q1MGVkMmRmMzM4NTlkMGNlNjBjYjcyYmE2MDQ1NjYiLCJ1c2VySWQiOiI5NDEyNTIzODUifQ==</vt:lpwstr>
  </property>
</Properties>
</file>