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版本号：ZCXG-ZB-202606820260806001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太华路街道办事处机关食堂外包项目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ZCXG-ZB-2026068</w:t>
      </w:r>
      <w:r>
        <w:br/>
      </w:r>
      <w:r>
        <w:br/>
      </w:r>
      <w:r>
        <w:br/>
      </w:r>
    </w:p>
    <w:p>
      <w:pPr>
        <w:pStyle w:val="null3"/>
        <w:jc w:val="center"/>
        <w:outlineLvl w:val="2"/>
      </w:pPr>
      <w:r>
        <w:rPr>
          <w:rFonts w:ascii="仿宋_GB2312" w:hAnsi="仿宋_GB2312" w:cs="仿宋_GB2312" w:eastAsia="仿宋_GB2312"/>
          <w:sz w:val="28"/>
          <w:b/>
        </w:rPr>
        <w:t>西安市新城区太华路街道办事处</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西安市新城区太华路街道办事处</w:t>
      </w:r>
      <w:r>
        <w:rPr>
          <w:rFonts w:ascii="仿宋_GB2312" w:hAnsi="仿宋_GB2312" w:cs="仿宋_GB2312" w:eastAsia="仿宋_GB2312"/>
        </w:rPr>
        <w:t>委托，拟对</w:t>
      </w:r>
      <w:r>
        <w:rPr>
          <w:rFonts w:ascii="仿宋_GB2312" w:hAnsi="仿宋_GB2312" w:cs="仿宋_GB2312" w:eastAsia="仿宋_GB2312"/>
        </w:rPr>
        <w:t>太华路街道办事处机关食堂外包项目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太华路街道办事处机关食堂外包项目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太华路街道办事处机关食堂外包项目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采购包1（太华路街道办事处机关食堂外包项目）：属于专门面向中小企业采购。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2、纳税证明：提供磋商截止日前六个月内已缴纳的至少一个月的纳税证明或完税证明，依法免税的单位应提供相关证明材料。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3、社保证明：提供磋商截止日前六个月内已缴存的至少一个月的社会保障资金缴存单据或社保机构开具的社会保险参保缴费情况证明，依法不需要缴纳社会保障资金的单位应提供相关证明材料。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6、身份证明：定代表人直接参加投标的，须提供法定代表人身份证明；法定代表人授权代表参加投标的，须提供法定代表人授权委托书。（被授权人提供近3个月内任意一个月的社保证明）</w:t>
      </w:r>
    </w:p>
    <w:p>
      <w:pPr>
        <w:pStyle w:val="null3"/>
      </w:pPr>
      <w:r>
        <w:rPr>
          <w:rFonts w:ascii="仿宋_GB2312" w:hAnsi="仿宋_GB2312" w:cs="仿宋_GB2312" w:eastAsia="仿宋_GB2312"/>
        </w:rPr>
        <w:t>7、资质证书：供应商须提供合法有效的《食品经营许可证》</w:t>
      </w:r>
    </w:p>
    <w:p>
      <w:pPr>
        <w:pStyle w:val="null3"/>
      </w:pPr>
      <w:r>
        <w:rPr>
          <w:rFonts w:ascii="仿宋_GB2312" w:hAnsi="仿宋_GB2312" w:cs="仿宋_GB2312" w:eastAsia="仿宋_GB2312"/>
        </w:rPr>
        <w:t>8、非联合体声明：本项目不接受联合体投标。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西安市新城区太华路街道办事处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西安市含元路253号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付思源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029-81048508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代理服务费收费标准：1、根据《国家发展改革委关于进一步放开建设项目专业服务价格的通知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（备注：项目名称+代理服务费） 2、成交单位在领取成交通知书前，须向采购代理机构一次性支付采购代理服务费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西安市新城区太华路街道办事处</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西安市新城区太华路街道办事处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西安市新城区太华路街道办事处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太华路街道办事处机关食堂外包项目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西安市新城区太华路街道办事处机关食堂外包项目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标的名称：西安市新城区太华路街道办事处机关食堂外包项目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太华路街道办事处机关食堂外包项目</w:t>
            </w:r>
            <w:r>
              <w:rPr>
                <w:rFonts w:ascii="仿宋_GB2312" w:hAnsi="仿宋_GB2312" w:cs="仿宋_GB2312" w:eastAsia="仿宋_GB2312"/>
                <w:sz w:val="24"/>
              </w:rPr>
              <w:t>对外进行承包，用餐人员约</w:t>
            </w:r>
            <w:r>
              <w:rPr>
                <w:rFonts w:ascii="仿宋_GB2312" w:hAnsi="仿宋_GB2312" w:cs="仿宋_GB2312" w:eastAsia="仿宋_GB2312"/>
                <w:sz w:val="24"/>
              </w:rPr>
              <w:t>90人次。</w:t>
            </w:r>
          </w:p>
          <w:p>
            <w:pPr>
              <w:pStyle w:val="null3"/>
              <w:jc w:val="both"/>
            </w:pPr>
            <w:r>
              <w:rPr>
                <w:rFonts w:ascii="仿宋_GB2312" w:hAnsi="仿宋_GB2312" w:cs="仿宋_GB2312" w:eastAsia="仿宋_GB2312"/>
                <w:sz w:val="24"/>
                <w:b/>
              </w:rPr>
              <w:t>二、采购内容</w:t>
            </w:r>
          </w:p>
          <w:p>
            <w:pPr>
              <w:pStyle w:val="null3"/>
              <w:jc w:val="both"/>
            </w:pPr>
            <w:r>
              <w:rPr>
                <w:rFonts w:ascii="仿宋_GB2312" w:hAnsi="仿宋_GB2312" w:cs="仿宋_GB2312" w:eastAsia="仿宋_GB2312"/>
                <w:sz w:val="24"/>
                <w:b/>
              </w:rPr>
              <w:t>（一）服务内容</w:t>
            </w:r>
          </w:p>
          <w:p>
            <w:pPr>
              <w:pStyle w:val="null3"/>
              <w:jc w:val="both"/>
            </w:pPr>
            <w:r>
              <w:rPr>
                <w:rFonts w:ascii="仿宋_GB2312" w:hAnsi="仿宋_GB2312" w:cs="仿宋_GB2312" w:eastAsia="仿宋_GB2312"/>
                <w:sz w:val="24"/>
              </w:rPr>
              <w:t>承担</w:t>
            </w:r>
            <w:r>
              <w:rPr>
                <w:rFonts w:ascii="仿宋_GB2312" w:hAnsi="仿宋_GB2312" w:cs="仿宋_GB2312" w:eastAsia="仿宋_GB2312"/>
                <w:sz w:val="24"/>
              </w:rPr>
              <w:t>太华路街道办事处机关食堂</w:t>
            </w:r>
            <w:r>
              <w:rPr>
                <w:rFonts w:ascii="仿宋_GB2312" w:hAnsi="仿宋_GB2312" w:cs="仿宋_GB2312" w:eastAsia="仿宋_GB2312"/>
                <w:sz w:val="24"/>
              </w:rPr>
              <w:t>原材料采购，服务人员配置，餐饮服务保障，保洁卫生，洗消用品、厨具小件及餐厅低值易耗品配备配置，消防、燃气、食品安全管理等餐饮服务相关工作。</w:t>
            </w:r>
          </w:p>
          <w:p>
            <w:pPr>
              <w:pStyle w:val="null3"/>
              <w:jc w:val="both"/>
            </w:pPr>
            <w:r>
              <w:rPr>
                <w:rFonts w:ascii="仿宋_GB2312" w:hAnsi="仿宋_GB2312" w:cs="仿宋_GB2312" w:eastAsia="仿宋_GB2312"/>
                <w:sz w:val="24"/>
                <w:b/>
              </w:rPr>
              <w:t>（二）供餐内容及要求</w:t>
            </w:r>
          </w:p>
          <w:p>
            <w:pPr>
              <w:pStyle w:val="null3"/>
              <w:jc w:val="both"/>
            </w:pPr>
            <w:r>
              <w:rPr>
                <w:rFonts w:ascii="仿宋_GB2312" w:hAnsi="仿宋_GB2312" w:cs="仿宋_GB2312" w:eastAsia="仿宋_GB2312"/>
                <w:sz w:val="24"/>
              </w:rPr>
              <w:t>1、供餐内容（按照确定的餐谱供餐）</w:t>
            </w:r>
          </w:p>
          <w:tbl>
            <w:tblPr>
              <w:tblBorders>
                <w:top w:val="none" w:color="000000" w:sz="4"/>
                <w:left w:val="none" w:color="000000" w:sz="4"/>
                <w:bottom w:val="none" w:color="000000" w:sz="4"/>
                <w:right w:val="none" w:color="000000" w:sz="4"/>
                <w:insideH w:val="none"/>
                <w:insideV w:val="none"/>
              </w:tblBorders>
            </w:tblPr>
            <w:tblGrid>
              <w:gridCol w:w="389"/>
              <w:gridCol w:w="2159"/>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餐别</w:t>
                  </w:r>
                </w:p>
              </w:tc>
              <w:tc>
                <w:tcPr>
                  <w:tcW w:type="dxa" w:w="2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供餐内容</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早餐</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每天供应小菜</w:t>
                  </w:r>
                  <w:r>
                    <w:rPr>
                      <w:rFonts w:ascii="仿宋_GB2312" w:hAnsi="仿宋_GB2312" w:cs="仿宋_GB2312" w:eastAsia="仿宋_GB2312"/>
                      <w:sz w:val="24"/>
                    </w:rPr>
                    <w:t>2种（凉热根据季节或需求搭配）、主食2种、粥品2种、粗粮1种、鸡蛋1个、酸奶1盒。</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午餐</w:t>
                  </w:r>
                </w:p>
              </w:tc>
              <w:tc>
                <w:tcPr>
                  <w:tcW w:type="dxa" w:w="2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四天双主食（餐标：一荤两素、米饭、面条、水果、汤），米饭一周要保证：一次鸡肉、一次鱼或虾、一次牛肉；一天风味小吃（餐标：风味小吃、炒米饭、水果），午餐水果除瓜类外其余每份水果须整个发放。</w:t>
                  </w:r>
                </w:p>
              </w:tc>
            </w:tr>
          </w:tbl>
          <w:p>
            <w:pPr>
              <w:pStyle w:val="null3"/>
              <w:jc w:val="both"/>
            </w:pPr>
            <w:r>
              <w:rPr>
                <w:rFonts w:ascii="仿宋_GB2312" w:hAnsi="仿宋_GB2312" w:cs="仿宋_GB2312" w:eastAsia="仿宋_GB2312"/>
                <w:sz w:val="24"/>
              </w:rPr>
              <w:t>2、供餐要求</w:t>
            </w:r>
          </w:p>
          <w:p>
            <w:pPr>
              <w:pStyle w:val="null3"/>
              <w:jc w:val="both"/>
            </w:pPr>
            <w:r>
              <w:rPr>
                <w:rFonts w:ascii="仿宋_GB2312" w:hAnsi="仿宋_GB2312" w:cs="仿宋_GB2312" w:eastAsia="仿宋_GB2312"/>
                <w:sz w:val="24"/>
              </w:rPr>
              <w:t>实行工作日早、中餐正常供餐保障，加班、休息日及法定节假日按采购人指定时间段做好保障供餐。</w:t>
            </w:r>
          </w:p>
          <w:p>
            <w:pPr>
              <w:pStyle w:val="null3"/>
              <w:jc w:val="both"/>
            </w:pPr>
            <w:r>
              <w:rPr>
                <w:rFonts w:ascii="仿宋_GB2312" w:hAnsi="仿宋_GB2312" w:cs="仿宋_GB2312" w:eastAsia="仿宋_GB2312"/>
                <w:sz w:val="24"/>
                <w:b/>
              </w:rPr>
              <w:t>（三）人员配备要求</w:t>
            </w:r>
          </w:p>
          <w:p>
            <w:pPr>
              <w:pStyle w:val="null3"/>
              <w:jc w:val="both"/>
            </w:pPr>
            <w:r>
              <w:rPr>
                <w:rFonts w:ascii="仿宋_GB2312" w:hAnsi="仿宋_GB2312" w:cs="仿宋_GB2312" w:eastAsia="仿宋_GB2312"/>
                <w:sz w:val="24"/>
              </w:rPr>
              <w:t>1、所有派遣员工必须身体健康，上岗前须通过当地卫生部门指定医院或防疫站的体检，并持有有效健康证，无证人员不得上岗。</w:t>
            </w:r>
          </w:p>
          <w:p>
            <w:pPr>
              <w:pStyle w:val="null3"/>
              <w:jc w:val="both"/>
            </w:pPr>
            <w:r>
              <w:rPr>
                <w:rFonts w:ascii="仿宋_GB2312" w:hAnsi="仿宋_GB2312" w:cs="仿宋_GB2312" w:eastAsia="仿宋_GB2312"/>
                <w:sz w:val="24"/>
              </w:rPr>
              <w:t>2、相关岗位人员须持有相应等级的职业资格证书和采购人合理要求的证件，并且技术水平过硬，能够保证服务质量。</w:t>
            </w:r>
          </w:p>
          <w:p>
            <w:pPr>
              <w:pStyle w:val="null3"/>
              <w:jc w:val="both"/>
            </w:pPr>
            <w:r>
              <w:rPr>
                <w:rFonts w:ascii="仿宋_GB2312" w:hAnsi="仿宋_GB2312" w:cs="仿宋_GB2312" w:eastAsia="仿宋_GB2312"/>
                <w:sz w:val="24"/>
              </w:rPr>
              <w:t>3、员工由供应商自行招聘，员工工资和社保、医保等福利待遇及意外保险等均由服务商承担。</w:t>
            </w:r>
          </w:p>
          <w:p>
            <w:pPr>
              <w:pStyle w:val="null3"/>
              <w:jc w:val="both"/>
            </w:pPr>
            <w:r>
              <w:rPr>
                <w:rFonts w:ascii="仿宋_GB2312" w:hAnsi="仿宋_GB2312" w:cs="仿宋_GB2312" w:eastAsia="仿宋_GB2312"/>
                <w:sz w:val="24"/>
              </w:rPr>
              <w:t>4、员工数量要求：厨师1名、面点师1名、帮厨1名。</w:t>
            </w:r>
          </w:p>
          <w:p>
            <w:pPr>
              <w:pStyle w:val="null3"/>
              <w:jc w:val="both"/>
            </w:pPr>
            <w:r>
              <w:rPr>
                <w:rFonts w:ascii="仿宋_GB2312" w:hAnsi="仿宋_GB2312" w:cs="仿宋_GB2312" w:eastAsia="仿宋_GB2312"/>
                <w:sz w:val="24"/>
                <w:b/>
              </w:rPr>
              <w:t>三、费用承担</w:t>
            </w:r>
          </w:p>
          <w:p>
            <w:pPr>
              <w:pStyle w:val="null3"/>
              <w:jc w:val="both"/>
            </w:pPr>
            <w:r>
              <w:rPr>
                <w:rFonts w:ascii="仿宋_GB2312" w:hAnsi="仿宋_GB2312" w:cs="仿宋_GB2312" w:eastAsia="仿宋_GB2312"/>
                <w:sz w:val="24"/>
                <w:b/>
              </w:rPr>
              <w:t>（一）采购人承担费用</w:t>
            </w:r>
          </w:p>
          <w:p>
            <w:pPr>
              <w:pStyle w:val="null3"/>
              <w:jc w:val="both"/>
            </w:pPr>
            <w:r>
              <w:rPr>
                <w:rFonts w:ascii="仿宋_GB2312" w:hAnsi="仿宋_GB2312" w:cs="仿宋_GB2312" w:eastAsia="仿宋_GB2312"/>
                <w:sz w:val="24"/>
              </w:rPr>
              <w:t>1、水、电、燃气费用由采购人承担。</w:t>
            </w:r>
          </w:p>
          <w:p>
            <w:pPr>
              <w:pStyle w:val="null3"/>
              <w:jc w:val="both"/>
            </w:pPr>
            <w:r>
              <w:rPr>
                <w:rFonts w:ascii="仿宋_GB2312" w:hAnsi="仿宋_GB2312" w:cs="仿宋_GB2312" w:eastAsia="仿宋_GB2312"/>
                <w:sz w:val="24"/>
              </w:rPr>
              <w:t>2、餐厅操作间及公共区域基础设施、餐厨设备维修更新费用由采购人承担。</w:t>
            </w:r>
          </w:p>
          <w:p>
            <w:pPr>
              <w:pStyle w:val="null3"/>
              <w:jc w:val="both"/>
            </w:pPr>
            <w:r>
              <w:rPr>
                <w:rFonts w:ascii="仿宋_GB2312" w:hAnsi="仿宋_GB2312" w:cs="仿宋_GB2312" w:eastAsia="仿宋_GB2312"/>
                <w:sz w:val="24"/>
              </w:rPr>
              <w:t>3、采购人要求制作的餐厅宣传展板及标识等所产生的费用由采购人承担。</w:t>
            </w:r>
          </w:p>
          <w:p>
            <w:pPr>
              <w:pStyle w:val="null3"/>
              <w:jc w:val="both"/>
            </w:pPr>
            <w:r>
              <w:rPr>
                <w:rFonts w:ascii="仿宋_GB2312" w:hAnsi="仿宋_GB2312" w:cs="仿宋_GB2312" w:eastAsia="仿宋_GB2312"/>
                <w:sz w:val="24"/>
                <w:b/>
              </w:rPr>
              <w:t>（二）服务商承担费用</w:t>
            </w:r>
          </w:p>
          <w:p>
            <w:pPr>
              <w:pStyle w:val="null3"/>
              <w:jc w:val="both"/>
            </w:pPr>
            <w:r>
              <w:rPr>
                <w:rFonts w:ascii="仿宋_GB2312" w:hAnsi="仿宋_GB2312" w:cs="仿宋_GB2312" w:eastAsia="仿宋_GB2312"/>
                <w:sz w:val="24"/>
              </w:rPr>
              <w:t>1、服务商承担餐厅米、面、油、肉类、冻货、蔬菜及调味品等原材料采购费用。</w:t>
            </w:r>
          </w:p>
          <w:p>
            <w:pPr>
              <w:pStyle w:val="null3"/>
              <w:jc w:val="both"/>
            </w:pPr>
            <w:r>
              <w:rPr>
                <w:rFonts w:ascii="仿宋_GB2312" w:hAnsi="仿宋_GB2312" w:cs="仿宋_GB2312" w:eastAsia="仿宋_GB2312"/>
                <w:sz w:val="24"/>
              </w:rPr>
              <w:t>2、采购人免费提供现有餐厨设备，洗消耗材、餐具小件及低值易耗品配备由服务商承担。</w:t>
            </w:r>
          </w:p>
          <w:p>
            <w:pPr>
              <w:pStyle w:val="null3"/>
              <w:jc w:val="both"/>
            </w:pPr>
            <w:r>
              <w:rPr>
                <w:rFonts w:ascii="仿宋_GB2312" w:hAnsi="仿宋_GB2312" w:cs="仿宋_GB2312" w:eastAsia="仿宋_GB2312"/>
                <w:sz w:val="24"/>
              </w:rPr>
              <w:t>3、餐厅餐卡网络设备系统维修维护费用由采购人承担。</w:t>
            </w:r>
          </w:p>
          <w:p>
            <w:pPr>
              <w:pStyle w:val="null3"/>
              <w:jc w:val="both"/>
            </w:pPr>
            <w:r>
              <w:rPr>
                <w:rFonts w:ascii="仿宋_GB2312" w:hAnsi="仿宋_GB2312" w:cs="仿宋_GB2312" w:eastAsia="仿宋_GB2312"/>
                <w:sz w:val="24"/>
                <w:b/>
              </w:rPr>
              <w:t>四、服务质量要求</w:t>
            </w:r>
          </w:p>
          <w:p>
            <w:pPr>
              <w:pStyle w:val="null3"/>
              <w:jc w:val="both"/>
            </w:pPr>
            <w:r>
              <w:rPr>
                <w:rFonts w:ascii="仿宋_GB2312" w:hAnsi="仿宋_GB2312" w:cs="仿宋_GB2312" w:eastAsia="仿宋_GB2312"/>
                <w:sz w:val="24"/>
                <w:b/>
              </w:rPr>
              <w:t>（一）基本要求</w:t>
            </w:r>
          </w:p>
          <w:p>
            <w:pPr>
              <w:pStyle w:val="null3"/>
              <w:jc w:val="both"/>
            </w:pPr>
            <w:r>
              <w:rPr>
                <w:rFonts w:ascii="仿宋_GB2312" w:hAnsi="仿宋_GB2312" w:cs="仿宋_GB2312" w:eastAsia="仿宋_GB2312"/>
                <w:sz w:val="24"/>
              </w:rPr>
              <w:t>1、服务商在业务履行过程中要服从采购人对生产场地、工作及生活环境的安排和要求，严格执行采购人相关管理规定。操作间、餐厅、库房等区域基础设施改造及公共区域宣传广告等必报备采购人审核同意。</w:t>
            </w:r>
          </w:p>
          <w:p>
            <w:pPr>
              <w:pStyle w:val="null3"/>
              <w:jc w:val="both"/>
            </w:pPr>
            <w:r>
              <w:rPr>
                <w:rFonts w:ascii="仿宋_GB2312" w:hAnsi="仿宋_GB2312" w:cs="仿宋_GB2312" w:eastAsia="仿宋_GB2312"/>
                <w:sz w:val="24"/>
              </w:rPr>
              <w:t>2、采购蔬菜每次必须进行农药残留检测，检测环节由服务商负责。不得采购“三无”产品、加工霉烂变质商品或不卫生的食品。不得销售未向采购人报备的食品和不符合食用标准的食品。所使用低值易耗品必须符合国家质量标准。</w:t>
            </w:r>
          </w:p>
          <w:p>
            <w:pPr>
              <w:pStyle w:val="null3"/>
              <w:jc w:val="both"/>
            </w:pPr>
            <w:r>
              <w:rPr>
                <w:rFonts w:ascii="仿宋_GB2312" w:hAnsi="仿宋_GB2312" w:cs="仿宋_GB2312" w:eastAsia="仿宋_GB2312"/>
                <w:sz w:val="24"/>
              </w:rPr>
              <w:t>3、服务商必须向采购人每月提供运行成本明细,报采购人进行核算备案。采购人成本核算小组负责市场巡价，服务商食材采购价格不得高于大型超市团购价格（含运送费）。</w:t>
            </w:r>
          </w:p>
          <w:p>
            <w:pPr>
              <w:pStyle w:val="null3"/>
              <w:jc w:val="both"/>
            </w:pPr>
            <w:r>
              <w:rPr>
                <w:rFonts w:ascii="仿宋_GB2312" w:hAnsi="仿宋_GB2312" w:cs="仿宋_GB2312" w:eastAsia="仿宋_GB2312"/>
                <w:sz w:val="24"/>
              </w:rPr>
              <w:t>4、服务商承担服务期内消防安全、燃气安全、食品卫生安全等全部安全生产责任。建立并落实安全主体责任长效机制，按照行业部门管理要求，完善制度，建立台账，落实全流程存储、留样、消毒、培训等管控要求。</w:t>
            </w:r>
          </w:p>
          <w:p>
            <w:pPr>
              <w:pStyle w:val="null3"/>
              <w:jc w:val="both"/>
            </w:pPr>
            <w:r>
              <w:rPr>
                <w:rFonts w:ascii="仿宋_GB2312" w:hAnsi="仿宋_GB2312" w:cs="仿宋_GB2312" w:eastAsia="仿宋_GB2312"/>
                <w:sz w:val="24"/>
              </w:rPr>
              <w:t>5、服务商须向采购人提供供餐服务保障方案。服务商组织实施餐厅病媒防治工作，符合卫生要求。服务商须按规定要求和操作规程对各种设施设备进行操作，做好排油烟系统的日常维护保养,维护保养台账须报采购人备案留存。</w:t>
            </w:r>
          </w:p>
          <w:p>
            <w:pPr>
              <w:pStyle w:val="null3"/>
              <w:jc w:val="both"/>
            </w:pPr>
            <w:r>
              <w:rPr>
                <w:rFonts w:ascii="仿宋_GB2312" w:hAnsi="仿宋_GB2312" w:cs="仿宋_GB2312" w:eastAsia="仿宋_GB2312"/>
                <w:sz w:val="24"/>
              </w:rPr>
              <w:t>6、服务商应严格遵守并执行采购人制定的考核管理等制度。服务商派遣人员每年进行一次健康体检，保证工作人员身体健康、无传染病，符合食品卫生从业人员标准，持有效健康证上岗。</w:t>
            </w:r>
          </w:p>
          <w:p>
            <w:pPr>
              <w:pStyle w:val="null3"/>
              <w:jc w:val="both"/>
            </w:pPr>
            <w:r>
              <w:rPr>
                <w:rFonts w:ascii="仿宋_GB2312" w:hAnsi="仿宋_GB2312" w:cs="仿宋_GB2312" w:eastAsia="仿宋_GB2312"/>
                <w:sz w:val="24"/>
                <w:b/>
              </w:rPr>
              <w:t>（二）其他要求</w:t>
            </w:r>
          </w:p>
          <w:p>
            <w:pPr>
              <w:pStyle w:val="null3"/>
              <w:jc w:val="both"/>
            </w:pPr>
            <w:r>
              <w:rPr>
                <w:rFonts w:ascii="仿宋_GB2312" w:hAnsi="仿宋_GB2312" w:cs="仿宋_GB2312" w:eastAsia="仿宋_GB2312"/>
                <w:sz w:val="24"/>
              </w:rPr>
              <w:t>1、采购原材料由服务商自行检查验收登记，采购人进行监督及抽检。服务商须确保所采购原材料可溯源追查，不得采购劣质或过期产品。</w:t>
            </w:r>
          </w:p>
          <w:p>
            <w:pPr>
              <w:pStyle w:val="null3"/>
              <w:jc w:val="both"/>
            </w:pPr>
            <w:r>
              <w:rPr>
                <w:rFonts w:ascii="仿宋_GB2312" w:hAnsi="仿宋_GB2312" w:cs="仿宋_GB2312" w:eastAsia="仿宋_GB2312"/>
                <w:sz w:val="24"/>
              </w:rPr>
              <w:t>2、采购人有权对服务商进行成本核算，服务商须提供相应的票据、出入库记录、登记簿等，并保证其提供资料的真实性和完整性。</w:t>
            </w:r>
          </w:p>
          <w:p>
            <w:pPr>
              <w:pStyle w:val="null3"/>
              <w:jc w:val="both"/>
            </w:pPr>
            <w:r>
              <w:rPr>
                <w:rFonts w:ascii="仿宋_GB2312" w:hAnsi="仿宋_GB2312" w:cs="仿宋_GB2312" w:eastAsia="仿宋_GB2312"/>
                <w:sz w:val="24"/>
              </w:rPr>
              <w:t>3、服务商对采购人现有餐厨设备及餐具用品需要更换或报废时，须报采购人许可。合同期满或服务商提前退出时，设备交接必须保持完好率100%。</w:t>
            </w:r>
          </w:p>
          <w:p>
            <w:pPr>
              <w:pStyle w:val="null3"/>
              <w:jc w:val="both"/>
            </w:pPr>
            <w:r>
              <w:rPr>
                <w:rFonts w:ascii="仿宋_GB2312" w:hAnsi="仿宋_GB2312" w:cs="仿宋_GB2312" w:eastAsia="仿宋_GB2312"/>
                <w:sz w:val="24"/>
              </w:rPr>
              <w:t>4、服务商应严格遵守国家有关安全生产的法律法规，定期进行燃气、消防设施安全检查，发现隐患及时上报，配合采购人及时处理各类隐患。</w:t>
            </w:r>
          </w:p>
          <w:p>
            <w:pPr>
              <w:pStyle w:val="null3"/>
              <w:jc w:val="both"/>
            </w:pPr>
            <w:r>
              <w:rPr>
                <w:rFonts w:ascii="仿宋_GB2312" w:hAnsi="仿宋_GB2312" w:cs="仿宋_GB2312" w:eastAsia="仿宋_GB2312"/>
                <w:sz w:val="24"/>
              </w:rPr>
              <w:t>5、服务商须加强安全生产宣传教育，建立健全各项安全生产管理机制和安全生产管理制度，教育所属员工严格遵守安全操作规程，承担所有安全事故及安全生产责任。</w:t>
            </w:r>
          </w:p>
          <w:p>
            <w:pPr>
              <w:pStyle w:val="null3"/>
              <w:jc w:val="both"/>
            </w:pPr>
            <w:r>
              <w:rPr>
                <w:rFonts w:ascii="仿宋_GB2312" w:hAnsi="仿宋_GB2312" w:cs="仿宋_GB2312" w:eastAsia="仿宋_GB2312"/>
                <w:sz w:val="24"/>
              </w:rPr>
              <w:t>6、服务商须制订生产安全事故应急救援预案及紧急事故处置应急预案，定期对员工进行培训教育，适时组织应急处置演练活动，增强全员安全生产意识。服务商员工因工或非因工发生人身伤、残、亡或财产损失的，由服务商承担。</w:t>
            </w:r>
          </w:p>
          <w:p>
            <w:pPr>
              <w:pStyle w:val="null3"/>
              <w:jc w:val="both"/>
            </w:pPr>
            <w:r>
              <w:rPr>
                <w:rFonts w:ascii="仿宋_GB2312" w:hAnsi="仿宋_GB2312" w:cs="仿宋_GB2312" w:eastAsia="仿宋_GB2312"/>
                <w:sz w:val="24"/>
                <w:b/>
              </w:rPr>
              <w:t>五、商务要求</w:t>
            </w:r>
          </w:p>
          <w:p>
            <w:pPr>
              <w:pStyle w:val="null3"/>
              <w:jc w:val="both"/>
            </w:pPr>
            <w:r>
              <w:rPr>
                <w:rFonts w:ascii="仿宋_GB2312" w:hAnsi="仿宋_GB2312" w:cs="仿宋_GB2312" w:eastAsia="仿宋_GB2312"/>
                <w:sz w:val="24"/>
                <w:b/>
              </w:rPr>
              <w:t>（一）服务期</w:t>
            </w:r>
          </w:p>
          <w:p>
            <w:pPr>
              <w:pStyle w:val="null3"/>
              <w:jc w:val="both"/>
            </w:pPr>
            <w:r>
              <w:rPr>
                <w:rFonts w:ascii="仿宋_GB2312" w:hAnsi="仿宋_GB2312" w:cs="仿宋_GB2312" w:eastAsia="仿宋_GB2312"/>
                <w:sz w:val="24"/>
              </w:rPr>
              <w:t>一年（合同一年一签，可续签两年。续签条件为：年度预算足额保障；购买内容相对固定、业务连续性强、服务价格稳定；未发生重大事故；履约服务符合采购人要求并且满意度达标。）</w:t>
            </w:r>
          </w:p>
          <w:p>
            <w:pPr>
              <w:pStyle w:val="null3"/>
              <w:jc w:val="both"/>
            </w:pPr>
            <w:r>
              <w:rPr>
                <w:rFonts w:ascii="仿宋_GB2312" w:hAnsi="仿宋_GB2312" w:cs="仿宋_GB2312" w:eastAsia="仿宋_GB2312"/>
                <w:sz w:val="24"/>
                <w:b/>
              </w:rPr>
              <w:t>（二）服务费用结算方式</w:t>
            </w:r>
          </w:p>
          <w:p>
            <w:pPr>
              <w:pStyle w:val="null3"/>
            </w:pPr>
            <w:r>
              <w:rPr>
                <w:rFonts w:ascii="仿宋_GB2312" w:hAnsi="仿宋_GB2312" w:cs="仿宋_GB2312" w:eastAsia="仿宋_GB2312"/>
                <w:sz w:val="24"/>
              </w:rPr>
              <w:t>按季度据实结算，采购人每季度以转账方式结清上季度费用，如遇公休或节假日，转账期顺延。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一年（合同一年一签，可续签两年。续签条件为：年度预算足额保障；购买内容相对固定、业务连续性强、服务价格稳定；未发生重大事故；履约服务符合采购人要求并且满意度达标。）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由采购人与成交单位签订合同前协商约定。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进度款，按季度据实结算，采购人每季度以转账方式结清上季度费用，如遇公休或节假日，转账期顺延，，达到付款条件起30个工作日内，支付合同总金额的100.0%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2、如乙方所提供的服务内容出现瑕疵及质量问题，或乙方未按合同要求提供服务或服务不能满足合同要求，甲方有权依据《中华人民共和国民法典》有关条款及合同约定终止合同，并要求服务商承担违约责任。 3、甲乙双方应遵守合同并执行合同中的各项规定，保证合同的正常履行。 4、如碰到不可抗力因素造成无法按照原计划提供服务的，由甲乙双方协商解决。 解决争议的方法：合同执行中发生争议的，当事人双方应协商解决，协商达不成一致时，可向西安仲裁委员会申请仲裁。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1、服务期限：一年（合同一年一签，可续签两年。续签条件为：年度预算足额保障；购买内容相对固定、业务连续性强、服务价格稳定；未发生重大事故；履约服务符合采购人要求并且满意度达标。）。 2、服务地点：采购人指定地点。 3、付款方式：按季度据实结算，采购人每季度以转账方式结清上季度费用，如遇公休或节假日，转账期顺延（付款方式以此条描述为准）。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提供具有财务审计资质单位出具的2025年度完整的财务报告（成⽴时间⾄提交⽂件截⽌时间不⾜⼀年的可提供成⽴后任意时段的资产负债表）或开标前六个⽉内其基本账⼾银⾏出具的资信证明和开⼾许可证；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提供磋商截止日前六个月内已缴存的至少一个月的社会保障资金缴存单据或社保机构开具的社会保险参保缴费情况证明，依法不需要缴纳社会保障资金的单位应提供相关证明材料。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定代表人直接参加投标的，须提供法定代表人身份证明；法定代表人授权代表参加投标的，须提供法定代表人授权委托书。（被授权人提供近3个月内任意一个月的社保证明）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符合磋商文件的格式要求。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投标文件内容</w:t>
            </w:r>
          </w:p>
        </w:tc>
        <w:tc>
          <w:tcPr>
            <w:tcW w:type="dxa" w:w="3322"/>
          </w:tcPr>
          <w:p>
            <w:pPr>
              <w:pStyle w:val="null3"/>
            </w:pPr>
            <w:r>
              <w:rPr>
                <w:rFonts w:ascii="仿宋_GB2312" w:hAnsi="仿宋_GB2312" w:cs="仿宋_GB2312" w:eastAsia="仿宋_GB2312"/>
              </w:rPr>
              <w:t xml:space="preserve"> 符合磋商文件的要求。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一、评审内容：针对本项目的服务方案：1.项目运营管理方案；2.职工用餐配送服务定位与服务标准方案；3.日常餐食制作、配送、保障营运方案；4.餐前筹备、餐中配送、餐后收尾全流程工作流程。二、评审标准 1、完整性：方案须全面，对评审内容中的各项要求有详细描述及说明；2、可实施性：切合本项目实际情况，实施步骤清晰、合理；3、针对性：方案能够紧扣项目实际情况，内容科学合理； 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一、评审内容：针对本项目的食材原料管理方案：1.食材采购来源管控方案；2.食材运输保鲜与安全管控方案；3.食材入库、在库、使用前检验检查管控方案；4.食材分类贮存、保管、周转计划方案。二、评审标准 1、完整性：方案须全面，对评审内容中的各项要求有详细描述及说明；2、可实施性：切合本项目实际情况，实施步骤清晰、合理；3、针对性：方案能够紧扣项目实际情况，内容科学合理；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卫生安全管理方案</w:t>
            </w:r>
          </w:p>
        </w:tc>
        <w:tc>
          <w:tcPr>
            <w:tcW w:type="dxa" w:w="2492"/>
          </w:tcPr>
          <w:p>
            <w:pPr>
              <w:pStyle w:val="null3"/>
            </w:pPr>
            <w:r>
              <w:rPr>
                <w:rFonts w:ascii="仿宋_GB2312" w:hAnsi="仿宋_GB2312" w:cs="仿宋_GB2312" w:eastAsia="仿宋_GB2312"/>
              </w:rPr>
              <w:t>一、评审内容：针对本项目卫生安全管理方案：1.食品、工作人员、场地环境卫生全维度管理方案；2.食材分类存放、储存保管卫生管理制度；3.餐厨垃圾、废弃物规范收集、清运、处置管理方案。二、评审标准 1、完整性：方案须全面，对评审内容中的各项要求有详细描述及说明；2、可实施性：切合本项目实际情况，实施步骤清晰、合理；3、针对性：方案能够紧扣项目实际情况，内容科学合理； 三、赋分标准(满分9分) 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特殊应急情况方案</w:t>
            </w:r>
          </w:p>
        </w:tc>
        <w:tc>
          <w:tcPr>
            <w:tcW w:type="dxa" w:w="2492"/>
          </w:tcPr>
          <w:p>
            <w:pPr>
              <w:pStyle w:val="null3"/>
            </w:pPr>
            <w:r>
              <w:rPr>
                <w:rFonts w:ascii="仿宋_GB2312" w:hAnsi="仿宋_GB2312" w:cs="仿宋_GB2312" w:eastAsia="仿宋_GB2312"/>
              </w:rPr>
              <w:t>一、评审内容：1.突发应急事件预判与分级（如突发食品安全问题、配送延误、餐品污染、断供、设备故障、突发人员短缺、极端天气配送异常等）；2.应急响应流程与责任分工；3.应急处置具体措施（含现场处置、紧急补餐、临时供餐替代方案、人员支援、加急配送等）；4.应急事件后续复盘、台账记录与长效优化改进措施。。二、评审标准 1、完整性：方案须全面，对评审内容中的各项要求有详细描述及说明；2、可实施性：切合本项目实际情况，实施步骤清晰、合理；3、针对性：方案能够紧扣项目实际情况，内容科学合理； 三、赋分标准(满分6分) 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一、评审内容：针对本项目的特点和需求等内容提供增值服务承诺（例如：餐品优化升级、免费加餐调剂、特殊餐食定制、配送器具更换清洗、餐前餐后配套保障、食品安全科普、应急供餐保障等增值服务）。每提供一项承诺，得2分，满分10分。承诺书格式自拟，无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餐饮服务能力</w:t>
            </w:r>
          </w:p>
        </w:tc>
        <w:tc>
          <w:tcPr>
            <w:tcW w:type="dxa" w:w="2492"/>
          </w:tcPr>
          <w:p>
            <w:pPr>
              <w:pStyle w:val="null3"/>
            </w:pPr>
            <w:r>
              <w:rPr>
                <w:rFonts w:ascii="仿宋_GB2312" w:hAnsi="仿宋_GB2312" w:cs="仿宋_GB2312" w:eastAsia="仿宋_GB2312"/>
              </w:rPr>
              <w:t>供应商具有丰富得餐饮服务经验与能力，按年限得分。 （1）年限3年以上（含3年）得1分； （2）年限5年以上（含5年）得2分； （3）年限10年以上（含10年）得3分； 评审依据：提供餐饮服务经验时间证明资料：包括但不限于：食品经营许可证或过往项目合同复印件或业主出具的服务证明材料等，时间以最早合同签订时间或服务证明证明时间或食品经营许可证最早发证时间为起始时间计算，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组织架构与人员配备</w:t>
            </w:r>
          </w:p>
        </w:tc>
        <w:tc>
          <w:tcPr>
            <w:tcW w:type="dxa" w:w="2492"/>
          </w:tcPr>
          <w:p>
            <w:pPr>
              <w:pStyle w:val="null3"/>
            </w:pPr>
            <w:r>
              <w:rPr>
                <w:rFonts w:ascii="仿宋_GB2312" w:hAnsi="仿宋_GB2312" w:cs="仿宋_GB2312" w:eastAsia="仿宋_GB2312"/>
              </w:rPr>
              <w:t>一、组织架构（满分1分） 供应商具备层级清晰、责权明确的项目管理组织机构架构，提供组织架构图及各层级岗位权责说明文件，得1分。 二、人员配备（满分3分） ①团队人员须至少包括项目经理、采购人员、检验人员、配送四类岗位服务人员，得1分。岗位缺项不得分。 ②上述四类岗位人员齐全，且均具备本行业从业工作经验，提供劳动合同及社保证明，得2分。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有符合食品安全运输标准的配送专用车辆，需提供车辆配置说明（包括但不限于车辆类型、使用年限等）、保温保鲜条件说明。 1、配备2辆及以上车辆的得4分； 2、配备1辆车辆的得2分； 注：1、提供车辆权属证明资料（如购车发票，或车辆登记证书、或租赁合同等）作为计分佐证材料。 2、若车辆非自有，供应商须提供承诺函：租赁合同能覆盖本项目服务期，不提供不得分。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08月01日至今类似项目业绩，每提供1份计2分，最高得10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30分。3.磋商报价得分=（磋商基准价/最终磋商报价）×30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