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版本号：SZT2026-SN-QC-ZC-FW-085420260818001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后勤社会化服务项目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SZT2026-SN-QC-ZC-FW-0854</w:t>
      </w:r>
      <w:r>
        <w:br/>
      </w:r>
      <w:r>
        <w:br/>
      </w:r>
      <w:r>
        <w:br/>
      </w:r>
    </w:p>
    <w:p>
      <w:pPr>
        <w:pStyle w:val="null3"/>
        <w:jc w:val="center"/>
        <w:outlineLvl w:val="2"/>
      </w:pPr>
      <w:r>
        <w:rPr>
          <w:rFonts w:ascii="仿宋_GB2312" w:hAnsi="仿宋_GB2312" w:cs="仿宋_GB2312" w:eastAsia="仿宋_GB2312"/>
          <w:sz w:val="28"/>
          <w:b/>
        </w:rPr>
        <w:t>西安市第八十九中学分校</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西安市第八十九中学分校</w:t>
      </w:r>
      <w:r>
        <w:rPr>
          <w:rFonts w:ascii="仿宋_GB2312" w:hAnsi="仿宋_GB2312" w:cs="仿宋_GB2312" w:eastAsia="仿宋_GB2312"/>
        </w:rPr>
        <w:t>委托，拟对</w:t>
      </w:r>
      <w:r>
        <w:rPr>
          <w:rFonts w:ascii="仿宋_GB2312" w:hAnsi="仿宋_GB2312" w:cs="仿宋_GB2312" w:eastAsia="仿宋_GB2312"/>
        </w:rPr>
        <w:t>后勤社会化服务项目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SZT2026-SN-QC-ZC-FW-0854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后勤社会化服务项目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服务内容包含学校的安全保卫、卫生保洁、园林绿化养护、生活垃圾收集外运、水电、木工维修、勤杂工作等任务。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采购包1（后勤社会化服务项目）：属于专门面向中小企业采购。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西安市第八十九中学分校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西安市新城区大华一坊158号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029-87433305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李毓菲、陈先德、郝娜娜、杨艳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人应向采购代理机构交纳招标代理服务费。招标代理服务费的收取参见国家计委颁布的《招标代理服务收费管理暂行办法》（计价格[2002]1980号）和（发改办价格[2003]857号）中服务类收费标准收取。在领取成交通知书时向采购代理机构一次性交纳。 开户名称：陕西中技招标有限公司 开户行名称：招商银行西安分行营业部 账 号：1299 1681 2810 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西安市第八十九中学分校</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西安市第八十九中学分校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西安市第八十九中学分校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服务内容包含学校的安全保卫、卫生保洁、园林绿化养护、生活垃圾收集外运、水电、木工维修、勤杂工作等任务。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820,000.00</w:t>
      </w:r>
    </w:p>
    <w:p>
      <w:pPr>
        <w:pStyle w:val="null3"/>
      </w:pPr>
      <w:r>
        <w:rPr>
          <w:rFonts w:ascii="仿宋_GB2312" w:hAnsi="仿宋_GB2312" w:cs="仿宋_GB2312" w:eastAsia="仿宋_GB2312"/>
        </w:rPr>
        <w:t>采购包最高限价（元）: 820,000.00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西安市第八十九中学分校后勤社会化服务项目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标的名称：西安市第八十九中学分校后勤社会化服务项目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一、服务内容</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．保洁服务</w:t>
            </w:r>
          </w:p>
          <w:p>
            <w:pPr>
              <w:pStyle w:val="null3"/>
              <w:jc w:val="both"/>
            </w:pPr>
            <w:r>
              <w:rPr>
                <w:rFonts w:ascii="仿宋_GB2312" w:hAnsi="仿宋_GB2312" w:cs="仿宋_GB2312" w:eastAsia="仿宋_GB2312"/>
                <w:sz w:val="20"/>
              </w:rPr>
              <w:t>服务区域内的公共区域环境卫生及部分入室卫生，打扫公共走廊、楼梯、墙面、通道、卫生间、门窗玻璃、道路、院落、广场</w:t>
            </w:r>
            <w:r>
              <w:rPr>
                <w:rFonts w:ascii="仿宋_GB2312" w:hAnsi="仿宋_GB2312" w:cs="仿宋_GB2312" w:eastAsia="仿宋_GB2312"/>
                <w:sz w:val="20"/>
              </w:rPr>
              <w:t>;</w:t>
            </w:r>
            <w:r>
              <w:rPr>
                <w:rFonts w:ascii="仿宋_GB2312" w:hAnsi="仿宋_GB2312" w:cs="仿宋_GB2312" w:eastAsia="仿宋_GB2312"/>
                <w:sz w:val="20"/>
              </w:rPr>
              <w:t>定期清理屋顶排水渠道里的垃圾、杂物；负责将垃圾收集到指定位置（垃圾外运由采购人负责），按照节能减排、绿色环保的要求，制定垃圾收集、分类、处置方案并实施。</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．安保服务</w:t>
            </w:r>
          </w:p>
          <w:p>
            <w:pPr>
              <w:pStyle w:val="null3"/>
              <w:jc w:val="both"/>
            </w:pPr>
            <w:r>
              <w:rPr>
                <w:rFonts w:ascii="仿宋_GB2312" w:hAnsi="仿宋_GB2312" w:cs="仿宋_GB2312" w:eastAsia="仿宋_GB2312"/>
                <w:sz w:val="20"/>
              </w:rPr>
              <w:t>负责全校安全保卫，三个大门和监控室的</w:t>
            </w:r>
            <w:r>
              <w:rPr>
                <w:rFonts w:ascii="仿宋_GB2312" w:hAnsi="仿宋_GB2312" w:cs="仿宋_GB2312" w:eastAsia="仿宋_GB2312"/>
                <w:sz w:val="20"/>
              </w:rPr>
              <w:t>24</w:t>
            </w:r>
            <w:r>
              <w:rPr>
                <w:rFonts w:ascii="仿宋_GB2312" w:hAnsi="仿宋_GB2312" w:cs="仿宋_GB2312" w:eastAsia="仿宋_GB2312"/>
                <w:sz w:val="20"/>
              </w:rPr>
              <w:t>小时值班，夜间重点要害部位巡查，停车场管理；文明接待来客来访，查验学生出入校手续，管理出入校机动车辆及自行车。配合学校进行紧急疏散预案演练，保障学校重大活动顺利进行。</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．设备设施操作维护服务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 xml:space="preserve">）水工主要负责全校给排水系统正常运行，上下水管道、暖气、冷气、排污、雨水管道维修、卫生间洁具维修 </w:t>
            </w:r>
            <w:r>
              <w:rPr>
                <w:rFonts w:ascii="仿宋_GB2312" w:hAnsi="仿宋_GB2312" w:cs="仿宋_GB2312" w:eastAsia="仿宋_GB2312"/>
                <w:sz w:val="20"/>
              </w:rPr>
              <w:t>(</w:t>
            </w:r>
            <w:r>
              <w:rPr>
                <w:rFonts w:ascii="仿宋_GB2312" w:hAnsi="仿宋_GB2312" w:cs="仿宋_GB2312" w:eastAsia="仿宋_GB2312"/>
                <w:sz w:val="20"/>
              </w:rPr>
              <w:t>维修耗材由采购人提供</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）维修工主要负责校舍门窗、桌凳、锁具、学生公寓家具、床的维修及地面砖、墙面砖破损，墙面涂料刷新的零星维修等工作</w:t>
            </w:r>
            <w:r>
              <w:rPr>
                <w:rFonts w:ascii="仿宋_GB2312" w:hAnsi="仿宋_GB2312" w:cs="仿宋_GB2312" w:eastAsia="仿宋_GB2312"/>
                <w:sz w:val="20"/>
              </w:rPr>
              <w:t>(</w:t>
            </w:r>
            <w:r>
              <w:rPr>
                <w:rFonts w:ascii="仿宋_GB2312" w:hAnsi="仿宋_GB2312" w:cs="仿宋_GB2312" w:eastAsia="仿宋_GB2312"/>
                <w:sz w:val="20"/>
              </w:rPr>
              <w:t>维修耗材由采购人提供</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 xml:space="preserve">）电工在保障校园正常供电的基础上，负责校园用电线路、电气维修 </w:t>
            </w:r>
            <w:r>
              <w:rPr>
                <w:rFonts w:ascii="仿宋_GB2312" w:hAnsi="仿宋_GB2312" w:cs="仿宋_GB2312" w:eastAsia="仿宋_GB2312"/>
                <w:sz w:val="20"/>
              </w:rPr>
              <w:t>(</w:t>
            </w:r>
            <w:r>
              <w:rPr>
                <w:rFonts w:ascii="仿宋_GB2312" w:hAnsi="仿宋_GB2312" w:cs="仿宋_GB2312" w:eastAsia="仿宋_GB2312"/>
                <w:sz w:val="20"/>
              </w:rPr>
              <w:t>维修耗材由采购人提供</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．绿化养护服务</w:t>
            </w:r>
          </w:p>
          <w:p>
            <w:pPr>
              <w:pStyle w:val="null3"/>
              <w:jc w:val="both"/>
            </w:pPr>
            <w:r>
              <w:rPr>
                <w:rFonts w:ascii="仿宋_GB2312" w:hAnsi="仿宋_GB2312" w:cs="仿宋_GB2312" w:eastAsia="仿宋_GB2312"/>
                <w:sz w:val="20"/>
              </w:rPr>
              <w:t>校园内的树木、绿地、花木进行施肥、浇水、修剪、防治病虫害。</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雨水管道化粪池的疏通与清理，污水化粪池井盖的检查维护。</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其他服务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）根据采购人通知，在国家法定节假日提供服务区域内的彩灯、横幅等悬挂服务（材料由采购人负责）。</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）负责管理甲方移交的与物业相关的工程图纸、文件等物业档案，如：公用设施的图、卡、册及公用设备的有关档案资料和记录。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）受理、解决师生投诉、报修事项，协助处理涉及市政、市容、园林绿化环保、街道办事处、创卫办等公共事务。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）根据采购人要求，核查各建筑设施的用水、用电、用气数额，抄表记录</w:t>
            </w:r>
            <w:r>
              <w:rPr>
                <w:rFonts w:ascii="仿宋_GB2312" w:hAnsi="仿宋_GB2312" w:cs="仿宋_GB2312" w:eastAsia="仿宋_GB2312"/>
                <w:sz w:val="20"/>
              </w:rPr>
              <w:t>,</w:t>
            </w:r>
            <w:r>
              <w:rPr>
                <w:rFonts w:ascii="仿宋_GB2312" w:hAnsi="仿宋_GB2312" w:cs="仿宋_GB2312" w:eastAsia="仿宋_GB2312"/>
                <w:sz w:val="20"/>
              </w:rPr>
              <w:t>按采购人要求负责核算有关费用。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）全力配合采购人完成学校的大型活动的服务工作及采购人安排的随机性服务工作。</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第三方服务内容</w:t>
            </w:r>
          </w:p>
          <w:p>
            <w:pPr>
              <w:pStyle w:val="null3"/>
              <w:jc w:val="both"/>
            </w:pPr>
            <w:r>
              <w:rPr>
                <w:rFonts w:ascii="仿宋_GB2312" w:hAnsi="仿宋_GB2312" w:cs="仿宋_GB2312" w:eastAsia="仿宋_GB2312"/>
                <w:sz w:val="20"/>
              </w:rPr>
              <w:t>依据采购人签订的相关设施设备维保协议，成交供应商实施现场管理。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）根据空调、电梯设施的维护和保养标准，制定</w:t>
            </w:r>
            <w:r>
              <w:rPr>
                <w:rFonts w:ascii="仿宋_GB2312" w:hAnsi="仿宋_GB2312" w:cs="仿宋_GB2312" w:eastAsia="仿宋_GB2312"/>
                <w:sz w:val="20"/>
              </w:rPr>
              <w:t>采购人、供应商</w:t>
            </w:r>
            <w:r>
              <w:rPr>
                <w:rFonts w:ascii="仿宋_GB2312" w:hAnsi="仿宋_GB2312" w:cs="仿宋_GB2312" w:eastAsia="仿宋_GB2312"/>
                <w:sz w:val="20"/>
              </w:rPr>
              <w:t>及维保单位三方《工作联系制度》和《工作考核制度》，实施现场管理职能，确保锅炉、水、电、空调、电梯的正常运行（相关设备外委费用由采购人承担）。</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）根据消防设施设备的维护和保养标准，制定</w:t>
            </w:r>
            <w:r>
              <w:rPr>
                <w:rFonts w:ascii="仿宋_GB2312" w:hAnsi="仿宋_GB2312" w:cs="仿宋_GB2312" w:eastAsia="仿宋_GB2312"/>
                <w:sz w:val="20"/>
              </w:rPr>
              <w:t>采购人、供应商</w:t>
            </w:r>
            <w:r>
              <w:rPr>
                <w:rFonts w:ascii="仿宋_GB2312" w:hAnsi="仿宋_GB2312" w:cs="仿宋_GB2312" w:eastAsia="仿宋_GB2312"/>
                <w:sz w:val="20"/>
              </w:rPr>
              <w:t>及维保单位三方《工作联系制度》和《工作考核制度》，实施现场管理职能，确保消防设施、设备的正常运行（相关设备外委费用由采购人承担）。</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物业服务质量标准：</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实施专业化、规范化、科学化的管理。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．管理服务人员素质好、文明礼貌、行为规范、服务意识强。</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．房屋外观（包括屋面、天台）：完好、整洁，无污迹、无缺损现象，房屋外墙及公共空间无乱涂、乱画、乱张贴、乱悬挂、蜘蛛网现象。</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．设备运行：生活水泵、消防泵、配电室高低压配电柜系统、锅炉、空调系统、门禁系统、监控等设备，按正确的操作管理规定使用，确保正常运行。</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．环境卫生：道路整洁，排水畅通，公共区域保持干净整洁；楼梯、楼道卫生每天清扫不少于</w:t>
            </w:r>
            <w:r>
              <w:rPr>
                <w:rFonts w:ascii="仿宋_GB2312" w:hAnsi="仿宋_GB2312" w:cs="仿宋_GB2312" w:eastAsia="仿宋_GB2312"/>
                <w:sz w:val="20"/>
              </w:rPr>
              <w:t>4</w:t>
            </w:r>
            <w:r>
              <w:rPr>
                <w:rFonts w:ascii="仿宋_GB2312" w:hAnsi="仿宋_GB2312" w:cs="仿宋_GB2312" w:eastAsia="仿宋_GB2312"/>
                <w:sz w:val="20"/>
              </w:rPr>
              <w:t>次，卫生间卫生清扫不少于</w:t>
            </w:r>
            <w:r>
              <w:rPr>
                <w:rFonts w:ascii="仿宋_GB2312" w:hAnsi="仿宋_GB2312" w:cs="仿宋_GB2312" w:eastAsia="仿宋_GB2312"/>
                <w:sz w:val="20"/>
              </w:rPr>
              <w:t>6</w:t>
            </w:r>
            <w:r>
              <w:rPr>
                <w:rFonts w:ascii="仿宋_GB2312" w:hAnsi="仿宋_GB2312" w:cs="仿宋_GB2312" w:eastAsia="仿宋_GB2312"/>
                <w:sz w:val="20"/>
              </w:rPr>
              <w:t>次，道路、广场卫生清扫不少于</w:t>
            </w:r>
            <w:r>
              <w:rPr>
                <w:rFonts w:ascii="仿宋_GB2312" w:hAnsi="仿宋_GB2312" w:cs="仿宋_GB2312" w:eastAsia="仿宋_GB2312"/>
                <w:sz w:val="20"/>
              </w:rPr>
              <w:t>4</w:t>
            </w:r>
            <w:r>
              <w:rPr>
                <w:rFonts w:ascii="仿宋_GB2312" w:hAnsi="仿宋_GB2312" w:cs="仿宋_GB2312" w:eastAsia="仿宋_GB2312"/>
                <w:sz w:val="20"/>
              </w:rPr>
              <w:t>次。玻璃清洗每年不少于</w:t>
            </w:r>
            <w:r>
              <w:rPr>
                <w:rFonts w:ascii="仿宋_GB2312" w:hAnsi="仿宋_GB2312" w:cs="仿宋_GB2312" w:eastAsia="仿宋_GB2312"/>
                <w:sz w:val="20"/>
              </w:rPr>
              <w:t>2</w:t>
            </w:r>
            <w:r>
              <w:rPr>
                <w:rFonts w:ascii="仿宋_GB2312" w:hAnsi="仿宋_GB2312" w:cs="仿宋_GB2312" w:eastAsia="仿宋_GB2312"/>
                <w:sz w:val="20"/>
              </w:rPr>
              <w:t>次；保持地面清洁、卫生状态，卫生间无异味。垃圾日产日清（清运费由采购人承担），定期杀虫灭鼠。</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．交通秩序：文明管理，科学疏导，保持道路畅通，车辆停放整齐，做到管理服务区域的秩序良好。</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．按要求落实服务区域的夜间重点区域巡查、监控值守，负责外来人员出入校检查管理、学生出入校手续检查等秩序维护；配合学校进行紧急疏散预案演练，保障学校重大活动顺利进行。</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．急修：供电局、自来水公司检修停电停水或其它不可抗力事由除外。校园停水、停电不超过</w:t>
            </w:r>
            <w:r>
              <w:rPr>
                <w:rFonts w:ascii="仿宋_GB2312" w:hAnsi="仿宋_GB2312" w:cs="仿宋_GB2312" w:eastAsia="仿宋_GB2312"/>
                <w:sz w:val="20"/>
              </w:rPr>
              <w:t>3</w:t>
            </w:r>
            <w:r>
              <w:rPr>
                <w:rFonts w:ascii="仿宋_GB2312" w:hAnsi="仿宋_GB2312" w:cs="仿宋_GB2312" w:eastAsia="仿宋_GB2312"/>
                <w:sz w:val="20"/>
              </w:rPr>
              <w:t>小时；下水道、沙井、化粪池堵塞一般不超过</w:t>
            </w:r>
            <w:r>
              <w:rPr>
                <w:rFonts w:ascii="仿宋_GB2312" w:hAnsi="仿宋_GB2312" w:cs="仿宋_GB2312" w:eastAsia="仿宋_GB2312"/>
                <w:sz w:val="20"/>
              </w:rPr>
              <w:t>4</w:t>
            </w:r>
            <w:r>
              <w:rPr>
                <w:rFonts w:ascii="仿宋_GB2312" w:hAnsi="仿宋_GB2312" w:cs="仿宋_GB2312" w:eastAsia="仿宋_GB2312"/>
                <w:sz w:val="20"/>
              </w:rPr>
              <w:t>小时（化粪池定期清掏，水质检测，仪器仪表检测等费用由采购人承担）。</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．公用部位照明灯具及时进行维修和更换，始终保持正常使用状态</w:t>
            </w:r>
            <w:r>
              <w:rPr>
                <w:rFonts w:ascii="仿宋_GB2312" w:hAnsi="仿宋_GB2312" w:cs="仿宋_GB2312" w:eastAsia="仿宋_GB2312"/>
                <w:sz w:val="20"/>
              </w:rPr>
              <w:t>(</w:t>
            </w:r>
            <w:r>
              <w:rPr>
                <w:rFonts w:ascii="仿宋_GB2312" w:hAnsi="仿宋_GB2312" w:cs="仿宋_GB2312" w:eastAsia="仿宋_GB2312"/>
                <w:sz w:val="20"/>
              </w:rPr>
              <w:t>维修耗材由采购人提供</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．物业办实行</w:t>
            </w:r>
            <w:r>
              <w:rPr>
                <w:rFonts w:ascii="仿宋_GB2312" w:hAnsi="仿宋_GB2312" w:cs="仿宋_GB2312" w:eastAsia="仿宋_GB2312"/>
                <w:sz w:val="20"/>
              </w:rPr>
              <w:t>24</w:t>
            </w:r>
            <w:r>
              <w:rPr>
                <w:rFonts w:ascii="仿宋_GB2312" w:hAnsi="仿宋_GB2312" w:cs="仿宋_GB2312" w:eastAsia="仿宋_GB2312"/>
                <w:sz w:val="20"/>
              </w:rPr>
              <w:t>小时值班，值班电话向全体服务对象公布，水、电、暖等维修在</w:t>
            </w:r>
            <w:r>
              <w:rPr>
                <w:rFonts w:ascii="仿宋_GB2312" w:hAnsi="仿宋_GB2312" w:cs="仿宋_GB2312" w:eastAsia="仿宋_GB2312"/>
                <w:sz w:val="20"/>
              </w:rPr>
              <w:t>10</w:t>
            </w:r>
            <w:r>
              <w:rPr>
                <w:rFonts w:ascii="仿宋_GB2312" w:hAnsi="仿宋_GB2312" w:cs="仿宋_GB2312" w:eastAsia="仿宋_GB2312"/>
                <w:sz w:val="20"/>
              </w:rPr>
              <w:t>分钟内到达现场。</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．校园安保、消防、水电、空调操作、日常维修、卫生保洁服务、绿化养护标准及要求严格按照招标文件与合同附件各岗位职责要求执行。</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．每年保证按季节和花草树木生长情况及时免费清除修理草坪，防治病虫害。</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．对全校公共区域玻璃及时进行清洗，大型活动需要清洗时配合学校清洗。</w:t>
            </w:r>
          </w:p>
          <w:p>
            <w:pPr>
              <w:pStyle w:val="null3"/>
              <w:jc w:val="both"/>
            </w:pPr>
            <w:r>
              <w:rPr>
                <w:rFonts w:ascii="仿宋_GB2312" w:hAnsi="仿宋_GB2312" w:cs="仿宋_GB2312" w:eastAsia="仿宋_GB2312"/>
                <w:sz w:val="20"/>
                <w:b/>
                <w:color w:val="333333"/>
              </w:rPr>
              <w:t>三、人员配备共计</w:t>
            </w:r>
            <w:r>
              <w:rPr>
                <w:rFonts w:ascii="仿宋_GB2312" w:hAnsi="仿宋_GB2312" w:cs="仿宋_GB2312" w:eastAsia="仿宋_GB2312"/>
                <w:sz w:val="20"/>
                <w:b/>
                <w:color w:val="333333"/>
              </w:rPr>
              <w:t>：</w:t>
            </w:r>
            <w:r>
              <w:rPr>
                <w:rFonts w:ascii="仿宋_GB2312" w:hAnsi="仿宋_GB2312" w:cs="仿宋_GB2312" w:eastAsia="仿宋_GB2312"/>
                <w:sz w:val="20"/>
                <w:b/>
                <w:color w:val="333333"/>
              </w:rPr>
              <w:t>21人</w:t>
            </w:r>
          </w:p>
          <w:tbl>
            <w:tblPr>
              <w:tblInd w:type="dxa" w:w="195"/>
              <w:tblBorders>
                <w:top w:val="none" w:color="000000" w:sz="4"/>
                <w:left w:val="none" w:color="000000" w:sz="4"/>
                <w:bottom w:val="none" w:color="000000" w:sz="4"/>
                <w:right w:val="none" w:color="000000" w:sz="4"/>
                <w:insideH w:val="none"/>
                <w:insideV w:val="none"/>
              </w:tblBorders>
            </w:tblPr>
            <w:tblGrid>
              <w:gridCol w:w="507"/>
              <w:gridCol w:w="499"/>
              <w:gridCol w:w="1547"/>
            </w:tblGrid>
            <w:tr>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工作区域</w:t>
                  </w:r>
                </w:p>
              </w:tc>
              <w:tc>
                <w:tcPr>
                  <w:tcW w:type="dxa" w:w="4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w:t>
                  </w:r>
                  <w:r>
                    <w:rPr>
                      <w:rFonts w:ascii="仿宋_GB2312" w:hAnsi="仿宋_GB2312" w:cs="仿宋_GB2312" w:eastAsia="仿宋_GB2312"/>
                      <w:sz w:val="20"/>
                    </w:rPr>
                    <w:t>置</w:t>
                  </w:r>
                  <w:r>
                    <w:rPr>
                      <w:rFonts w:ascii="仿宋_GB2312" w:hAnsi="仿宋_GB2312" w:cs="仿宋_GB2312" w:eastAsia="仿宋_GB2312"/>
                      <w:sz w:val="20"/>
                    </w:rPr>
                    <w:t>人</w:t>
                  </w:r>
                  <w:r>
                    <w:rPr>
                      <w:rFonts w:ascii="仿宋_GB2312" w:hAnsi="仿宋_GB2312" w:cs="仿宋_GB2312" w:eastAsia="仿宋_GB2312"/>
                      <w:sz w:val="20"/>
                    </w:rPr>
                    <w:t>数</w:t>
                  </w:r>
                </w:p>
              </w:tc>
              <w:tc>
                <w:tcPr>
                  <w:tcW w:type="dxa" w:w="1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w:t>
                  </w:r>
                  <w:r>
                    <w:rPr>
                      <w:rFonts w:ascii="仿宋_GB2312" w:hAnsi="仿宋_GB2312" w:cs="仿宋_GB2312" w:eastAsia="仿宋_GB2312"/>
                      <w:sz w:val="20"/>
                    </w:rPr>
                    <w:t>作</w:t>
                  </w:r>
                  <w:r>
                    <w:rPr>
                      <w:rFonts w:ascii="仿宋_GB2312" w:hAnsi="仿宋_GB2312" w:cs="仿宋_GB2312" w:eastAsia="仿宋_GB2312"/>
                      <w:sz w:val="20"/>
                    </w:rPr>
                    <w:t>内</w:t>
                  </w:r>
                  <w:r>
                    <w:rPr>
                      <w:rFonts w:ascii="仿宋_GB2312" w:hAnsi="仿宋_GB2312" w:cs="仿宋_GB2312" w:eastAsia="仿宋_GB2312"/>
                      <w:sz w:val="20"/>
                    </w:rPr>
                    <w:t>容</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经理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人</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与管理方对接，负责现场管理、现场培训、自检、物品及人事管理、设备设施的检查及维修等</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经理助理</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人</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协助经理现场管理、现场培训、自检、物品及人事管理、设备设施的检查及维修等</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实验楼保洁员</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人</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室内公共区域、卫生间、标识、玻璃、消防通道等</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教学楼保洁员</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r>
                    <w:rPr>
                      <w:rFonts w:ascii="仿宋_GB2312" w:hAnsi="仿宋_GB2312" w:cs="仿宋_GB2312" w:eastAsia="仿宋_GB2312"/>
                      <w:sz w:val="20"/>
                    </w:rPr>
                    <w:t>人</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室内公共区域、卫生间、标识、玻璃、消防通道等含教学楼周围院落卫生</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综合楼保洁员</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人</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室内公共区域、卫生间、标识、玻璃、消防通道等</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体育馆保洁员</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人</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室内公共区域、卫生间、标识、玻璃、消防通道等周围室外卫生、连廊卫生</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操场及校园道路公共部分外围</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r>
                    <w:rPr>
                      <w:rFonts w:ascii="仿宋_GB2312" w:hAnsi="仿宋_GB2312" w:cs="仿宋_GB2312" w:eastAsia="仿宋_GB2312"/>
                      <w:sz w:val="20"/>
                    </w:rPr>
                    <w:t>人</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室外公共区域、水系、绿化带、设施设备、雨棚等含实验楼至综合楼院子卫生</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垃圾清运人员</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人</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垃圾及时转运</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门卫</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人</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负责进出人员及物品、车辆的管理及登记工作</w:t>
                  </w:r>
                  <w:r>
                    <w:rPr>
                      <w:rFonts w:ascii="仿宋_GB2312" w:hAnsi="仿宋_GB2312" w:cs="仿宋_GB2312" w:eastAsia="仿宋_GB2312"/>
                      <w:sz w:val="20"/>
                    </w:rPr>
                    <w:t>、</w:t>
                  </w:r>
                  <w:r>
                    <w:rPr>
                      <w:rFonts w:ascii="仿宋_GB2312" w:hAnsi="仿宋_GB2312" w:cs="仿宋_GB2312" w:eastAsia="仿宋_GB2312"/>
                      <w:sz w:val="20"/>
                    </w:rPr>
                    <w:t>校内安全保障、夜间巡逻等</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树木花草维护保养</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人</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校园内的树木、绿地、花木进行施肥、浇水、修剪、防治病虫害。</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水电工</w:t>
                  </w:r>
                </w:p>
              </w:tc>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人</w:t>
                  </w:r>
                </w:p>
              </w:tc>
              <w:tc>
                <w:tcPr>
                  <w:tcW w:type="dxa" w:w="1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负责全校的水电正常使用</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保洁员配比按照物业</w:t>
                  </w:r>
                  <w:r>
                    <w:rPr>
                      <w:rFonts w:ascii="仿宋_GB2312" w:hAnsi="仿宋_GB2312" w:cs="仿宋_GB2312" w:eastAsia="仿宋_GB2312"/>
                      <w:sz w:val="20"/>
                    </w:rPr>
                    <w:t>A</w:t>
                  </w:r>
                  <w:r>
                    <w:rPr>
                      <w:rFonts w:ascii="仿宋_GB2312" w:hAnsi="仿宋_GB2312" w:cs="仿宋_GB2312" w:eastAsia="仿宋_GB2312"/>
                      <w:sz w:val="20"/>
                    </w:rPr>
                    <w:t>级标准服务管理面积在</w:t>
                  </w:r>
                  <w:r>
                    <w:rPr>
                      <w:rFonts w:ascii="仿宋_GB2312" w:hAnsi="仿宋_GB2312" w:cs="仿宋_GB2312" w:eastAsia="仿宋_GB2312"/>
                      <w:sz w:val="20"/>
                    </w:rPr>
                    <w:t>300--500</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人；不同的岗位以及特殊区域的人员安置可做特殊调整；二道大门门卫的管理及夜间校园巡逻执勤；</w:t>
                  </w:r>
                </w:p>
              </w:tc>
            </w:tr>
            <w:tr>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w:t>
                  </w:r>
                  <w:r>
                    <w:rPr>
                      <w:rFonts w:ascii="仿宋_GB2312" w:hAnsi="仿宋_GB2312" w:cs="仿宋_GB2312" w:eastAsia="仿宋_GB2312"/>
                      <w:sz w:val="20"/>
                    </w:rPr>
                    <w:t xml:space="preserve">    </w:t>
                  </w:r>
                  <w:r>
                    <w:rPr>
                      <w:rFonts w:ascii="仿宋_GB2312" w:hAnsi="仿宋_GB2312" w:cs="仿宋_GB2312" w:eastAsia="仿宋_GB2312"/>
                      <w:sz w:val="20"/>
                    </w:rPr>
                    <w:t>计</w:t>
                  </w:r>
                </w:p>
              </w:tc>
              <w:tc>
                <w:tcPr>
                  <w:tcW w:type="dxa" w:w="204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人</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本次预算为1年。合同期一年一签定，合同期内，采购人认可服务对象服务质量达标，在不超过成交价格的情况下，可以续签合同；续签服务期仍为一年，续签不得超过两次。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进度款，成交价格为结算价款，期满一个季度后，开取国家正式发票按季度付款，达到付款条件起10个工作日内，支付合同总金额的25.0%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进度款，成交价格为结算价款，期满一个季度后，开取国家正式发票按季度付款，达到付款条件起10个工作日内，支付合同总金额的25.0%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进度款，成交价格为结算价款，期满一个季度后，开取国家正式发票按季度付款，达到付款条件起10个工作日内，支付合同总金额的25.0%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进度款，成交价格为结算价款，期满一个季度后，开取国家正式发票按季度付款，达到付款条件起10个工作日内，支付合同总金额的25.0%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详见采购需求及合同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一、报价异常低价处理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相关供应商在评审现场合理的时间内对投标（响应）价格作出解释，提供项目具体成本测算等与报价合理性相关的书面说明及必要的证明材料，包括但不限于原材料成本、人工成本、制造费用等。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二、落实政府采购政策《国务院办公厅关于在政府采购中实施本国产品标准及相关政策的通知国办发〔2025〕34号》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 三、成交供应商在领取成交通知书时应提供与线上响应文件一致的纸质版文件（一正一副）。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1、具有独立承担民事责任的能力（企业法人应提供统一社会信用代码的营业执照；事业法人应提供事业单位法人证、组织机构代码证等证明文件；其他组织应提供合法证明文件；自然人提供身份证明文件）； 2、具有良好的商业信誉和健全的财务会计制度（提供2025年度财务审计报告或开标前近6个月内的银行资信证明或财政部门认可的政府采购专业担保机构出具的投标担保函）； 3、具有履行合同所必需的设备和专业技术能力（格式详见附件）； 4、具有依法缴纳税收和社会保障资金的良好记录（提供开标前6个月内任一月份的社保和缴纳税收的证明，依法不需要缴纳社会保障资金、免税或无须缴纳税款的供应商，应提供相关证明文件)； 5、参加政府采购活动前三年内，在经营活动中没有重大违法记录（格式详见附件）。</w:t>
            </w:r>
          </w:p>
        </w:tc>
        <w:tc>
          <w:tcPr>
            <w:tcW w:type="dxa" w:w="1661"/>
          </w:tcPr>
          <w:p>
            <w:pPr>
              <w:pStyle w:val="null3"/>
            </w:pPr>
            <w:r>
              <w:rPr>
                <w:rFonts w:ascii="仿宋_GB2312" w:hAnsi="仿宋_GB2312" w:cs="仿宋_GB2312" w:eastAsia="仿宋_GB2312"/>
              </w:rPr>
              <w:t>响应函 格式文本.docx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格式文本.docx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法定代表人直接参加的，须提供身份证；法定代表人授权他人参加的，须提供法定代表人授权委托书。</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服务期符合磋商文件要求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付款方式符合磋商文件要求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报价唯一，且报价不超过采购预算及最高限价。</w:t>
            </w:r>
          </w:p>
        </w:tc>
        <w:tc>
          <w:tcPr>
            <w:tcW w:type="dxa" w:w="1661"/>
          </w:tcPr>
          <w:p>
            <w:pPr>
              <w:pStyle w:val="null3"/>
            </w:pPr>
            <w:r>
              <w:rPr>
                <w:rFonts w:ascii="仿宋_GB2312" w:hAnsi="仿宋_GB2312" w:cs="仿宋_GB2312" w:eastAsia="仿宋_GB2312"/>
              </w:rPr>
              <w:t>格式文本.docx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评审内容：针对本项目的（1）服务需求（2）服务要点（3）服务内容及标准（4）现状分析。 评审标准：每一项内容描述全面详细、阐述条理清晰详尽、符合本项目2分，满分8分，每项存在一处缺陷，扣0.4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评审内容：（1）保洁服务（2）安保服务（3）设备设施操作维护服务（4）绿化养护服务（5）雨水管道化粪池、井盖检查（6）其他服务（7）第三方服务 评审标准：每一项内容描述全面详细、阐述条理清晰详尽、符合本项目2分，满分14分，每项存在一处缺陷，扣0.4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服务管理制度</w:t>
            </w:r>
          </w:p>
        </w:tc>
        <w:tc>
          <w:tcPr>
            <w:tcW w:type="dxa" w:w="2492"/>
          </w:tcPr>
          <w:p>
            <w:pPr>
              <w:pStyle w:val="null3"/>
            </w:pPr>
            <w:r>
              <w:rPr>
                <w:rFonts w:ascii="仿宋_GB2312" w:hAnsi="仿宋_GB2312" w:cs="仿宋_GB2312" w:eastAsia="仿宋_GB2312"/>
              </w:rPr>
              <w:t>评审内容：（1）岗位工作标准（2）工作流程（3）服务标准。 评审标准：每一项内容描述全面详细、阐述条理清晰详尽、符合本项目2分，满分6分，每项存在一处缺陷，扣0.4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评审内容：（1）应对突发事件的应急预案及措施（2）对特殊需要时能够迅速派出足够数量和有经验的增员人员的应急方案。 评审标准：每一项内容描述全面详细、阐述条理清晰详尽、符合本项目1分，满分2分，每项存在一处缺陷，扣0.2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人员培训</w:t>
            </w:r>
          </w:p>
        </w:tc>
        <w:tc>
          <w:tcPr>
            <w:tcW w:type="dxa" w:w="2492"/>
          </w:tcPr>
          <w:p>
            <w:pPr>
              <w:pStyle w:val="null3"/>
            </w:pPr>
            <w:r>
              <w:rPr>
                <w:rFonts w:ascii="仿宋_GB2312" w:hAnsi="仿宋_GB2312" w:cs="仿宋_GB2312" w:eastAsia="仿宋_GB2312"/>
              </w:rPr>
              <w:t>评审内容：（1）岗位培训计划（2）培训方案（包括但不限于理论学习、技能培训、体能训练等内容）。 评审标准：每一项内容描述全面详细、阐述条理清晰详尽、符合本项目1分，满分2分，每项存在一处缺陷，扣0.2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人员安全保障措施</w:t>
            </w:r>
          </w:p>
        </w:tc>
        <w:tc>
          <w:tcPr>
            <w:tcW w:type="dxa" w:w="2492"/>
          </w:tcPr>
          <w:p>
            <w:pPr>
              <w:pStyle w:val="null3"/>
            </w:pPr>
            <w:r>
              <w:rPr>
                <w:rFonts w:ascii="仿宋_GB2312" w:hAnsi="仿宋_GB2312" w:cs="仿宋_GB2312" w:eastAsia="仿宋_GB2312"/>
              </w:rPr>
              <w:t>评审内容：（1）购买用工意外伤害的相关保险等（2）人员安全保障及措施。 评审标准：每一项内容描述全面详细、阐述条理清晰详尽、符合本项目1分，满分2分，每项存在一处缺陷，扣0.2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评审内容：（1）企业管理体制健全（2）组织构架清晰（3）权责分明（4）信誉度。 评审标准：每一项内容描述全面详细、阐述条理清晰详尽、符合本项目1分，满分4分，每项存在一处缺陷，扣0.2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供应商可根据自身情况及项目特征，做出本项目的合理化建议。 评审标准：内容描述全面详细、阐述条理清晰详尽、符合本项目2分，每存在一处缺陷，扣0.4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团队人员保障</w:t>
            </w:r>
          </w:p>
        </w:tc>
        <w:tc>
          <w:tcPr>
            <w:tcW w:type="dxa" w:w="2492"/>
          </w:tcPr>
          <w:p>
            <w:pPr>
              <w:pStyle w:val="null3"/>
            </w:pPr>
            <w:r>
              <w:rPr>
                <w:rFonts w:ascii="仿宋_GB2312" w:hAnsi="仿宋_GB2312" w:cs="仿宋_GB2312" w:eastAsia="仿宋_GB2312"/>
              </w:rPr>
              <w:t>1.供应商所配人数符合采购需求中人数基本要求（共21人），提供人员名单、身份证。得4分。 2.在第1条的基础上，为保障项目实施，如遇大型活动或人员离职或调岗情况，供应商能够有充足的人员上岗。 （1）增加符合要求的人员（经理）1人得1分；最多1分。 （2）增加符合要求的人员（经理助理）1人得1分；最多1分。 （3）增加符合要求的人员（保洁员）1人得1分；最多14分； （4）增加符合要求的人员（垃圾清运人员）1人得1分；最多1分。 （5）增加符合要求的人员（门卫）1人得1分；最多2分。 （6）增加符合要求的人员（树木花草维护保养）1人得1分；最多1分。 （7）增加符合要求的人员（水电工）1人得1分；最多1分。 提供人员名单、身份证。</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vMerge/>
          </w:tcPr>
          <w:p/>
        </w:tc>
        <w:tc>
          <w:tcPr>
            <w:tcW w:type="dxa" w:w="1661"/>
          </w:tcPr>
          <w:p>
            <w:pPr>
              <w:pStyle w:val="null3"/>
            </w:pPr>
            <w:r>
              <w:rPr>
                <w:rFonts w:ascii="仿宋_GB2312" w:hAnsi="仿宋_GB2312" w:cs="仿宋_GB2312" w:eastAsia="仿宋_GB2312"/>
              </w:rPr>
              <w:t>设备</w:t>
            </w:r>
          </w:p>
        </w:tc>
        <w:tc>
          <w:tcPr>
            <w:tcW w:type="dxa" w:w="2492"/>
          </w:tcPr>
          <w:p>
            <w:pPr>
              <w:pStyle w:val="null3"/>
            </w:pPr>
            <w:r>
              <w:rPr>
                <w:rFonts w:ascii="仿宋_GB2312" w:hAnsi="仿宋_GB2312" w:cs="仿宋_GB2312" w:eastAsia="仿宋_GB2312"/>
              </w:rPr>
              <w:t>根据供应商提供的自有自动化设备(例如驾驶式扫地机，地面清洗机，电动绿化修剪机，地面烘干机等电动设备）每提供一个设备得2分。（提供证明材料：合同或协议扫描件或购买发票复印件加盖公章，否则不作为评审依据。）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格式文本.docx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1.满足磋商文件实质性要求且最后报价最低的供应商价格为磋商基准价，其价格分为满分15分。 2.磋商报价得分=（磋商基准价/最后报价）×15。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详见附件：格式文本.docx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