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40DFF">
      <w:pPr>
        <w:spacing w:line="540" w:lineRule="exact"/>
        <w:jc w:val="both"/>
        <w:outlineLvl w:val="0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0"/>
          <w:szCs w:val="30"/>
          <w:highlight w:val="none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0"/>
          <w:szCs w:val="30"/>
          <w:highlight w:val="none"/>
          <w:lang w:val="zh-CN"/>
        </w:rPr>
        <w:t>合同编号：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</w:t>
      </w:r>
    </w:p>
    <w:p w14:paraId="1EA9D34B">
      <w:pPr>
        <w:spacing w:line="540" w:lineRule="exact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741BAE0C">
      <w:pPr>
        <w:rPr>
          <w:rFonts w:hint="eastAsia" w:asciiTheme="majorEastAsia" w:hAnsiTheme="majorEastAsia" w:eastAsiaTheme="majorEastAsia" w:cstheme="majorEastAsia"/>
          <w:color w:val="auto"/>
          <w:highlight w:val="none"/>
          <w:lang w:val="zh-CN"/>
        </w:rPr>
      </w:pPr>
    </w:p>
    <w:p w14:paraId="64F0FF56">
      <w:pPr>
        <w:pStyle w:val="4"/>
        <w:spacing w:line="540" w:lineRule="exact"/>
        <w:jc w:val="both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0C80858C">
      <w:pPr>
        <w:pStyle w:val="4"/>
        <w:spacing w:line="480" w:lineRule="auto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67C14FB1">
      <w:pPr>
        <w:spacing w:line="480" w:lineRule="auto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eastAsia="zh-CN"/>
        </w:rPr>
        <w:t>李家河水源地自动监测智能预警系统二期运维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en-US" w:eastAsia="zh-CN"/>
        </w:rPr>
        <w:t>项目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</w:rPr>
        <w:t>合同</w:t>
      </w:r>
    </w:p>
    <w:p w14:paraId="6E859170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152976A4">
      <w:pPr>
        <w:pStyle w:val="4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72B93C47">
      <w:pPr>
        <w:rPr>
          <w:rFonts w:hint="eastAsia" w:asciiTheme="majorEastAsia" w:hAnsiTheme="majorEastAsia" w:eastAsiaTheme="majorEastAsia" w:cstheme="majorEastAsia"/>
          <w:color w:val="auto"/>
          <w:highlight w:val="none"/>
          <w:lang w:val="zh-CN"/>
        </w:rPr>
      </w:pPr>
    </w:p>
    <w:p w14:paraId="474A73AB">
      <w:pPr>
        <w:pStyle w:val="4"/>
        <w:spacing w:line="540" w:lineRule="exact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0E4434FA">
      <w:pPr>
        <w:pStyle w:val="4"/>
        <w:spacing w:line="540" w:lineRule="exact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69B103BB">
      <w:pPr>
        <w:pStyle w:val="4"/>
        <w:spacing w:line="540" w:lineRule="exact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46E8FD84">
      <w:pPr>
        <w:pStyle w:val="4"/>
        <w:spacing w:line="540" w:lineRule="exact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73528FF6">
      <w:pPr>
        <w:pStyle w:val="4"/>
        <w:spacing w:line="540" w:lineRule="exact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4169B67F">
      <w:pPr>
        <w:pStyle w:val="4"/>
        <w:spacing w:line="540" w:lineRule="exact"/>
        <w:ind w:firstLine="643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highlight w:val="none"/>
        </w:rPr>
      </w:pPr>
    </w:p>
    <w:p w14:paraId="0F8AEFCB">
      <w:pPr>
        <w:pStyle w:val="4"/>
        <w:spacing w:line="540" w:lineRule="exact"/>
        <w:ind w:firstLine="643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highlight w:val="none"/>
        </w:rPr>
      </w:pPr>
    </w:p>
    <w:p w14:paraId="601E076D">
      <w:pPr>
        <w:pStyle w:val="4"/>
        <w:spacing w:line="540" w:lineRule="exact"/>
        <w:ind w:firstLine="643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highlight w:val="none"/>
        </w:rPr>
        <w:t>甲方：西安市李家河水源地环境保护管理站</w:t>
      </w:r>
    </w:p>
    <w:p w14:paraId="7B0FC1C7">
      <w:pPr>
        <w:pStyle w:val="4"/>
        <w:spacing w:line="540" w:lineRule="exact"/>
        <w:ind w:firstLine="1484" w:firstLineChars="462"/>
        <w:jc w:val="both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highlight w:val="none"/>
        </w:rPr>
        <w:t>乙方：</w:t>
      </w:r>
    </w:p>
    <w:p w14:paraId="2689DFB0">
      <w:pPr>
        <w:spacing w:line="540" w:lineRule="exact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highlight w:val="none"/>
        </w:rPr>
        <w:t>年    月    日</w:t>
      </w:r>
    </w:p>
    <w:p w14:paraId="12572819">
      <w:pPr>
        <w:spacing w:line="540" w:lineRule="exact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val="zh-CN"/>
        </w:rPr>
      </w:pPr>
    </w:p>
    <w:p w14:paraId="4D78A241">
      <w:pP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  <w:highlight w:val="none"/>
        </w:rPr>
        <w:br w:type="page"/>
      </w:r>
    </w:p>
    <w:p w14:paraId="34AA13A9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甲方：</w:t>
      </w:r>
      <w:bookmarkStart w:id="0" w:name="OLE_LINK1"/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西安市李家河水源地环境保护管理站</w:t>
      </w:r>
    </w:p>
    <w:bookmarkEnd w:id="0"/>
    <w:p w14:paraId="7BC1064B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乙方：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      </w:t>
      </w:r>
    </w:p>
    <w:p w14:paraId="31F8CC52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甲、乙双方本着诚信合作、友好协商、互惠互利的原则,依据《中华人民共和国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val="en-US" w:eastAsia="zh-CN"/>
        </w:rPr>
        <w:t>民典法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》、《中华人民共和国政府采购法》及其他相关规定,就乙方为甲方运营李家河水源地水质自动监测智能预警系统(以下简称监测系统)事宜,双方自愿同意签订本合同。</w:t>
      </w:r>
    </w:p>
    <w:p w14:paraId="30C33B0F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  <w:t>一、合同价款</w:t>
      </w:r>
    </w:p>
    <w:p w14:paraId="4CBD7D0C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（一）合同总价款为人民币（大写）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</w:rPr>
        <w:t xml:space="preserve">元整   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（￥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</w:rPr>
        <w:t>元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）。</w:t>
      </w:r>
    </w:p>
    <w:p w14:paraId="1C7323F5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（二）合同总价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val="zh-CN"/>
        </w:rPr>
        <w:t>包括但不限于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运维费、国家按现行税率征收的一切税费及其它相关的费用。</w:t>
      </w:r>
    </w:p>
    <w:p w14:paraId="08372561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（三）合同总价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none"/>
        </w:rPr>
        <w:t>一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none"/>
          <w:lang w:eastAsia="zh-CN"/>
        </w:rPr>
        <w:t>但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签署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，不受市场价格变化因素的影响。</w:t>
      </w:r>
    </w:p>
    <w:p w14:paraId="46A1B6A1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  <w:t>二、付款方式</w:t>
      </w:r>
    </w:p>
    <w:p w14:paraId="44E827C3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（一）付款方式：签订合同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后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，甲方收到乙方开具的等额增值税发票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且满足支付条件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向乙方支付合同款项的百分之四十（40%），即人民币（大写）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</w:rPr>
        <w:t>元整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（￥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</w:rPr>
        <w:t>元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），运维期结束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验收合格满足支付条件后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向乙方支付合同款项的百分之六十（60%），即人民币（大写）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</w:rPr>
        <w:t>元整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（￥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</w:rPr>
        <w:t>元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）</w:t>
      </w:r>
    </w:p>
    <w:p w14:paraId="265BDF03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（二）结算方式：银行转账。</w:t>
      </w:r>
    </w:p>
    <w:p w14:paraId="2D87454A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  <w:t>三、服务要求：</w:t>
      </w:r>
    </w:p>
    <w:p w14:paraId="397A017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（一）服务地点：按采购人指定地点。</w:t>
      </w:r>
    </w:p>
    <w:p w14:paraId="18984845">
      <w:pPr>
        <w:autoSpaceDE w:val="0"/>
        <w:autoSpaceDN w:val="0"/>
        <w:adjustRightInd w:val="0"/>
        <w:spacing w:line="360" w:lineRule="auto"/>
        <w:ind w:left="0" w:leftChars="0"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（二）服务期限：监测系统总运营期1年（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年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日-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年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日）,由正式签订合同之日开始计算,乙方全面承担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自动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监测系统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二期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的软、硬件运营维护工作。</w:t>
      </w:r>
    </w:p>
    <w:p w14:paraId="25193E75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  <w:t>四、双方责任</w:t>
      </w:r>
    </w:p>
    <w:p w14:paraId="547DDB9B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（一）甲方责任</w:t>
      </w:r>
    </w:p>
    <w:p w14:paraId="7B5E9F9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1.按合同规定向乙方支付费用。</w:t>
      </w:r>
    </w:p>
    <w:p w14:paraId="781EA08D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2.负责协调乙方工作过程中与本项目有关单位的配合问题。</w:t>
      </w:r>
    </w:p>
    <w:p w14:paraId="4A0242EC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3.在本合同委托运营期内，甲方有权对乙方的工作进行监督和检查。</w:t>
      </w:r>
    </w:p>
    <w:p w14:paraId="52735979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4.乙方提出影响水站正常运行的情况，甲方应积极配合处理，在此期间造成的损失由甲方负责。</w:t>
      </w:r>
    </w:p>
    <w:p w14:paraId="53CE41C2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（二）乙方责任</w:t>
      </w:r>
    </w:p>
    <w:p w14:paraId="2ABD8A24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乙方应根据合同的规定，在双方约定的时间内做好运维服务项目内容。具体包括：</w:t>
      </w:r>
    </w:p>
    <w:p w14:paraId="446958AD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1.日常维护到位</w:t>
      </w:r>
    </w:p>
    <w:p w14:paraId="187BB746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根据合同约定的内容开展水站日常水站仪器设备的检查调校、易损件更换、耗材更换、试剂补充、管路清洗等工作。每日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查看监测数据不少于四次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，每周开展一次现场检查维护，远程监视及维护工作记录备查，按规定要求做好废液的处理。</w:t>
      </w:r>
    </w:p>
    <w:p w14:paraId="5D32A469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2.故障检修及时</w:t>
      </w:r>
    </w:p>
    <w:p w14:paraId="7ADA41E2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建立水站监测系统运行应急预案，当水站系统发生突发性设备故障时，运维公司在12小时内赶到现场进行处理。对于一些容易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处理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的故障，维修时间不超过24小时，维护费用由乙方负责。</w:t>
      </w:r>
    </w:p>
    <w:p w14:paraId="221E70F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3.数据采集完整</w:t>
      </w:r>
    </w:p>
    <w:p w14:paraId="04E082E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岸边站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数据采集频率为每间隔4个小时监测1次，每天一般采集6个瞬时值数据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，浮标站实时采集数据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。当水所在断面发生水污染事故时，将适当增加采样频次，保持数据传输系统畅通，发送数据及时。</w:t>
      </w:r>
    </w:p>
    <w:p w14:paraId="340BBE14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4.各项记录完整</w:t>
      </w:r>
    </w:p>
    <w:p w14:paraId="4187C208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按照国家、省有关规定及甲方要求做好日常巡检记录表，制定仪器维护记录表，校准结果报告表，仪器故障维修记录表，系统年度维护（大修）记录表等，编制月报、季报、年报，并定期提交。</w:t>
      </w:r>
    </w:p>
    <w:p w14:paraId="102B92AA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5.仪器更换</w:t>
      </w:r>
    </w:p>
    <w:p w14:paraId="72A62A7E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对于仪器使用寿命超过使用年限以后出现报废，或者因自然灾害等不可抗力导致的仪器报废，运维单位须先行及时报告西安市李家河水源地环境保护站，西安市李家河水源地环境保护站视情况决定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重新采购仪器开展监测，或使用运维公司备机开展监测，备机使用时长不超过三个月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。非有必要更换零件外，运维公司不得以换代修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。</w:t>
      </w:r>
    </w:p>
    <w:p w14:paraId="6BB92074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6.人员培训</w:t>
      </w:r>
    </w:p>
    <w:p w14:paraId="381EE592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运维单位负责西安市李家河水源地环境保护站技术人员的培训。培训内容包括：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培训教材采购、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设备的系统组成、运行原理、使用、操作、常见故障的检查排除，使甲方人员掌握主要技术，并能进行简单操作和维护。</w:t>
      </w:r>
    </w:p>
    <w:p w14:paraId="5E9A7FD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.驻场服务</w:t>
      </w:r>
    </w:p>
    <w:p w14:paraId="3F73439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提供驻场运维服务人员1名，保质保量按时完成上述工作内容，提供详实的运维记录。</w:t>
      </w:r>
    </w:p>
    <w:p w14:paraId="1D7FEFBA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val="en-US" w:eastAsia="zh-CN"/>
        </w:rPr>
        <w:t>8.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站房及浮标站外围年度预防性加固</w:t>
      </w:r>
    </w:p>
    <w:p w14:paraId="01E672D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每年汛期或极端天气来临前，对自动监测站、浮标站的基础设施进行强制性预防加固与维护。费用涵盖人工加固桩基、调整固定锚链、校准浮筒位置等作业。</w:t>
      </w:r>
    </w:p>
    <w:p w14:paraId="528F03F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val="en-US" w:eastAsia="zh-CN"/>
        </w:rPr>
        <w:t>9.设备比对监测需求</w:t>
      </w:r>
    </w:p>
    <w:p w14:paraId="365929DC">
      <w:pPr>
        <w:pStyle w:val="6"/>
        <w:numPr>
          <w:ilvl w:val="0"/>
          <w:numId w:val="0"/>
        </w:numPr>
        <w:tabs>
          <w:tab w:val="left" w:pos="823"/>
        </w:tabs>
        <w:spacing w:line="360" w:lineRule="auto"/>
        <w:ind w:firstLine="420" w:firstLineChars="200"/>
        <w:jc w:val="left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eastAsia="zh-CN"/>
        </w:rPr>
        <w:t>按照要求，需要出具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专业实验室比对报告，是保障数据真实性的法定依据，用于保障站点考核通过率及数据法律效力</w:t>
      </w:r>
      <w:bookmarkStart w:id="1" w:name="OLE_LINK3"/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eastAsia="zh-CN"/>
        </w:rPr>
        <w:t>。</w:t>
      </w:r>
    </w:p>
    <w:p w14:paraId="203969BA">
      <w:pPr>
        <w:pStyle w:val="6"/>
        <w:numPr>
          <w:ilvl w:val="0"/>
          <w:numId w:val="0"/>
        </w:numPr>
        <w:tabs>
          <w:tab w:val="left" w:pos="823"/>
        </w:tabs>
        <w:spacing w:line="360" w:lineRule="auto"/>
        <w:ind w:firstLine="420" w:firstLineChars="200"/>
        <w:jc w:val="left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val="en-US" w:eastAsia="zh-CN"/>
        </w:rPr>
        <w:t>10.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val="en-US" w:eastAsia="zh-CN"/>
        </w:rPr>
        <w:t>其他服务</w:t>
      </w:r>
    </w:p>
    <w:p w14:paraId="319CDD1B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及时清缴系统正常工作所需的各项电费、水费</w:t>
      </w:r>
      <w:bookmarkEnd w:id="1"/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eastAsia="zh-CN"/>
        </w:rPr>
        <w:t>。</w:t>
      </w:r>
    </w:p>
    <w:p w14:paraId="74D63BC4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  <w:t>五、服务承诺</w:t>
      </w:r>
    </w:p>
    <w:p w14:paraId="59BFCA6F">
      <w:pPr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（一）乙方有完善的服务保障措施，包括组织保障、人员保障，以及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val="zh-CN"/>
        </w:rPr>
        <w:t>服务应急预案，内容详实、有效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。</w:t>
      </w:r>
    </w:p>
    <w:p w14:paraId="2DC5E475">
      <w:pPr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（二）乙方需设置专一运维项目工作小组，明确对接人及人员工作安排框架。</w:t>
      </w:r>
    </w:p>
    <w:p w14:paraId="1BDA3812">
      <w:pPr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（三）乙方在本地有健全的售后服务机构。针对本项目及甲方实际需求提供详细具体可行的售后服务措施承诺。</w:t>
      </w:r>
    </w:p>
    <w:p w14:paraId="1DA5BCAB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  <w:t>六、发生不可抗力情况下的应对措施与解决办法</w:t>
      </w:r>
    </w:p>
    <w:p w14:paraId="7A43B373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合同期限内，除不可抗拒力（即因地震、火灾、山洪等自然灾害、战争、罢工、停电、政府和军队行为等）造成双方不能履行本合同，甲乙双方在履行义务的前提下任何一方不得变更或解除合同。一方如需解除或变更合同，应提前10天通知对方。</w:t>
      </w:r>
    </w:p>
    <w:p w14:paraId="12483FFC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  <w:t>七、违约责任</w:t>
      </w:r>
    </w:p>
    <w:p w14:paraId="78CB6E1A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（一）按《合同法》中的相关条款执行。</w:t>
      </w:r>
    </w:p>
    <w:p w14:paraId="2F4BC732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二）按合同要求提供单笔不超过1000元的备品备件不能满足采购技术要求，乙方必须无条件更换产品，提高技术，完善质量，否则，甲方会同监督机构、采购代理机构有权终止合同并对乙方违约行为进行追究，同时按政府采购供应商管理办法进行相应的处罚。</w:t>
      </w:r>
    </w:p>
    <w:p w14:paraId="0925847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（三）任何一方因不可抗力原因不能履行协议时，应尽快通知对方，双方均设法补偿。如仍无法履约协议，可协商延缓或撤销协议，双方责任免除。</w:t>
      </w:r>
    </w:p>
    <w:p w14:paraId="303F8245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val="zh-TW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val="zh-TW"/>
        </w:rPr>
        <w:t>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四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lang w:val="zh-TW"/>
        </w:rPr>
        <w:t>）乙方在提供服务过程中由于乙方人员操作不当造成第三方损害的，由乙方负责解决并承担全部赔偿责任，甲方不承担责任。如甲方需要承担，承当金额应得到双方认可后有权向乙方追偿。</w:t>
      </w:r>
    </w:p>
    <w:p w14:paraId="0F755FF8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  <w:t>八、合同争议解决的方式</w:t>
      </w:r>
    </w:p>
    <w:p w14:paraId="24EF6AD6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本合同在履行过程中发生的争议，由甲、乙双方当事人协商解决，协商不成的按下列第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  <w:u w:val="single"/>
        </w:rPr>
        <w:t>（二）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种方式解决：</w:t>
      </w:r>
    </w:p>
    <w:p w14:paraId="0FE260F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（一）提交西安仲裁委员会仲裁；</w:t>
      </w:r>
    </w:p>
    <w:p w14:paraId="7AAFD486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（二）依法向甲方所在地人民法院起诉。</w:t>
      </w:r>
    </w:p>
    <w:p w14:paraId="46791A3B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</w:rPr>
        <w:t>九、合同生效</w:t>
      </w:r>
    </w:p>
    <w:p w14:paraId="2EF02586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（一）本合同须经甲、乙双方的法定代表人（授权代理人）在合同书上签字并加盖本单位公章后正式生效。</w:t>
      </w:r>
    </w:p>
    <w:p w14:paraId="4DDC4239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（二）合同生效后，甲、乙双方须严格执行本合同条款的规定，全面履行合同，违者按《中华人民共和国合同法》的有关规定承担相应责任。</w:t>
      </w:r>
    </w:p>
    <w:p w14:paraId="15E5558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（三）本合同一式叁份，甲方贰份，乙方壹份。</w:t>
      </w:r>
    </w:p>
    <w:p w14:paraId="1A10020E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（四）本合同如有未尽事宜，甲、乙双方协商解决。</w:t>
      </w:r>
    </w:p>
    <w:p w14:paraId="5340507E">
      <w:pP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br w:type="page"/>
      </w:r>
    </w:p>
    <w:p w14:paraId="732B81EA">
      <w:pPr>
        <w:pStyle w:val="4"/>
        <w:spacing w:line="360" w:lineRule="auto"/>
        <w:jc w:val="left"/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  <w:t>（以下无正文）</w:t>
      </w:r>
    </w:p>
    <w:p w14:paraId="61483B6C">
      <w:pPr>
        <w:rPr>
          <w:rFonts w:hint="eastAsia" w:asciiTheme="majorEastAsia" w:hAnsiTheme="majorEastAsia" w:eastAsiaTheme="majorEastAsia" w:cstheme="majorEastAsia"/>
          <w:bCs/>
          <w:color w:val="auto"/>
          <w:sz w:val="21"/>
          <w:szCs w:val="21"/>
          <w:highlight w:val="none"/>
        </w:rPr>
      </w:pPr>
    </w:p>
    <w:p w14:paraId="65BBDEB7">
      <w:pPr>
        <w:pStyle w:val="4"/>
        <w:spacing w:line="360" w:lineRule="auto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</w:pPr>
    </w:p>
    <w:tbl>
      <w:tblPr>
        <w:tblStyle w:val="7"/>
        <w:tblW w:w="84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0"/>
        <w:gridCol w:w="4193"/>
      </w:tblGrid>
      <w:tr w14:paraId="5DD9D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53832FE0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甲  方：西安市李家河水源地环境保护管理站</w:t>
            </w:r>
          </w:p>
        </w:tc>
        <w:tc>
          <w:tcPr>
            <w:tcW w:w="4193" w:type="dxa"/>
            <w:vAlign w:val="center"/>
          </w:tcPr>
          <w:p w14:paraId="6AD08DB9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乙  方：</w:t>
            </w:r>
          </w:p>
        </w:tc>
      </w:tr>
      <w:tr w14:paraId="0C080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09AEE081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（盖章）</w:t>
            </w:r>
          </w:p>
        </w:tc>
        <w:tc>
          <w:tcPr>
            <w:tcW w:w="4193" w:type="dxa"/>
            <w:vAlign w:val="center"/>
          </w:tcPr>
          <w:p w14:paraId="14E76485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（盖章）</w:t>
            </w:r>
          </w:p>
        </w:tc>
      </w:tr>
      <w:tr w14:paraId="58909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2B6F9BC3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邮编：</w:t>
            </w:r>
          </w:p>
        </w:tc>
        <w:tc>
          <w:tcPr>
            <w:tcW w:w="4193" w:type="dxa"/>
            <w:vAlign w:val="center"/>
          </w:tcPr>
          <w:p w14:paraId="73B742F5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邮编：</w:t>
            </w:r>
          </w:p>
        </w:tc>
      </w:tr>
      <w:tr w14:paraId="207F2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3DFA1D52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 xml:space="preserve">法定代表人： </w:t>
            </w:r>
          </w:p>
        </w:tc>
        <w:tc>
          <w:tcPr>
            <w:tcW w:w="4193" w:type="dxa"/>
            <w:vAlign w:val="center"/>
          </w:tcPr>
          <w:p w14:paraId="3F43A0DD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法定代表人：</w:t>
            </w:r>
          </w:p>
        </w:tc>
      </w:tr>
      <w:tr w14:paraId="6D04F0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485A0373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被授权代表：</w:t>
            </w:r>
          </w:p>
        </w:tc>
        <w:tc>
          <w:tcPr>
            <w:tcW w:w="4193" w:type="dxa"/>
            <w:vAlign w:val="center"/>
          </w:tcPr>
          <w:p w14:paraId="404332E9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被授权代表：</w:t>
            </w:r>
          </w:p>
        </w:tc>
      </w:tr>
      <w:tr w14:paraId="7DA8D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717FF9BE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电话：</w:t>
            </w:r>
          </w:p>
        </w:tc>
        <w:tc>
          <w:tcPr>
            <w:tcW w:w="4193" w:type="dxa"/>
            <w:vAlign w:val="center"/>
          </w:tcPr>
          <w:p w14:paraId="559CDBCB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电话：</w:t>
            </w:r>
          </w:p>
        </w:tc>
      </w:tr>
      <w:tr w14:paraId="22497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518B892E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93" w:type="dxa"/>
            <w:vAlign w:val="center"/>
          </w:tcPr>
          <w:p w14:paraId="711A8ABE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 xml:space="preserve">开户银行：  </w:t>
            </w:r>
          </w:p>
        </w:tc>
      </w:tr>
      <w:tr w14:paraId="6AE50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785FA53B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93" w:type="dxa"/>
            <w:vAlign w:val="center"/>
          </w:tcPr>
          <w:p w14:paraId="0852C891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开户行账号：</w:t>
            </w:r>
          </w:p>
        </w:tc>
      </w:tr>
      <w:tr w14:paraId="68813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6F50C1B4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日期：</w:t>
            </w:r>
          </w:p>
        </w:tc>
        <w:tc>
          <w:tcPr>
            <w:tcW w:w="4193" w:type="dxa"/>
            <w:vAlign w:val="center"/>
          </w:tcPr>
          <w:p w14:paraId="08240284">
            <w:pPr>
              <w:autoSpaceDE w:val="0"/>
              <w:autoSpaceDN w:val="0"/>
              <w:adjustRightInd w:val="0"/>
              <w:spacing w:line="360" w:lineRule="auto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highlight w:val="none"/>
              </w:rPr>
              <w:t>日期：</w:t>
            </w:r>
          </w:p>
        </w:tc>
      </w:tr>
    </w:tbl>
    <w:p w14:paraId="36C84F47">
      <w:pPr>
        <w:pStyle w:val="4"/>
        <w:spacing w:line="540" w:lineRule="exact"/>
        <w:jc w:val="both"/>
        <w:rPr>
          <w:rFonts w:hint="eastAsia" w:asciiTheme="majorEastAsia" w:hAnsiTheme="majorEastAsia" w:eastAsiaTheme="majorEastAsia" w:cstheme="majorEastAsia"/>
          <w:color w:val="auto"/>
          <w:highlight w:val="none"/>
        </w:rPr>
      </w:pPr>
    </w:p>
    <w:p w14:paraId="15AD65C8">
      <w:pPr>
        <w:rPr>
          <w:rFonts w:hint="eastAsia" w:asciiTheme="majorEastAsia" w:hAnsiTheme="majorEastAsia" w:eastAsiaTheme="majorEastAsia" w:cstheme="majorEastAsia"/>
          <w:color w:val="auto"/>
          <w:highlight w:val="none"/>
        </w:rPr>
      </w:pPr>
    </w:p>
    <w:p w14:paraId="218F9432">
      <w:pPr>
        <w:rPr>
          <w:b/>
          <w:bCs/>
          <w:highlight w:val="none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46401"/>
    <w:rsid w:val="44B3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sz w:val="28"/>
    </w:r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Body Text First Indent 2"/>
    <w:basedOn w:val="5"/>
    <w:qFormat/>
    <w:uiPriority w:val="0"/>
    <w:pPr>
      <w:ind w:firstLine="42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3904</Words>
  <Characters>3926</Characters>
  <Lines>0</Lines>
  <Paragraphs>0</Paragraphs>
  <TotalTime>0</TotalTime>
  <ScaleCrop>false</ScaleCrop>
  <LinksUpToDate>false</LinksUpToDate>
  <CharactersWithSpaces>4044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2026-06-29T02:48:00Z</dcterms:created>
  <dc:creator>Administrator</dc:creator>
  <cp:lastModifiedBy>开心聪father</cp:lastModifiedBy>
  <dcterms:modified xsi:type="dcterms:W3CDTF">2026-07-01T06:45:24Z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eyJoZGlkIjoiNDA1ZjEwOTFmNGExMmNlNTk1Y2VlMzljYTdjMDg4YmMiLCJ1c2VySWQiOiIzOTE4MjQzNDgifQ==</vt:lpwstr>
  </property>
  <property fmtid="{D5CDD505-2E9C-101B-9397-08002B2CF9AE}" pid="4" name="ICV">
    <vt:lpwstr>FD65EFB2C3534BD38BC77D83866328B0_12</vt:lpwstr>
  </property>
</Properties>
</file>