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版本号：政采-留坝县-2026-0055120260827001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留坝县县城花海体育运动公园建设项目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政采-留坝县-2026-00551</w:t>
      </w:r>
      <w:r>
        <w:br/>
      </w:r>
      <w:r>
        <w:br/>
      </w:r>
      <w:r>
        <w:br/>
      </w:r>
    </w:p>
    <w:p>
      <w:pPr>
        <w:pStyle w:val="null3"/>
        <w:jc w:val="center"/>
        <w:outlineLvl w:val="2"/>
      </w:pPr>
      <w:r>
        <w:rPr>
          <w:rFonts w:ascii="仿宋_GB2312" w:hAnsi="仿宋_GB2312" w:cs="仿宋_GB2312" w:eastAsia="仿宋_GB2312"/>
          <w:sz w:val="28"/>
          <w:b/>
        </w:rPr>
        <w:t>留坝县体育运动中心</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留坝县体育运动中心</w:t>
      </w:r>
      <w:r>
        <w:rPr>
          <w:rFonts w:ascii="仿宋_GB2312" w:hAnsi="仿宋_GB2312" w:cs="仿宋_GB2312" w:eastAsia="仿宋_GB2312"/>
        </w:rPr>
        <w:t>委托，拟对</w:t>
      </w:r>
      <w:r>
        <w:rPr>
          <w:rFonts w:ascii="仿宋_GB2312" w:hAnsi="仿宋_GB2312" w:cs="仿宋_GB2312" w:eastAsia="仿宋_GB2312"/>
        </w:rPr>
        <w:t>留坝县县城花海体育运动公园建设项目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政采-留坝县-2026-00551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留坝县县城花海体育运动公园建设项目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新建多功能健身场地1处、儿童乐园1处，包含羽毛球场2块、笼式篮球场1块、乒乓球场4块、儿童游乐设施及健身器材，配套建设照明系统、内部座椅设施等。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采购包1（留坝县县城花海体育运动公园建设项目）：属于专门面向小微企业采购。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份证明：投标人应具有独⽴承担⺠事责任的能⼒的企业法⼈、事业法⼈、其他组织或者⾃然⼈，企业法⼈应提供营业执照等证明⽂件;事业法⼈应提供事业单位法⼈证、组织机构代码证等证明⽂件(或统⼀社会信⽤代码的事业单位法⼈证)等证明⽂件;其他组织应提供合法证明⽂件;⾃然⼈提供⾝份证明⽂件</w:t>
      </w:r>
    </w:p>
    <w:p>
      <w:pPr>
        <w:pStyle w:val="null3"/>
      </w:pPr>
      <w:r>
        <w:rPr>
          <w:rFonts w:ascii="仿宋_GB2312" w:hAnsi="仿宋_GB2312" w:cs="仿宋_GB2312" w:eastAsia="仿宋_GB2312"/>
        </w:rPr>
        <w:t>2、法定代表⼈授权书：法定代表⼈直接参加投标的，须出具法⼈⾝份证(附法定代表⼈⾝份证复印件);法定代表⼈授权代表参加投标的，须出具法定代表⼈授权书及授权代表⾝份证(附法定代表⼈⾝份证复印件及被授权⼈⾝份证复印件)</w:t>
      </w:r>
    </w:p>
    <w:p>
      <w:pPr>
        <w:pStyle w:val="null3"/>
      </w:pPr>
      <w:r>
        <w:rPr>
          <w:rFonts w:ascii="仿宋_GB2312" w:hAnsi="仿宋_GB2312" w:cs="仿宋_GB2312" w:eastAsia="仿宋_GB2312"/>
        </w:rPr>
        <w:t>3、投标人资格承诺函：投标人须具有良好的商业信誉和健全的财务会计制度、具有履⾏合同所必需的设备和专业技术能⼒、具有依法缴纳税收和社会保障资⾦的良好记录，参加本项⽬采购活动前三年内⽆重⼤违法活动记录，未列⼊在信⽤中国⽹站“失信被执⾏⼈”、“重⼤税收违法案件当事⼈名单"中，也未列⼊中国政府采购⽹“政府采购严重违法失信⾏为记录名单"中;提供《汉中市政府采购供应商资格承诺函》</w:t>
      </w:r>
    </w:p>
    <w:p>
      <w:pPr>
        <w:pStyle w:val="null3"/>
      </w:pPr>
      <w:r>
        <w:rPr>
          <w:rFonts w:ascii="仿宋_GB2312" w:hAnsi="仿宋_GB2312" w:cs="仿宋_GB2312" w:eastAsia="仿宋_GB2312"/>
        </w:rPr>
        <w:t>4、中⼩企业声明函：本项⽬专⻔⾯向中⼩企业采购，投标⼈应为中 型、⼩型、微型企业、残疾⼈福利性单位或监 狱企业；中⼩微企业须提供《中⼩企业声明函 》，残疾⼈福利性单位须提供《残疾⼈福利性 单位声明函》，监狱企业须提供监狱企业证明 材料（残疾⼈福利性单位、监狱企业视同⼩型 、微型企业）。（材料应清晰可辨并进⾏电⼦ 签章）</w:t>
      </w:r>
    </w:p>
    <w:p>
      <w:pPr>
        <w:pStyle w:val="null3"/>
      </w:pPr>
      <w:r>
        <w:rPr>
          <w:rFonts w:ascii="仿宋_GB2312" w:hAnsi="仿宋_GB2312" w:cs="仿宋_GB2312" w:eastAsia="仿宋_GB2312"/>
        </w:rPr>
        <w:t>5、⾮联合体投标声明函：本项⽬不接受联合体投标（提供⾮联合体声明 ）。（材料应清晰可辨并进⾏电⼦签章）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陕西省汉中市留坝县紫柏路331号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汤文茜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18829160272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采购包1：1,928,444.00元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开户名称：陕西培森项⽬管理有限公司天汉分公司</w:t>
            </w:r>
          </w:p>
          <w:p>
            <w:pPr>
              <w:pStyle w:val="null3"/>
            </w:pPr>
            <w:r>
              <w:rPr>
                <w:rFonts w:ascii="仿宋_GB2312" w:hAnsi="仿宋_GB2312" w:cs="仿宋_GB2312" w:eastAsia="仿宋_GB2312"/>
              </w:rPr>
              <w:t>开户银行：中国⼯商银⾏股份有限公司汉中⾼新⽀⾏</w:t>
            </w:r>
          </w:p>
          <w:p>
            <w:pPr>
              <w:pStyle w:val="null3"/>
            </w:pPr>
            <w:r>
              <w:rPr>
                <w:rFonts w:ascii="仿宋_GB2312" w:hAnsi="仿宋_GB2312" w:cs="仿宋_GB2312" w:eastAsia="仿宋_GB2312"/>
              </w:rPr>
              <w:t>银行账号：2606050609200080450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办法》和国家发展改⾰委办公厅（发改办价格【2003】857号）和国家发展改⾰委（发改价格【2011】534号）⽂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留坝县体育运动中心</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货物质量规格数量符合招标⽂件要求、交货期满⾜招标⽂件要求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新建多功能健身场地1处、儿童乐园1处，包含羽毛球场2块、笼式篮球场1块、乒乓球场4块、儿童游乐设施及健身器材，配套建设照明系统、内部座椅设施等。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1,928,444.00</w:t>
      </w:r>
    </w:p>
    <w:p>
      <w:pPr>
        <w:pStyle w:val="null3"/>
      </w:pPr>
      <w:r>
        <w:rPr>
          <w:rFonts w:ascii="仿宋_GB2312" w:hAnsi="仿宋_GB2312" w:cs="仿宋_GB2312" w:eastAsia="仿宋_GB2312"/>
        </w:rPr>
        <w:t>采购包最高限价（元）: 1,928,444.00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体育相关器材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1,928,444.00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标的名称：体育相关器材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97"/>
              <w:gridCol w:w="238"/>
              <w:gridCol w:w="238"/>
              <w:gridCol w:w="1401"/>
              <w:gridCol w:w="172"/>
              <w:gridCol w:w="304"/>
            </w:tblGrid>
            <w:tr>
              <w:tc>
                <w:tcPr>
                  <w:tcW w:type="dxa" w:w="1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47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名称</w:t>
                  </w:r>
                </w:p>
              </w:tc>
              <w:tc>
                <w:tcPr>
                  <w:tcW w:type="dxa" w:w="140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特征描述</w:t>
                  </w:r>
                </w:p>
              </w:tc>
              <w:tc>
                <w:tcPr>
                  <w:tcW w:type="dxa" w:w="17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r>
            <w:tr>
              <w:tc>
                <w:tcPr>
                  <w:tcW w:type="dxa" w:w="197"/>
                  <w:vMerge/>
                  <w:tcBorders>
                    <w:top w:val="single" w:color="000000" w:sz="4"/>
                    <w:left w:val="single" w:color="000000" w:sz="4"/>
                    <w:bottom w:val="single" w:color="000000" w:sz="4"/>
                    <w:right w:val="single" w:color="000000" w:sz="4"/>
                  </w:tcBorders>
                </w:tcPr>
                <w:p/>
              </w:tc>
              <w:tc>
                <w:tcPr>
                  <w:tcW w:type="dxa" w:w="476"/>
                  <w:gridSpan w:val="2"/>
                  <w:vMerge/>
                  <w:tcBorders>
                    <w:top w:val="single" w:color="000000" w:sz="4"/>
                    <w:left w:val="single" w:color="000000" w:sz="4"/>
                    <w:bottom w:val="single" w:color="000000" w:sz="4"/>
                    <w:right w:val="single" w:color="000000" w:sz="4"/>
                  </w:tcBorders>
                </w:tcPr>
                <w:p/>
              </w:tc>
              <w:tc>
                <w:tcPr>
                  <w:tcW w:type="dxa" w:w="1401"/>
                  <w:vMerge/>
                  <w:tcBorders>
                    <w:top w:val="single" w:color="000000" w:sz="4"/>
                    <w:left w:val="single" w:color="000000" w:sz="4"/>
                    <w:bottom w:val="single" w:color="000000" w:sz="4"/>
                    <w:right w:val="single" w:color="000000" w:sz="4"/>
                  </w:tcBorders>
                </w:tcP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★定制环廊</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1.定制环廊</w:t>
                  </w:r>
                  <w:r>
                    <w:br/>
                  </w:r>
                  <w:r>
                    <w:rPr>
                      <w:rFonts w:ascii="仿宋_GB2312" w:hAnsi="仿宋_GB2312" w:cs="仿宋_GB2312" w:eastAsia="仿宋_GB2312"/>
                      <w:sz w:val="19"/>
                      <w:color w:val="000000"/>
                    </w:rPr>
                    <w:t xml:space="preserve"> 2.规格：≥2000*1500*550cm</w:t>
                  </w:r>
                  <w:r>
                    <w:br/>
                  </w:r>
                  <w:r>
                    <w:rPr>
                      <w:rFonts w:ascii="仿宋_GB2312" w:hAnsi="仿宋_GB2312" w:cs="仿宋_GB2312" w:eastAsia="仿宋_GB2312"/>
                      <w:sz w:val="19"/>
                      <w:color w:val="000000"/>
                    </w:rPr>
                    <w:t xml:space="preserve"> 3.主体框架采用直径≥110mm，厚度≥2mm镀锌钢管，钢管经机械抛光，表面用塑粉静电喷塑，高温加热后，色彩鲜艳，不易脱落，平台采用厚度≥2.5mm花纹钢板焊接而成，除油、磷化、抛砂处理后，表面喷涂户外漆，表面光滑，抗紫外线强，耐腐蚀。          </w:t>
                  </w:r>
                  <w:r>
                    <w:br/>
                  </w:r>
                  <w:r>
                    <w:rPr>
                      <w:rFonts w:ascii="仿宋_GB2312" w:hAnsi="仿宋_GB2312" w:cs="仿宋_GB2312" w:eastAsia="仿宋_GB2312"/>
                      <w:sz w:val="19"/>
                      <w:color w:val="000000"/>
                    </w:rPr>
                    <w:t xml:space="preserve"> 4.圆管配件:直径25-60mm不等的镀锌钢管。         5.塑料件:聚乙烯无毒无味，一次性成型，韧性好，强度高,不会破裂，造型美，抗老化，抗静电。色彩鲜艳，不褪色，经久耐用。</w:t>
                  </w:r>
                  <w:r>
                    <w:br/>
                  </w:r>
                  <w:r>
                    <w:rPr>
                      <w:rFonts w:ascii="仿宋_GB2312" w:hAnsi="仿宋_GB2312" w:cs="仿宋_GB2312" w:eastAsia="仿宋_GB2312"/>
                      <w:sz w:val="19"/>
                      <w:color w:val="000000"/>
                    </w:rPr>
                    <w:t xml:space="preserve"> 6.造型面板采用厚度≥2mm厚的镀锌钢板，激光切割，整体气保焊焊接成，加工成型进行热镀锌及抛砂处理，表面喷涂环保油漆，表面光滑，抗紫外线强，耐腐蚀。</w:t>
                  </w:r>
                  <w:r>
                    <w:br/>
                  </w:r>
                  <w:r>
                    <w:rPr>
                      <w:rFonts w:ascii="仿宋_GB2312" w:hAnsi="仿宋_GB2312" w:cs="仿宋_GB2312" w:eastAsia="仿宋_GB2312"/>
                      <w:sz w:val="19"/>
                      <w:color w:val="000000"/>
                    </w:rPr>
                    <w:t xml:space="preserve"> 7.五金部件采用304不锈钢配件。</w:t>
                  </w:r>
                  <w:r>
                    <w:br/>
                  </w:r>
                  <w:r>
                    <w:rPr>
                      <w:rFonts w:ascii="仿宋_GB2312" w:hAnsi="仿宋_GB2312" w:cs="仿宋_GB2312" w:eastAsia="仿宋_GB2312"/>
                      <w:sz w:val="19"/>
                      <w:color w:val="000000"/>
                    </w:rPr>
                    <w:t xml:space="preserve"> 8.爬网:采用缆绳，直径≥14mm，钢丝均匀分布，网绳编织采用专用绳扣连接，网格大小：≤15*15cm：   </w:t>
                  </w:r>
                  <w:r>
                    <w:br/>
                  </w:r>
                  <w:r>
                    <w:rPr>
                      <w:rFonts w:ascii="仿宋_GB2312" w:hAnsi="仿宋_GB2312" w:cs="仿宋_GB2312" w:eastAsia="仿宋_GB2312"/>
                      <w:sz w:val="19"/>
                      <w:color w:val="000000"/>
                    </w:rPr>
                    <w:t xml:space="preserve"> 9.滑道为HDPE工程塑料</w:t>
                  </w:r>
                  <w:r>
                    <w:br/>
                  </w:r>
                  <w:r>
                    <w:rPr>
                      <w:rFonts w:ascii="仿宋_GB2312" w:hAnsi="仿宋_GB2312" w:cs="仿宋_GB2312" w:eastAsia="仿宋_GB2312"/>
                      <w:sz w:val="19"/>
                      <w:color w:val="000000"/>
                    </w:rPr>
                    <w:t xml:space="preserve"> 10.采购、运输、安装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97"/>
              <w:gridCol w:w="238"/>
              <w:gridCol w:w="238"/>
              <w:gridCol w:w="1401"/>
              <w:gridCol w:w="172"/>
              <w:gridCol w:w="304"/>
            </w:tblGrid>
            <w:tr>
              <w:tc>
                <w:tcPr>
                  <w:tcW w:type="dxa" w:w="1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47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名称</w:t>
                  </w:r>
                </w:p>
              </w:tc>
              <w:tc>
                <w:tcPr>
                  <w:tcW w:type="dxa" w:w="140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特征描述</w:t>
                  </w:r>
                </w:p>
              </w:tc>
              <w:tc>
                <w:tcPr>
                  <w:tcW w:type="dxa" w:w="17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r>
            <w:tr>
              <w:tc>
                <w:tcPr>
                  <w:tcW w:type="dxa" w:w="197"/>
                  <w:vMerge/>
                  <w:tcBorders>
                    <w:top w:val="single" w:color="000000" w:sz="4"/>
                    <w:left w:val="single" w:color="000000" w:sz="4"/>
                    <w:bottom w:val="single" w:color="000000" w:sz="4"/>
                    <w:right w:val="single" w:color="000000" w:sz="4"/>
                  </w:tcBorders>
                </w:tcPr>
                <w:p/>
              </w:tc>
              <w:tc>
                <w:tcPr>
                  <w:tcW w:type="dxa" w:w="476"/>
                  <w:gridSpan w:val="2"/>
                  <w:vMerge/>
                  <w:tcBorders>
                    <w:top w:val="single" w:color="000000" w:sz="4"/>
                    <w:left w:val="single" w:color="000000" w:sz="4"/>
                    <w:bottom w:val="single" w:color="000000" w:sz="4"/>
                    <w:right w:val="single" w:color="000000" w:sz="4"/>
                  </w:tcBorders>
                </w:tcPr>
                <w:p/>
              </w:tc>
              <w:tc>
                <w:tcPr>
                  <w:tcW w:type="dxa" w:w="1401"/>
                  <w:vMerge/>
                  <w:tcBorders>
                    <w:top w:val="single" w:color="000000" w:sz="4"/>
                    <w:left w:val="single" w:color="000000" w:sz="4"/>
                    <w:bottom w:val="single" w:color="000000" w:sz="4"/>
                    <w:right w:val="single" w:color="000000" w:sz="4"/>
                  </w:tcBorders>
                </w:tcP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▲篮球架</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箱体式篮球架，篮架伸臂</w:t>
                  </w:r>
                  <w:r>
                    <w:rPr>
                      <w:rFonts w:ascii="仿宋_GB2312" w:hAnsi="仿宋_GB2312" w:cs="仿宋_GB2312" w:eastAsia="仿宋_GB2312"/>
                      <w:sz w:val="19"/>
                      <w:color w:val="000000"/>
                    </w:rPr>
                    <w:t>≥1850mm。</w:t>
                  </w:r>
                  <w:r>
                    <w:rPr>
                      <w:rFonts w:ascii="仿宋_GB2312" w:hAnsi="仿宋_GB2312" w:cs="仿宋_GB2312" w:eastAsia="仿宋_GB2312"/>
                      <w:sz w:val="19"/>
                      <w:color w:val="000000"/>
                    </w:rPr>
                    <w:t>。</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r>
                    <w:br/>
                  </w:r>
                  <w:r>
                    <w:rPr>
                      <w:rFonts w:ascii="仿宋_GB2312" w:hAnsi="仿宋_GB2312" w:cs="仿宋_GB2312" w:eastAsia="仿宋_GB2312"/>
                      <w:sz w:val="19"/>
                      <w:color w:val="000000"/>
                    </w:rPr>
                    <w:t xml:space="preserve"> 6.1组包含2个篮球架。</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▲智能健身亭</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1、伞膜结构；太阳能系统：具有照明，能量存储功能；配用智能器材：钟摆训练器、健身车、太极揉推器、扭腰器、划船器、背按摩训练器 、棋牌桌等（可根据需求选配）。安装方式：直埋式。</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▲乒乓球桌</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1、主要承载立柱材料为钢管；台面尺寸2740×1525mm</w:t>
                  </w:r>
                  <w:r>
                    <w:rPr>
                      <w:rFonts w:ascii="仿宋_GB2312" w:hAnsi="仿宋_GB2312" w:cs="仿宋_GB2312" w:eastAsia="仿宋_GB2312"/>
                      <w:sz w:val="20"/>
                      <w:color w:val="000000"/>
                    </w:rPr>
                    <w:t>±3mm</w:t>
                  </w:r>
                  <w:r>
                    <w:rPr>
                      <w:rFonts w:ascii="仿宋_GB2312" w:hAnsi="仿宋_GB2312" w:cs="仿宋_GB2312" w:eastAsia="仿宋_GB2312"/>
                      <w:sz w:val="20"/>
                      <w:color w:val="000000"/>
                    </w:rPr>
                    <w:t>，球台腿采用直径为≥Φ60mm，壁厚≥3mm优质管材，</w:t>
                  </w:r>
                  <w:r>
                    <w:br/>
                  </w:r>
                  <w:r>
                    <w:rPr>
                      <w:rFonts w:ascii="仿宋_GB2312" w:hAnsi="仿宋_GB2312" w:cs="仿宋_GB2312" w:eastAsia="仿宋_GB2312"/>
                      <w:sz w:val="20"/>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20"/>
                      <w:color w:val="000000"/>
                    </w:rPr>
                    <w:t xml:space="preserve"> 4、器材安全使用年限≥8年。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▲云梯</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▲太极揉推器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▲双人漫步机</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▲椭圆漫步机</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▲双人坐蹬</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▲三人扭腰器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2.器材产品符合 GB19272-2024（室外健身器材的安全通用要求）相关标准要求。                                                                                      3.产品须通过全国认证认可信息公共服务平台官方网站可查的第三方认证机构出具的符合GB19272一2024《室外健身器材的安全通用要求》产品认证证书和证书确认函。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4.器材安全使用年限≥8年。</w:t>
                  </w:r>
                  <w:r>
                    <w:br/>
                  </w:r>
                  <w:r>
                    <w:rPr>
                      <w:rFonts w:ascii="仿宋_GB2312" w:hAnsi="仿宋_GB2312" w:cs="仿宋_GB2312" w:eastAsia="仿宋_GB2312"/>
                      <w:sz w:val="19"/>
                      <w:color w:val="000000"/>
                    </w:rPr>
                    <w:t xml:space="preserve"> 5.采购、运输、安装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▲告示牌</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1.主要承载立柱材料为钢管；厚度≥3.0mm，直径≥110mm</w:t>
                  </w:r>
                  <w:r>
                    <w:br/>
                  </w:r>
                  <w:r>
                    <w:rPr>
                      <w:rFonts w:ascii="仿宋_GB2312" w:hAnsi="仿宋_GB2312" w:cs="仿宋_GB2312" w:eastAsia="仿宋_GB2312"/>
                      <w:sz w:val="19"/>
                      <w:color w:val="000000"/>
                    </w:rPr>
                    <w:t xml:space="preserve"> 2.器材安全警示采用图示方式，告知使用者可能存在的风险；</w:t>
                  </w:r>
                  <w:r>
                    <w:br/>
                  </w:r>
                  <w:r>
                    <w:rPr>
                      <w:rFonts w:ascii="仿宋_GB2312" w:hAnsi="仿宋_GB2312" w:cs="仿宋_GB2312" w:eastAsia="仿宋_GB2312"/>
                      <w:sz w:val="19"/>
                      <w:color w:val="000000"/>
                    </w:rPr>
                    <w:t xml:space="preserve"> 3.器材产品符合 GB19272-2024（室外健身器材的安全通用要求）相关标准要求。                                                                                      4.产品须通过全国认证认可信息公共服务平台官方网站可查的第三方认证机构出具的符合GB19272一2024《室外健身器材的安全通用要求》产品认证证书和证书确认函。</w:t>
                  </w:r>
                  <w:r>
                    <w:br/>
                  </w:r>
                  <w:r>
                    <w:rPr>
                      <w:rFonts w:ascii="仿宋_GB2312" w:hAnsi="仿宋_GB2312" w:cs="仿宋_GB2312" w:eastAsia="仿宋_GB2312"/>
                      <w:sz w:val="19"/>
                      <w:color w:val="000000"/>
                    </w:rPr>
                    <w:t xml:space="preserve"> 5.器材安全使用年限≥8年。</w:t>
                  </w:r>
                  <w:r>
                    <w:br/>
                  </w:r>
                  <w:r>
                    <w:rPr>
                      <w:rFonts w:ascii="仿宋_GB2312" w:hAnsi="仿宋_GB2312" w:cs="仿宋_GB2312" w:eastAsia="仿宋_GB2312"/>
                      <w:sz w:val="19"/>
                      <w:color w:val="000000"/>
                    </w:rPr>
                    <w:t xml:space="preserve"> 6.采购、运输、安装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97"/>
              <w:gridCol w:w="238"/>
              <w:gridCol w:w="238"/>
              <w:gridCol w:w="1401"/>
              <w:gridCol w:w="172"/>
              <w:gridCol w:w="304"/>
            </w:tblGrid>
            <w:tr>
              <w:tc>
                <w:tcPr>
                  <w:tcW w:type="dxa" w:w="19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序号</w:t>
                  </w:r>
                </w:p>
              </w:tc>
              <w:tc>
                <w:tcPr>
                  <w:tcW w:type="dxa" w:w="476"/>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名称</w:t>
                  </w:r>
                </w:p>
              </w:tc>
              <w:tc>
                <w:tcPr>
                  <w:tcW w:type="dxa" w:w="140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特征描述</w:t>
                  </w:r>
                </w:p>
              </w:tc>
              <w:tc>
                <w:tcPr>
                  <w:tcW w:type="dxa" w:w="17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计量单位</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数量</w:t>
                  </w:r>
                </w:p>
              </w:tc>
            </w:tr>
            <w:tr>
              <w:tc>
                <w:tcPr>
                  <w:tcW w:type="dxa" w:w="197"/>
                  <w:vMerge/>
                  <w:tcBorders>
                    <w:top w:val="single" w:color="000000" w:sz="4"/>
                    <w:left w:val="single" w:color="000000" w:sz="4"/>
                    <w:bottom w:val="single" w:color="000000" w:sz="4"/>
                    <w:right w:val="single" w:color="000000" w:sz="4"/>
                  </w:tcBorders>
                </w:tcPr>
                <w:p/>
              </w:tc>
              <w:tc>
                <w:tcPr>
                  <w:tcW w:type="dxa" w:w="476"/>
                  <w:gridSpan w:val="2"/>
                  <w:vMerge/>
                  <w:tcBorders>
                    <w:top w:val="single" w:color="000000" w:sz="4"/>
                    <w:left w:val="single" w:color="000000" w:sz="4"/>
                    <w:bottom w:val="single" w:color="000000" w:sz="4"/>
                    <w:right w:val="single" w:color="000000" w:sz="4"/>
                  </w:tcBorders>
                </w:tcPr>
                <w:p/>
              </w:tc>
              <w:tc>
                <w:tcPr>
                  <w:tcW w:type="dxa" w:w="1401"/>
                  <w:vMerge/>
                  <w:tcBorders>
                    <w:top w:val="single" w:color="000000" w:sz="4"/>
                    <w:left w:val="single" w:color="000000" w:sz="4"/>
                    <w:bottom w:val="single" w:color="000000" w:sz="4"/>
                    <w:right w:val="single" w:color="000000" w:sz="4"/>
                  </w:tcBorders>
                </w:tcP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硅PU塑胶地面</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1.≥8mm厚硅PU塑胶地面</w:t>
                  </w:r>
                  <w:r>
                    <w:br/>
                  </w:r>
                  <w:r>
                    <w:rPr>
                      <w:rFonts w:ascii="仿宋_GB2312" w:hAnsi="仿宋_GB2312" w:cs="仿宋_GB2312" w:eastAsia="仿宋_GB2312"/>
                      <w:sz w:val="19"/>
                      <w:color w:val="000000"/>
                    </w:rPr>
                    <w:t xml:space="preserve"> 2.≥30mm厚1:3水泥砂浆找平</w:t>
                  </w:r>
                  <w:r>
                    <w:br/>
                  </w:r>
                  <w:r>
                    <w:rPr>
                      <w:rFonts w:ascii="仿宋_GB2312" w:hAnsi="仿宋_GB2312" w:cs="仿宋_GB2312" w:eastAsia="仿宋_GB2312"/>
                      <w:sz w:val="19"/>
                      <w:color w:val="000000"/>
                    </w:rPr>
                    <w:t xml:space="preserve"> 3.≥150mm厚C25混凝土垫层</w:t>
                  </w:r>
                  <w:r>
                    <w:br/>
                  </w:r>
                  <w:r>
                    <w:rPr>
                      <w:rFonts w:ascii="仿宋_GB2312" w:hAnsi="仿宋_GB2312" w:cs="仿宋_GB2312" w:eastAsia="仿宋_GB2312"/>
                      <w:sz w:val="19"/>
                      <w:color w:val="000000"/>
                    </w:rPr>
                    <w:t xml:space="preserve"> 4.≥100mm厚级配砂石垫层</w:t>
                  </w:r>
                  <w:r>
                    <w:br/>
                  </w:r>
                  <w:r>
                    <w:rPr>
                      <w:rFonts w:ascii="仿宋_GB2312" w:hAnsi="仿宋_GB2312" w:cs="仿宋_GB2312" w:eastAsia="仿宋_GB2312"/>
                      <w:sz w:val="19"/>
                      <w:color w:val="000000"/>
                    </w:rPr>
                    <w:t xml:space="preserve"> 5.素土夯实（夯实系数≥95%）</w:t>
                  </w:r>
                  <w:r>
                    <w:br/>
                  </w:r>
                  <w:r>
                    <w:rPr>
                      <w:rFonts w:ascii="仿宋_GB2312" w:hAnsi="仿宋_GB2312" w:cs="仿宋_GB2312" w:eastAsia="仿宋_GB2312"/>
                      <w:sz w:val="19"/>
                      <w:color w:val="000000"/>
                    </w:rPr>
                    <w:t xml:space="preserve"> 6.清理浮土，挖土方深度:≥35cm，且外运5km。</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608</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1.50mm±2mm宽白色画线；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围网</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1.围网：材质为低碳镀锌铁丝，内径不小于2.0mm,包塑后外径不小于3.0mm，网孔尺寸不大于45mm*45mm</w:t>
                  </w:r>
                  <w:r>
                    <w:br/>
                  </w:r>
                  <w:r>
                    <w:rPr>
                      <w:rFonts w:ascii="仿宋_GB2312" w:hAnsi="仿宋_GB2312" w:cs="仿宋_GB2312" w:eastAsia="仿宋_GB2312"/>
                      <w:sz w:val="19"/>
                      <w:color w:val="000000"/>
                    </w:rPr>
                    <w:t xml:space="preserve"> 2.立柱与横杆：材质为Q235热镀锌圆钢管，一次成型无焊接，表面防腐防锈处理。立柱镀锌钢管直径不小于70mm，壁厚不小于2.0mm；横杆直径不小于60mm，壁厚不小于2.0mm；采用全铝合金精密压铸和立柱连接固定，立柱高度≥4500mm。立柱基础采用C25现浇混凝土。</w:t>
                  </w:r>
                  <w:r>
                    <w:br/>
                  </w:r>
                  <w:r>
                    <w:rPr>
                      <w:rFonts w:ascii="仿宋_GB2312" w:hAnsi="仿宋_GB2312" w:cs="仿宋_GB2312" w:eastAsia="仿宋_GB2312"/>
                      <w:sz w:val="19"/>
                      <w:color w:val="000000"/>
                    </w:rPr>
                    <w:t xml:space="preserve"> 3.预埋件：铝合金预埋件</w:t>
                  </w:r>
                  <w:r>
                    <w:br/>
                  </w:r>
                  <w:r>
                    <w:rPr>
                      <w:rFonts w:ascii="仿宋_GB2312" w:hAnsi="仿宋_GB2312" w:cs="仿宋_GB2312" w:eastAsia="仿宋_GB2312"/>
                      <w:sz w:val="19"/>
                      <w:color w:val="000000"/>
                    </w:rPr>
                    <w:t xml:space="preserve"> 4.压网条：材质为高密度实心扁铝，规格不低于18*3.5mm，表面静电喷涂，防腐防锈处理。</w:t>
                  </w:r>
                  <w:r>
                    <w:br/>
                  </w:r>
                  <w:r>
                    <w:rPr>
                      <w:rFonts w:ascii="仿宋_GB2312" w:hAnsi="仿宋_GB2312" w:cs="仿宋_GB2312" w:eastAsia="仿宋_GB2312"/>
                      <w:sz w:val="19"/>
                      <w:color w:val="000000"/>
                    </w:rPr>
                    <w:t xml:space="preserve"> 5.螺丝：采用国标304不锈钢螺丝与镀锌尾钻螺丝固定，防腐处理。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403</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围网进出口门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1.尺寸：≥2.4m宽*2.7m高</w:t>
                  </w:r>
                  <w:r>
                    <w:br/>
                  </w:r>
                  <w:r>
                    <w:rPr>
                      <w:rFonts w:ascii="仿宋_GB2312" w:hAnsi="仿宋_GB2312" w:cs="仿宋_GB2312" w:eastAsia="仿宋_GB2312"/>
                      <w:sz w:val="19"/>
                      <w:color w:val="000000"/>
                    </w:rPr>
                    <w:t xml:space="preserve"> 2.门采用不小于48*60*1.2mm凹型管；</w:t>
                  </w:r>
                  <w:r>
                    <w:br/>
                  </w:r>
                  <w:r>
                    <w:rPr>
                      <w:rFonts w:ascii="仿宋_GB2312" w:hAnsi="仿宋_GB2312" w:cs="仿宋_GB2312" w:eastAsia="仿宋_GB2312"/>
                      <w:sz w:val="19"/>
                      <w:color w:val="000000"/>
                    </w:rPr>
                    <w:t xml:space="preserve"> 3.门框左右和上横杆采用不小于50*50*2mm热镀锌方管，下横杆采用不小于40*20*2mm热镀锌扁管</w:t>
                  </w:r>
                  <w:r>
                    <w:br/>
                  </w:r>
                  <w:r>
                    <w:rPr>
                      <w:rFonts w:ascii="仿宋_GB2312" w:hAnsi="仿宋_GB2312" w:cs="仿宋_GB2312" w:eastAsia="仿宋_GB2312"/>
                      <w:sz w:val="19"/>
                      <w:color w:val="000000"/>
                    </w:rPr>
                    <w:t xml:space="preserve"> 4.门闩采用304不锈钢制作，门框内拉PE包塑围网，拉网条采用不低于8mm铝条</w:t>
                  </w:r>
                  <w:r>
                    <w:br/>
                  </w:r>
                  <w:r>
                    <w:rPr>
                      <w:rFonts w:ascii="仿宋_GB2312" w:hAnsi="仿宋_GB2312" w:cs="仿宋_GB2312" w:eastAsia="仿宋_GB2312"/>
                      <w:sz w:val="19"/>
                      <w:color w:val="000000"/>
                    </w:rPr>
                    <w:t xml:space="preserve"> 5.表面做静电喷涂，防腐防锈处理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6.48</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PP悬浮板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1.PP悬浮板（规格：≥250*250*11mm）</w:t>
                  </w:r>
                  <w:r>
                    <w:br/>
                  </w:r>
                  <w:r>
                    <w:rPr>
                      <w:rFonts w:ascii="仿宋_GB2312" w:hAnsi="仿宋_GB2312" w:cs="仿宋_GB2312" w:eastAsia="仿宋_GB2312"/>
                      <w:sz w:val="19"/>
                      <w:color w:val="000000"/>
                    </w:rPr>
                    <w:t xml:space="preserve"> 2.≥30mm厚1:3水泥砂浆找平</w:t>
                  </w:r>
                  <w:r>
                    <w:br/>
                  </w:r>
                  <w:r>
                    <w:rPr>
                      <w:rFonts w:ascii="仿宋_GB2312" w:hAnsi="仿宋_GB2312" w:cs="仿宋_GB2312" w:eastAsia="仿宋_GB2312"/>
                      <w:sz w:val="19"/>
                      <w:color w:val="000000"/>
                    </w:rPr>
                    <w:t xml:space="preserve"> 3.≥150mm厚C25混凝土垫层</w:t>
                  </w:r>
                  <w:r>
                    <w:br/>
                  </w:r>
                  <w:r>
                    <w:rPr>
                      <w:rFonts w:ascii="仿宋_GB2312" w:hAnsi="仿宋_GB2312" w:cs="仿宋_GB2312" w:eastAsia="仿宋_GB2312"/>
                      <w:sz w:val="19"/>
                      <w:color w:val="000000"/>
                    </w:rPr>
                    <w:t xml:space="preserve"> 4.≥100mm厚级配砂石垫层</w:t>
                  </w:r>
                  <w:r>
                    <w:br/>
                  </w:r>
                  <w:r>
                    <w:rPr>
                      <w:rFonts w:ascii="仿宋_GB2312" w:hAnsi="仿宋_GB2312" w:cs="仿宋_GB2312" w:eastAsia="仿宋_GB2312"/>
                      <w:sz w:val="19"/>
                      <w:color w:val="000000"/>
                    </w:rPr>
                    <w:t xml:space="preserve"> 5.素土夯实（夯实系数≥95%）</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1.40mm±2mm宽白色画线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树池坐凳</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1.基础挖、填土方，且余土外运</w:t>
                  </w:r>
                  <w:r>
                    <w:br/>
                  </w:r>
                  <w:r>
                    <w:rPr>
                      <w:rFonts w:ascii="仿宋_GB2312" w:hAnsi="仿宋_GB2312" w:cs="仿宋_GB2312" w:eastAsia="仿宋_GB2312"/>
                      <w:sz w:val="19"/>
                      <w:color w:val="000000"/>
                    </w:rPr>
                    <w:t xml:space="preserve"> 2.≥150mm厚级配砂石垫层</w:t>
                  </w:r>
                  <w:r>
                    <w:br/>
                  </w:r>
                  <w:r>
                    <w:rPr>
                      <w:rFonts w:ascii="仿宋_GB2312" w:hAnsi="仿宋_GB2312" w:cs="仿宋_GB2312" w:eastAsia="仿宋_GB2312"/>
                      <w:sz w:val="19"/>
                      <w:color w:val="000000"/>
                    </w:rPr>
                    <w:t xml:space="preserve"> 3.≥100mm厚C20混凝土垫层</w:t>
                  </w:r>
                  <w:r>
                    <w:br/>
                  </w:r>
                  <w:r>
                    <w:rPr>
                      <w:rFonts w:ascii="仿宋_GB2312" w:hAnsi="仿宋_GB2312" w:cs="仿宋_GB2312" w:eastAsia="仿宋_GB2312"/>
                      <w:sz w:val="19"/>
                      <w:color w:val="000000"/>
                    </w:rPr>
                    <w:t xml:space="preserve"> 4.MU10非黏土M7.5水泥砂浆砌筑</w:t>
                  </w:r>
                  <w:r>
                    <w:br/>
                  </w:r>
                  <w:r>
                    <w:rPr>
                      <w:rFonts w:ascii="仿宋_GB2312" w:hAnsi="仿宋_GB2312" w:cs="仿宋_GB2312" w:eastAsia="仿宋_GB2312"/>
                      <w:sz w:val="19"/>
                      <w:color w:val="000000"/>
                    </w:rPr>
                    <w:t xml:space="preserve"> 5.≥30mm厚1:3水泥砂浆结合层</w:t>
                  </w:r>
                  <w:r>
                    <w:br/>
                  </w:r>
                  <w:r>
                    <w:rPr>
                      <w:rFonts w:ascii="仿宋_GB2312" w:hAnsi="仿宋_GB2312" w:cs="仿宋_GB2312" w:eastAsia="仿宋_GB2312"/>
                      <w:sz w:val="19"/>
                      <w:color w:val="000000"/>
                    </w:rPr>
                    <w:t xml:space="preserve"> 6.≥20mm厚水洗石凳面</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地坪漆地面</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1.地坪漆地面</w:t>
                  </w:r>
                  <w:r>
                    <w:br/>
                  </w:r>
                  <w:r>
                    <w:rPr>
                      <w:rFonts w:ascii="仿宋_GB2312" w:hAnsi="仿宋_GB2312" w:cs="仿宋_GB2312" w:eastAsia="仿宋_GB2312"/>
                      <w:sz w:val="19"/>
                      <w:color w:val="000000"/>
                    </w:rPr>
                    <w:t xml:space="preserve"> 2.≥30mm厚1:3水泥砂浆找平</w:t>
                  </w:r>
                  <w:r>
                    <w:br/>
                  </w:r>
                  <w:r>
                    <w:rPr>
                      <w:rFonts w:ascii="仿宋_GB2312" w:hAnsi="仿宋_GB2312" w:cs="仿宋_GB2312" w:eastAsia="仿宋_GB2312"/>
                      <w:sz w:val="19"/>
                      <w:color w:val="000000"/>
                    </w:rPr>
                    <w:t xml:space="preserve"> 3.≥15mm0厚C25混凝土垫层</w:t>
                  </w:r>
                  <w:r>
                    <w:br/>
                  </w:r>
                  <w:r>
                    <w:rPr>
                      <w:rFonts w:ascii="仿宋_GB2312" w:hAnsi="仿宋_GB2312" w:cs="仿宋_GB2312" w:eastAsia="仿宋_GB2312"/>
                      <w:sz w:val="19"/>
                      <w:color w:val="000000"/>
                    </w:rPr>
                    <w:t xml:space="preserve"> 4.≥100mm厚级配砂石垫层</w:t>
                  </w:r>
                  <w:r>
                    <w:br/>
                  </w:r>
                  <w:r>
                    <w:rPr>
                      <w:rFonts w:ascii="仿宋_GB2312" w:hAnsi="仿宋_GB2312" w:cs="仿宋_GB2312" w:eastAsia="仿宋_GB2312"/>
                      <w:sz w:val="19"/>
                      <w:color w:val="000000"/>
                    </w:rPr>
                    <w:t xml:space="preserve"> 5.素土夯实（夯实系数≥95%）</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1.100mm±2mm宽白色地坪漆画线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石墩</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1.隔离石墩</w:t>
                  </w:r>
                  <w:r>
                    <w:br/>
                  </w:r>
                  <w:r>
                    <w:rPr>
                      <w:rFonts w:ascii="仿宋_GB2312" w:hAnsi="仿宋_GB2312" w:cs="仿宋_GB2312" w:eastAsia="仿宋_GB2312"/>
                      <w:sz w:val="19"/>
                      <w:color w:val="000000"/>
                    </w:rPr>
                    <w:t xml:space="preserve"> 2.材质：花岗岩石材，</w:t>
                  </w:r>
                  <w:r>
                    <w:br/>
                  </w:r>
                  <w:r>
                    <w:rPr>
                      <w:rFonts w:ascii="仿宋_GB2312" w:hAnsi="仿宋_GB2312" w:cs="仿宋_GB2312" w:eastAsia="仿宋_GB2312"/>
                      <w:sz w:val="19"/>
                      <w:color w:val="000000"/>
                    </w:rPr>
                    <w:t xml:space="preserve"> 3.尺寸：Φ≥400mm圆球</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太阳能路灯</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1.灯杆高度：≥8m，主杆为优质钢板，厚度≥2.5mm，直径≥100mm，</w:t>
                  </w:r>
                  <w:r>
                    <w:br/>
                  </w:r>
                  <w:r>
                    <w:rPr>
                      <w:rFonts w:ascii="仿宋_GB2312" w:hAnsi="仿宋_GB2312" w:cs="仿宋_GB2312" w:eastAsia="仿宋_GB2312"/>
                      <w:sz w:val="19"/>
                      <w:color w:val="000000"/>
                    </w:rPr>
                    <w:t xml:space="preserve"> 2.灯具：防水等级≥IP65,两头，总功率≥200W</w:t>
                  </w:r>
                  <w:r>
                    <w:br/>
                  </w:r>
                  <w:r>
                    <w:rPr>
                      <w:rFonts w:ascii="仿宋_GB2312" w:hAnsi="仿宋_GB2312" w:cs="仿宋_GB2312" w:eastAsia="仿宋_GB2312"/>
                      <w:sz w:val="19"/>
                      <w:color w:val="000000"/>
                    </w:rPr>
                    <w:t xml:space="preserve"> 3.光源：LED光源，暖黄色；色温：3000-3500K</w:t>
                  </w:r>
                  <w:r>
                    <w:br/>
                  </w:r>
                  <w:r>
                    <w:rPr>
                      <w:rFonts w:ascii="仿宋_GB2312" w:hAnsi="仿宋_GB2312" w:cs="仿宋_GB2312" w:eastAsia="仿宋_GB2312"/>
                      <w:sz w:val="19"/>
                      <w:color w:val="000000"/>
                    </w:rPr>
                    <w:t xml:space="preserve"> 4.C20砼路灯基础：≥500*500*1200MM</w:t>
                  </w:r>
                  <w:r>
                    <w:br/>
                  </w:r>
                  <w:r>
                    <w:rPr>
                      <w:rFonts w:ascii="仿宋_GB2312" w:hAnsi="仿宋_GB2312" w:cs="仿宋_GB2312" w:eastAsia="仿宋_GB2312"/>
                      <w:sz w:val="19"/>
                      <w:color w:val="000000"/>
                    </w:rPr>
                    <w:t xml:space="preserve"> 5.路灯基础挖、填土方，且余土外运</w:t>
                  </w:r>
                  <w:r>
                    <w:br/>
                  </w:r>
                  <w:r>
                    <w:rPr>
                      <w:rFonts w:ascii="仿宋_GB2312" w:hAnsi="仿宋_GB2312" w:cs="仿宋_GB2312" w:eastAsia="仿宋_GB2312"/>
                      <w:sz w:val="19"/>
                      <w:color w:val="000000"/>
                    </w:rPr>
                    <w:t xml:space="preserve"> 6.灯具：防水等级≥IP65,两头，总功率≥200W</w:t>
                  </w:r>
                  <w:r>
                    <w:br/>
                  </w:r>
                  <w:r>
                    <w:rPr>
                      <w:rFonts w:ascii="仿宋_GB2312" w:hAnsi="仿宋_GB2312" w:cs="仿宋_GB2312" w:eastAsia="仿宋_GB2312"/>
                      <w:sz w:val="19"/>
                      <w:color w:val="000000"/>
                    </w:rPr>
                    <w:t xml:space="preserve"> 7.太阳能板功率：≥80W；每天亮灯6-12小时；智能光控+时控；连续阴雨天亮度≥3天</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太阳能路灯</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1.灯杆高度：≥8m，主杆为优质Q235 钢板，厚度≥2.5mm，直径≥100mm，</w:t>
                  </w:r>
                  <w:r>
                    <w:br/>
                  </w:r>
                  <w:r>
                    <w:rPr>
                      <w:rFonts w:ascii="仿宋_GB2312" w:hAnsi="仿宋_GB2312" w:cs="仿宋_GB2312" w:eastAsia="仿宋_GB2312"/>
                      <w:sz w:val="19"/>
                      <w:color w:val="000000"/>
                    </w:rPr>
                    <w:t xml:space="preserve"> 3.灯具：防水等级≥IP65,四头，总功率≥400W</w:t>
                  </w:r>
                  <w:r>
                    <w:br/>
                  </w:r>
                  <w:r>
                    <w:rPr>
                      <w:rFonts w:ascii="仿宋_GB2312" w:hAnsi="仿宋_GB2312" w:cs="仿宋_GB2312" w:eastAsia="仿宋_GB2312"/>
                      <w:sz w:val="19"/>
                      <w:color w:val="000000"/>
                    </w:rPr>
                    <w:t xml:space="preserve"> 4.光源：LED光源，暖黄色；色温：3000-3500K</w:t>
                  </w:r>
                  <w:r>
                    <w:br/>
                  </w:r>
                  <w:r>
                    <w:rPr>
                      <w:rFonts w:ascii="仿宋_GB2312" w:hAnsi="仿宋_GB2312" w:cs="仿宋_GB2312" w:eastAsia="仿宋_GB2312"/>
                      <w:sz w:val="19"/>
                      <w:color w:val="000000"/>
                    </w:rPr>
                    <w:t xml:space="preserve"> 5.C20砼路灯基础：≥500*500*1200MM</w:t>
                  </w:r>
                  <w:r>
                    <w:br/>
                  </w:r>
                  <w:r>
                    <w:rPr>
                      <w:rFonts w:ascii="仿宋_GB2312" w:hAnsi="仿宋_GB2312" w:cs="仿宋_GB2312" w:eastAsia="仿宋_GB2312"/>
                      <w:sz w:val="19"/>
                      <w:color w:val="000000"/>
                    </w:rPr>
                    <w:t xml:space="preserve"> 6.路灯基础挖、填土方，且余土外运</w:t>
                  </w:r>
                  <w:r>
                    <w:br/>
                  </w:r>
                  <w:r>
                    <w:rPr>
                      <w:rFonts w:ascii="仿宋_GB2312" w:hAnsi="仿宋_GB2312" w:cs="仿宋_GB2312" w:eastAsia="仿宋_GB2312"/>
                      <w:sz w:val="19"/>
                      <w:color w:val="000000"/>
                    </w:rPr>
                    <w:t xml:space="preserve"> 7.太阳能板功率：≥80W；每天亮灯6-12小时；智能光控+时控；连续阴雨天亮度≥3天</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片植灌木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1.种类:红叶石楠</w:t>
                  </w:r>
                  <w:r>
                    <w:br/>
                  </w:r>
                  <w:r>
                    <w:rPr>
                      <w:rFonts w:ascii="仿宋_GB2312" w:hAnsi="仿宋_GB2312" w:cs="仿宋_GB2312" w:eastAsia="仿宋_GB2312"/>
                      <w:sz w:val="19"/>
                      <w:color w:val="000000"/>
                    </w:rPr>
                    <w:t xml:space="preserve"> 2.株高:高度0.4-0.45M</w:t>
                  </w:r>
                  <w:r>
                    <w:br/>
                  </w:r>
                  <w:r>
                    <w:rPr>
                      <w:rFonts w:ascii="仿宋_GB2312" w:hAnsi="仿宋_GB2312" w:cs="仿宋_GB2312" w:eastAsia="仿宋_GB2312"/>
                      <w:sz w:val="19"/>
                      <w:color w:val="000000"/>
                    </w:rPr>
                    <w:t xml:space="preserve"> 3.冠径:冠幅0.2-0.25M</w:t>
                  </w:r>
                  <w:r>
                    <w:br/>
                  </w:r>
                  <w:r>
                    <w:rPr>
                      <w:rFonts w:ascii="仿宋_GB2312" w:hAnsi="仿宋_GB2312" w:cs="仿宋_GB2312" w:eastAsia="仿宋_GB2312"/>
                      <w:sz w:val="19"/>
                      <w:color w:val="000000"/>
                    </w:rPr>
                    <w:t xml:space="preserve"> 4.单位面积株数:≥36株/m2</w:t>
                  </w:r>
                  <w:r>
                    <w:br/>
                  </w:r>
                  <w:r>
                    <w:rPr>
                      <w:rFonts w:ascii="仿宋_GB2312" w:hAnsi="仿宋_GB2312" w:cs="仿宋_GB2312" w:eastAsia="仿宋_GB2312"/>
                      <w:sz w:val="19"/>
                      <w:color w:val="000000"/>
                    </w:rPr>
                    <w:t xml:space="preserve"> 5.选用生长旺盛植株</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片植灌木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1.种类:金森女贞</w:t>
                  </w:r>
                  <w:r>
                    <w:br/>
                  </w:r>
                  <w:r>
                    <w:rPr>
                      <w:rFonts w:ascii="仿宋_GB2312" w:hAnsi="仿宋_GB2312" w:cs="仿宋_GB2312" w:eastAsia="仿宋_GB2312"/>
                      <w:sz w:val="19"/>
                      <w:color w:val="000000"/>
                    </w:rPr>
                    <w:t xml:space="preserve"> 2.株高:高度0.4-0.45M</w:t>
                  </w:r>
                  <w:r>
                    <w:br/>
                  </w:r>
                  <w:r>
                    <w:rPr>
                      <w:rFonts w:ascii="仿宋_GB2312" w:hAnsi="仿宋_GB2312" w:cs="仿宋_GB2312" w:eastAsia="仿宋_GB2312"/>
                      <w:sz w:val="19"/>
                      <w:color w:val="000000"/>
                    </w:rPr>
                    <w:t xml:space="preserve"> 3.冠径:冠幅0.2-0.25M</w:t>
                  </w:r>
                  <w:r>
                    <w:br/>
                  </w:r>
                  <w:r>
                    <w:rPr>
                      <w:rFonts w:ascii="仿宋_GB2312" w:hAnsi="仿宋_GB2312" w:cs="仿宋_GB2312" w:eastAsia="仿宋_GB2312"/>
                      <w:sz w:val="19"/>
                      <w:color w:val="000000"/>
                    </w:rPr>
                    <w:t xml:space="preserve"> 4.单位面积株数:≥36株/m2</w:t>
                  </w:r>
                  <w:r>
                    <w:br/>
                  </w:r>
                  <w:r>
                    <w:rPr>
                      <w:rFonts w:ascii="仿宋_GB2312" w:hAnsi="仿宋_GB2312" w:cs="仿宋_GB2312" w:eastAsia="仿宋_GB2312"/>
                      <w:sz w:val="19"/>
                      <w:color w:val="000000"/>
                    </w:rPr>
                    <w:t xml:space="preserve"> 5.选用生长旺盛植株</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栽植乔木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1.种类:国槐</w:t>
                  </w:r>
                  <w:r>
                    <w:br/>
                  </w:r>
                  <w:r>
                    <w:rPr>
                      <w:rFonts w:ascii="仿宋_GB2312" w:hAnsi="仿宋_GB2312" w:cs="仿宋_GB2312" w:eastAsia="仿宋_GB2312"/>
                      <w:sz w:val="19"/>
                      <w:color w:val="000000"/>
                    </w:rPr>
                    <w:t xml:space="preserve"> 2.胸径/干径/米径/地径:胸径18-20CM</w:t>
                  </w:r>
                  <w:r>
                    <w:br/>
                  </w:r>
                  <w:r>
                    <w:rPr>
                      <w:rFonts w:ascii="仿宋_GB2312" w:hAnsi="仿宋_GB2312" w:cs="仿宋_GB2312" w:eastAsia="仿宋_GB2312"/>
                      <w:sz w:val="19"/>
                      <w:color w:val="000000"/>
                    </w:rPr>
                    <w:t xml:space="preserve"> 3.株高:高度700-800cm</w:t>
                  </w:r>
                  <w:r>
                    <w:br/>
                  </w:r>
                  <w:r>
                    <w:rPr>
                      <w:rFonts w:ascii="仿宋_GB2312" w:hAnsi="仿宋_GB2312" w:cs="仿宋_GB2312" w:eastAsia="仿宋_GB2312"/>
                      <w:sz w:val="19"/>
                      <w:color w:val="000000"/>
                    </w:rPr>
                    <w:t xml:space="preserve"> 4.冠径:冠幅400-500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5.枝下高：300-350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6.土球：140-120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7.树形饱满，无病虫害</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株</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1.100mm±2mm宽白色地坪漆画线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1.200mm±2mm宽白色地坪漆画线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1.300mm±2mm宽白色地坪漆画线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标线</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1.50mm±2mm宽白色地坪漆画线</w:t>
                  </w:r>
                  <w:r>
                    <w:br/>
                  </w:r>
                  <w:r>
                    <w:rPr>
                      <w:rFonts w:ascii="仿宋_GB2312" w:hAnsi="仿宋_GB2312" w:cs="仿宋_GB2312" w:eastAsia="仿宋_GB2312"/>
                      <w:sz w:val="19"/>
                      <w:color w:val="000000"/>
                    </w:rPr>
                    <w:t xml:space="preserve"> 2.白色双组份聚氨酯画线专用漆</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人造草</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1.人造草≥25mm高，密度不小于16800针/㎡（不充砂）</w:t>
                  </w:r>
                  <w:r>
                    <w:br/>
                  </w:r>
                  <w:r>
                    <w:rPr>
                      <w:rFonts w:ascii="仿宋_GB2312" w:hAnsi="仿宋_GB2312" w:cs="仿宋_GB2312" w:eastAsia="仿宋_GB2312"/>
                      <w:sz w:val="19"/>
                      <w:color w:val="000000"/>
                    </w:rPr>
                    <w:t xml:space="preserve"> 2.≥30厚1:3水泥砂浆找平</w:t>
                  </w:r>
                  <w:r>
                    <w:br/>
                  </w:r>
                  <w:r>
                    <w:rPr>
                      <w:rFonts w:ascii="仿宋_GB2312" w:hAnsi="仿宋_GB2312" w:cs="仿宋_GB2312" w:eastAsia="仿宋_GB2312"/>
                      <w:sz w:val="19"/>
                      <w:color w:val="000000"/>
                    </w:rPr>
                    <w:t xml:space="preserve"> 3.现状基础，打毛10-20</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EPDM塑胶地面</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1.≥13mm厚EPDM塑胶地面</w:t>
                  </w:r>
                  <w:r>
                    <w:br/>
                  </w:r>
                  <w:r>
                    <w:rPr>
                      <w:rFonts w:ascii="仿宋_GB2312" w:hAnsi="仿宋_GB2312" w:cs="仿宋_GB2312" w:eastAsia="仿宋_GB2312"/>
                      <w:sz w:val="19"/>
                      <w:color w:val="000000"/>
                    </w:rPr>
                    <w:t xml:space="preserve"> 2.≥30mm厚1:3水泥砂浆找平</w:t>
                  </w:r>
                  <w:r>
                    <w:br/>
                  </w:r>
                  <w:r>
                    <w:rPr>
                      <w:rFonts w:ascii="仿宋_GB2312" w:hAnsi="仿宋_GB2312" w:cs="仿宋_GB2312" w:eastAsia="仿宋_GB2312"/>
                      <w:sz w:val="19"/>
                      <w:color w:val="000000"/>
                    </w:rPr>
                    <w:t xml:space="preserve"> 3.现状基础，打毛10-20</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1275</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户外滚珠围棋</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1.户外滚珠围棋</w:t>
                  </w:r>
                  <w:r>
                    <w:br/>
                  </w:r>
                  <w:r>
                    <w:rPr>
                      <w:rFonts w:ascii="仿宋_GB2312" w:hAnsi="仿宋_GB2312" w:cs="仿宋_GB2312" w:eastAsia="仿宋_GB2312"/>
                      <w:sz w:val="19"/>
                      <w:color w:val="000000"/>
                    </w:rPr>
                    <w:t xml:space="preserve"> 2.尺寸≥700mm*700mm*650mm，整体聚乙烯(HDPE)工程塑料材质，</w:t>
                  </w:r>
                  <w:r>
                    <w:br/>
                  </w:r>
                  <w:r>
                    <w:rPr>
                      <w:rFonts w:ascii="仿宋_GB2312" w:hAnsi="仿宋_GB2312" w:cs="仿宋_GB2312" w:eastAsia="仿宋_GB2312"/>
                      <w:sz w:val="19"/>
                      <w:color w:val="000000"/>
                    </w:rPr>
                    <w:t xml:space="preserve"> 3.采购、运输、安装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户外轨道象棋</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1.户外轨道象棋，</w:t>
                  </w:r>
                  <w:r>
                    <w:br/>
                  </w:r>
                  <w:r>
                    <w:rPr>
                      <w:rFonts w:ascii="仿宋_GB2312" w:hAnsi="仿宋_GB2312" w:cs="仿宋_GB2312" w:eastAsia="仿宋_GB2312"/>
                      <w:sz w:val="19"/>
                      <w:color w:val="000000"/>
                    </w:rPr>
                    <w:t xml:space="preserve"> 2.尺寸≥700mm*700mm*650mm，整体聚乙烯(HDPE)工程塑料材质，</w:t>
                  </w:r>
                  <w:r>
                    <w:br/>
                  </w:r>
                  <w:r>
                    <w:rPr>
                      <w:rFonts w:ascii="仿宋_GB2312" w:hAnsi="仿宋_GB2312" w:cs="仿宋_GB2312" w:eastAsia="仿宋_GB2312"/>
                      <w:sz w:val="19"/>
                      <w:color w:val="000000"/>
                    </w:rPr>
                    <w:t xml:space="preserve"> 3.采购、运输、安装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圆形独木桥</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1.圆形独木桥</w:t>
                  </w:r>
                  <w:r>
                    <w:br/>
                  </w:r>
                  <w:r>
                    <w:rPr>
                      <w:rFonts w:ascii="仿宋_GB2312" w:hAnsi="仿宋_GB2312" w:cs="仿宋_GB2312" w:eastAsia="仿宋_GB2312"/>
                      <w:sz w:val="19"/>
                      <w:color w:val="000000"/>
                    </w:rPr>
                    <w:t xml:space="preserve"> 2.高密度聚乙烯(HDPE)工程塑料+高猛弹簧，表面光滑，安全环保，耐侯性好，不易褪色。</w:t>
                  </w:r>
                  <w:r>
                    <w:br/>
                  </w:r>
                  <w:r>
                    <w:rPr>
                      <w:rFonts w:ascii="仿宋_GB2312" w:hAnsi="仿宋_GB2312" w:cs="仿宋_GB2312" w:eastAsia="仿宋_GB2312"/>
                      <w:sz w:val="19"/>
                      <w:color w:val="000000"/>
                    </w:rPr>
                    <w:t xml:space="preserve"> 3.尺寸：≥135cm*40cm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羽毛球架</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1.底座由钢板折弯而成。立柱采用φ≥40mm，厚度≥3mm钢管。网柱高度≥1500mm。</w:t>
                  </w:r>
                  <w:r>
                    <w:br/>
                  </w:r>
                  <w:r>
                    <w:rPr>
                      <w:rFonts w:ascii="仿宋_GB2312" w:hAnsi="仿宋_GB2312" w:cs="仿宋_GB2312" w:eastAsia="仿宋_GB2312"/>
                      <w:sz w:val="19"/>
                      <w:color w:val="000000"/>
                    </w:rPr>
                    <w:t xml:space="preserve"> 2.器材符合GB/T19851.13-2007《中小学体育器材和场地 第13部分：排球网柱、羽毛球网柱、网球网柱》中的规定要求。</w:t>
                  </w:r>
                  <w:r>
                    <w:br/>
                  </w:r>
                  <w:r>
                    <w:rPr>
                      <w:rFonts w:ascii="仿宋_GB2312" w:hAnsi="仿宋_GB2312" w:cs="仿宋_GB2312" w:eastAsia="仿宋_GB2312"/>
                      <w:sz w:val="19"/>
                      <w:color w:val="000000"/>
                    </w:rPr>
                    <w:t xml:space="preserve"> 3.器材安全使用年限≥8年。</w:t>
                  </w:r>
                  <w:r>
                    <w:br/>
                  </w:r>
                  <w:r>
                    <w:rPr>
                      <w:rFonts w:ascii="仿宋_GB2312" w:hAnsi="仿宋_GB2312" w:cs="仿宋_GB2312" w:eastAsia="仿宋_GB2312"/>
                      <w:sz w:val="19"/>
                      <w:color w:val="000000"/>
                    </w:rPr>
                    <w:t xml:space="preserve">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圆形秋千</w:t>
                  </w:r>
                </w:p>
              </w:tc>
              <w:tc>
                <w:tcPr>
                  <w:tcW w:type="dxa" w:w="1401"/>
                  <w:tcBorders>
                    <w:top w:val="none" w:color="000000" w:sz="4"/>
                    <w:left w:val="none" w:color="000000" w:sz="4"/>
                    <w:bottom w:val="none" w:color="000000" w:sz="4"/>
                    <w:right w:val="none" w:color="000000" w:sz="4"/>
                  </w:tcBorders>
                  <w:shd w:fill="F2F2F2"/>
                  <w:tcMar>
                    <w:top w:type="dxa" w:w="15"/>
                    <w:left w:type="dxa" w:w="15"/>
                    <w:right w:type="dxa" w:w="15"/>
                  </w:tcMar>
                  <w:vAlign w:val="center"/>
                </w:tcPr>
                <w:p>
                  <w:pPr>
                    <w:pStyle w:val="null3"/>
                    <w:jc w:val="left"/>
                  </w:pPr>
                  <w:r>
                    <w:rPr>
                      <w:rFonts w:ascii="仿宋_GB2312" w:hAnsi="仿宋_GB2312" w:cs="仿宋_GB2312" w:eastAsia="仿宋_GB2312"/>
                      <w:sz w:val="20"/>
                      <w:color w:val="000000"/>
                    </w:rPr>
                    <w:t>1.圆形秋千</w:t>
                  </w:r>
                  <w:r>
                    <w:br/>
                  </w:r>
                  <w:r>
                    <w:rPr>
                      <w:rFonts w:ascii="仿宋_GB2312" w:hAnsi="仿宋_GB2312" w:cs="仿宋_GB2312" w:eastAsia="仿宋_GB2312"/>
                      <w:sz w:val="20"/>
                      <w:color w:val="000000"/>
                    </w:rPr>
                    <w:t xml:space="preserve"> 2.规格：≥700*240cm</w:t>
                  </w:r>
                  <w:r>
                    <w:br/>
                  </w:r>
                  <w:r>
                    <w:rPr>
                      <w:rFonts w:ascii="仿宋_GB2312" w:hAnsi="仿宋_GB2312" w:cs="仿宋_GB2312" w:eastAsia="仿宋_GB2312"/>
                      <w:sz w:val="20"/>
                      <w:color w:val="000000"/>
                    </w:rPr>
                    <w:t xml:space="preserve"> 3.主体为厚度≥2.0mm，直径≥110mm镀锌钢管               </w:t>
                  </w:r>
                  <w:r>
                    <w:br/>
                  </w:r>
                  <w:r>
                    <w:rPr>
                      <w:rFonts w:ascii="仿宋_GB2312" w:hAnsi="仿宋_GB2312" w:cs="仿宋_GB2312" w:eastAsia="仿宋_GB2312"/>
                      <w:sz w:val="20"/>
                      <w:color w:val="000000"/>
                    </w:rPr>
                    <w:t xml:space="preserve"> 4.钻爬网架采用直径≥16mm、≥6股带钢丝攀爬网绳，网编织采用专用铝合金绳扣连接，间距均匀，网格大小≤15*15cm</w:t>
                  </w:r>
                  <w:r>
                    <w:br/>
                  </w:r>
                  <w:r>
                    <w:rPr>
                      <w:rFonts w:ascii="仿宋_GB2312" w:hAnsi="仿宋_GB2312" w:cs="仿宋_GB2312" w:eastAsia="仿宋_GB2312"/>
                      <w:sz w:val="20"/>
                      <w:b/>
                      <w:color w:val="000000"/>
                    </w:rPr>
                    <w:t>5</w:t>
                  </w:r>
                  <w:r>
                    <w:rPr>
                      <w:rFonts w:ascii="仿宋_GB2312" w:hAnsi="仿宋_GB2312" w:cs="仿宋_GB2312" w:eastAsia="仿宋_GB2312"/>
                      <w:sz w:val="20"/>
                      <w:color w:val="000000"/>
                    </w:rPr>
                    <w:t>.采购、运输、安装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五人飞碟大转盘</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1.五人飞碟大转盘</w:t>
                  </w:r>
                  <w:r>
                    <w:br/>
                  </w:r>
                  <w:r>
                    <w:rPr>
                      <w:rFonts w:ascii="仿宋_GB2312" w:hAnsi="仿宋_GB2312" w:cs="仿宋_GB2312" w:eastAsia="仿宋_GB2312"/>
                      <w:sz w:val="20"/>
                      <w:color w:val="000000"/>
                    </w:rPr>
                    <w:t xml:space="preserve"> 2.规格：</w:t>
                  </w:r>
                  <w:r>
                    <w:rPr>
                      <w:rFonts w:ascii="仿宋_GB2312" w:hAnsi="仿宋_GB2312" w:cs="仿宋_GB2312" w:eastAsia="仿宋_GB2312"/>
                      <w:sz w:val="20"/>
                      <w:color w:val="FF0000"/>
                    </w:rPr>
                    <w:t>≥</w:t>
                  </w:r>
                  <w:r>
                    <w:rPr>
                      <w:rFonts w:ascii="仿宋_GB2312" w:hAnsi="仿宋_GB2312" w:cs="仿宋_GB2312" w:eastAsia="仿宋_GB2312"/>
                      <w:sz w:val="20"/>
                      <w:color w:val="000000"/>
                    </w:rPr>
                    <w:t>200*60cm</w:t>
                  </w:r>
                  <w:r>
                    <w:br/>
                  </w:r>
                  <w:r>
                    <w:rPr>
                      <w:rFonts w:ascii="仿宋_GB2312" w:hAnsi="仿宋_GB2312" w:cs="仿宋_GB2312" w:eastAsia="仿宋_GB2312"/>
                      <w:sz w:val="20"/>
                      <w:color w:val="000000"/>
                    </w:rPr>
                    <w:t xml:space="preserve"> 3.材质：高密度聚乙烯(HDPE)工程塑料，表面光滑，安全环保，耐侯性好，不易褪色。</w:t>
                  </w:r>
                  <w:r>
                    <w:br/>
                  </w:r>
                  <w:r>
                    <w:rPr>
                      <w:rFonts w:ascii="仿宋_GB2312" w:hAnsi="仿宋_GB2312" w:cs="仿宋_GB2312" w:eastAsia="仿宋_GB2312"/>
                      <w:sz w:val="20"/>
                      <w:color w:val="000000"/>
                    </w:rPr>
                    <w:t xml:space="preserve">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双排pe摇摇乐</w:t>
                  </w:r>
                </w:p>
              </w:tc>
              <w:tc>
                <w:tcPr>
                  <w:tcW w:type="dxa" w:w="1401"/>
                  <w:tcBorders>
                    <w:top w:val="none" w:color="000000" w:sz="4"/>
                    <w:left w:val="none" w:color="000000" w:sz="4"/>
                    <w:bottom w:val="none" w:color="000000" w:sz="4"/>
                    <w:right w:val="none" w:color="000000" w:sz="4"/>
                  </w:tcBorders>
                  <w:shd w:fill="F2F2F2"/>
                  <w:tcMar>
                    <w:top w:type="dxa" w:w="15"/>
                    <w:left w:type="dxa" w:w="15"/>
                    <w:right w:type="dxa" w:w="15"/>
                  </w:tcMar>
                  <w:vAlign w:val="center"/>
                </w:tcPr>
                <w:p>
                  <w:pPr>
                    <w:pStyle w:val="null3"/>
                    <w:jc w:val="left"/>
                  </w:pPr>
                  <w:r>
                    <w:rPr>
                      <w:rFonts w:ascii="仿宋_GB2312" w:hAnsi="仿宋_GB2312" w:cs="仿宋_GB2312" w:eastAsia="仿宋_GB2312"/>
                      <w:sz w:val="19"/>
                      <w:color w:val="000000"/>
                    </w:rPr>
                    <w:t>1.双排pe摇摇乐</w:t>
                  </w:r>
                  <w:r>
                    <w:br/>
                  </w:r>
                  <w:r>
                    <w:rPr>
                      <w:rFonts w:ascii="仿宋_GB2312" w:hAnsi="仿宋_GB2312" w:cs="仿宋_GB2312" w:eastAsia="仿宋_GB2312"/>
                      <w:sz w:val="19"/>
                      <w:color w:val="000000"/>
                    </w:rPr>
                    <w:t xml:space="preserve"> 2.材质：高密度聚乙烯(HDPE)板，</w:t>
                  </w:r>
                  <w:r>
                    <w:br/>
                  </w:r>
                  <w:r>
                    <w:rPr>
                      <w:rFonts w:ascii="仿宋_GB2312" w:hAnsi="仿宋_GB2312" w:cs="仿宋_GB2312" w:eastAsia="仿宋_GB2312"/>
                      <w:sz w:val="19"/>
                      <w:color w:val="000000"/>
                    </w:rPr>
                    <w:t xml:space="preserve"> 3.尺寸:≥60*39*65cm，主面板厚度≥15mm，装饰板厚度≥6mm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爱心弹跳</w:t>
                  </w:r>
                </w:p>
              </w:tc>
              <w:tc>
                <w:tcPr>
                  <w:tcW w:type="dxa" w:w="1401"/>
                  <w:tcBorders>
                    <w:top w:val="none" w:color="000000" w:sz="4"/>
                    <w:left w:val="none" w:color="000000" w:sz="4"/>
                    <w:bottom w:val="none" w:color="000000" w:sz="4"/>
                    <w:right w:val="none" w:color="000000" w:sz="4"/>
                  </w:tcBorders>
                  <w:shd w:fill="F2F2F2"/>
                  <w:tcMar>
                    <w:top w:type="dxa" w:w="15"/>
                    <w:left w:type="dxa" w:w="15"/>
                    <w:right w:type="dxa" w:w="15"/>
                  </w:tcMar>
                  <w:vAlign w:val="center"/>
                </w:tcPr>
                <w:p>
                  <w:pPr>
                    <w:pStyle w:val="null3"/>
                    <w:jc w:val="left"/>
                  </w:pPr>
                  <w:r>
                    <w:rPr>
                      <w:rFonts w:ascii="仿宋_GB2312" w:hAnsi="仿宋_GB2312" w:cs="仿宋_GB2312" w:eastAsia="仿宋_GB2312"/>
                      <w:sz w:val="19"/>
                      <w:color w:val="000000"/>
                    </w:rPr>
                    <w:t>1.爱心弹跳</w:t>
                  </w:r>
                  <w:r>
                    <w:br/>
                  </w:r>
                  <w:r>
                    <w:rPr>
                      <w:rFonts w:ascii="仿宋_GB2312" w:hAnsi="仿宋_GB2312" w:cs="仿宋_GB2312" w:eastAsia="仿宋_GB2312"/>
                      <w:sz w:val="19"/>
                      <w:color w:val="000000"/>
                    </w:rPr>
                    <w:t xml:space="preserve"> 2.高密度聚乙烯(HDPE)板+高猛弹簧（1组7个），表面喷砂处理，安全环保,耐侯性好,不易褪色</w:t>
                  </w:r>
                  <w:r>
                    <w:br/>
                  </w:r>
                  <w:r>
                    <w:rPr>
                      <w:rFonts w:ascii="仿宋_GB2312" w:hAnsi="仿宋_GB2312" w:cs="仿宋_GB2312" w:eastAsia="仿宋_GB2312"/>
                      <w:sz w:val="19"/>
                      <w:color w:val="000000"/>
                    </w:rPr>
                    <w:t xml:space="preserve"> 3.尺寸：≥55*60cm，主面板厚度≥15毫米，装饰板厚度≥6毫米                                      </w:t>
                  </w:r>
                  <w:r>
                    <w:br/>
                  </w:r>
                  <w:r>
                    <w:rPr>
                      <w:rFonts w:ascii="仿宋_GB2312" w:hAnsi="仿宋_GB2312" w:cs="仿宋_GB2312" w:eastAsia="仿宋_GB2312"/>
                      <w:sz w:val="19"/>
                      <w:color w:val="000000"/>
                    </w:rPr>
                    <w:t xml:space="preserve">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转碗</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1.转碗</w:t>
                  </w:r>
                  <w:r>
                    <w:br/>
                  </w:r>
                  <w:r>
                    <w:rPr>
                      <w:rFonts w:ascii="仿宋_GB2312" w:hAnsi="仿宋_GB2312" w:cs="仿宋_GB2312" w:eastAsia="仿宋_GB2312"/>
                      <w:sz w:val="19"/>
                      <w:color w:val="000000"/>
                    </w:rPr>
                    <w:t xml:space="preserve"> 2.规格：≥55*60cm，高密度聚乙烯(HDPE)工程塑料，表面光滑，安全环保，耐侯性好，不易褪色。</w:t>
                  </w:r>
                  <w:r>
                    <w:br/>
                  </w:r>
                  <w:r>
                    <w:rPr>
                      <w:rFonts w:ascii="仿宋_GB2312" w:hAnsi="仿宋_GB2312" w:cs="仿宋_GB2312" w:eastAsia="仿宋_GB2312"/>
                      <w:sz w:val="19"/>
                      <w:color w:val="000000"/>
                    </w:rPr>
                    <w:t xml:space="preserve"> 3.采购、运输、安装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传声筒</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1.传声筒</w:t>
                  </w:r>
                  <w:r>
                    <w:br/>
                  </w:r>
                  <w:r>
                    <w:rPr>
                      <w:rFonts w:ascii="仿宋_GB2312" w:hAnsi="仿宋_GB2312" w:cs="仿宋_GB2312" w:eastAsia="仿宋_GB2312"/>
                      <w:sz w:val="19"/>
                      <w:color w:val="000000"/>
                    </w:rPr>
                    <w:t xml:space="preserve"> 2.规格：≥500*30*100cm</w:t>
                  </w:r>
                  <w:r>
                    <w:br/>
                  </w:r>
                  <w:r>
                    <w:rPr>
                      <w:rFonts w:ascii="仿宋_GB2312" w:hAnsi="仿宋_GB2312" w:cs="仿宋_GB2312" w:eastAsia="仿宋_GB2312"/>
                      <w:sz w:val="19"/>
                      <w:color w:val="000000"/>
                    </w:rPr>
                    <w:t xml:space="preserve"> 3.材质：直径≥85mm，厚度≥2mm镀锌钢管</w:t>
                  </w:r>
                  <w:r>
                    <w:br/>
                  </w:r>
                  <w:r>
                    <w:rPr>
                      <w:rFonts w:ascii="仿宋_GB2312" w:hAnsi="仿宋_GB2312" w:cs="仿宋_GB2312" w:eastAsia="仿宋_GB2312"/>
                      <w:sz w:val="19"/>
                      <w:color w:val="000000"/>
                    </w:rPr>
                    <w:t xml:space="preserve">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转椅</w:t>
                  </w:r>
                </w:p>
              </w:tc>
              <w:tc>
                <w:tcPr>
                  <w:tcW w:type="dxa" w:w="1401"/>
                  <w:tcBorders>
                    <w:top w:val="none" w:color="000000" w:sz="4"/>
                    <w:left w:val="none" w:color="000000" w:sz="4"/>
                    <w:bottom w:val="none" w:color="000000" w:sz="4"/>
                    <w:right w:val="none" w:color="000000" w:sz="4"/>
                  </w:tcBorders>
                  <w:shd w:fill="F2F2F2"/>
                  <w:tcMar>
                    <w:top w:type="dxa" w:w="15"/>
                    <w:left w:type="dxa" w:w="15"/>
                    <w:right w:type="dxa" w:w="15"/>
                  </w:tcMar>
                  <w:vAlign w:val="center"/>
                </w:tcPr>
                <w:p>
                  <w:pPr>
                    <w:pStyle w:val="null3"/>
                    <w:jc w:val="left"/>
                  </w:pPr>
                  <w:r>
                    <w:rPr>
                      <w:rFonts w:ascii="仿宋_GB2312" w:hAnsi="仿宋_GB2312" w:cs="仿宋_GB2312" w:eastAsia="仿宋_GB2312"/>
                      <w:sz w:val="19"/>
                      <w:color w:val="000000"/>
                    </w:rPr>
                    <w:t>1.转椅</w:t>
                  </w:r>
                  <w:r>
                    <w:br/>
                  </w:r>
                  <w:r>
                    <w:rPr>
                      <w:rFonts w:ascii="仿宋_GB2312" w:hAnsi="仿宋_GB2312" w:cs="仿宋_GB2312" w:eastAsia="仿宋_GB2312"/>
                      <w:sz w:val="19"/>
                      <w:color w:val="000000"/>
                    </w:rPr>
                    <w:t xml:space="preserve"> 2.材质：主立柱直径≥110mm，厚度≥2.0mm镀锌钢管</w:t>
                  </w:r>
                  <w:r>
                    <w:br/>
                  </w:r>
                  <w:r>
                    <w:rPr>
                      <w:rFonts w:ascii="仿宋_GB2312" w:hAnsi="仿宋_GB2312" w:cs="仿宋_GB2312" w:eastAsia="仿宋_GB2312"/>
                      <w:sz w:val="19"/>
                      <w:color w:val="000000"/>
                    </w:rPr>
                    <w:t xml:space="preserve"> 3.采购、运输、安装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回字型爬网</w:t>
                  </w:r>
                </w:p>
              </w:tc>
              <w:tc>
                <w:tcPr>
                  <w:tcW w:type="dxa" w:w="1401"/>
                  <w:tcBorders>
                    <w:top w:val="none" w:color="000000" w:sz="4"/>
                    <w:left w:val="none" w:color="000000" w:sz="4"/>
                    <w:bottom w:val="none" w:color="000000" w:sz="4"/>
                    <w:right w:val="none" w:color="000000" w:sz="4"/>
                  </w:tcBorders>
                  <w:shd w:fill="F2F2F2"/>
                  <w:tcMar>
                    <w:top w:type="dxa" w:w="15"/>
                    <w:left w:type="dxa" w:w="15"/>
                    <w:right w:type="dxa" w:w="15"/>
                  </w:tcMar>
                  <w:vAlign w:val="center"/>
                </w:tcPr>
                <w:p>
                  <w:pPr>
                    <w:pStyle w:val="null3"/>
                    <w:jc w:val="left"/>
                  </w:pPr>
                  <w:r>
                    <w:rPr>
                      <w:rFonts w:ascii="仿宋_GB2312" w:hAnsi="仿宋_GB2312" w:cs="仿宋_GB2312" w:eastAsia="仿宋_GB2312"/>
                      <w:sz w:val="19"/>
                      <w:color w:val="000000"/>
                    </w:rPr>
                    <w:t>1.回字型爬网</w:t>
                  </w:r>
                  <w:r>
                    <w:br/>
                  </w:r>
                  <w:r>
                    <w:rPr>
                      <w:rFonts w:ascii="仿宋_GB2312" w:hAnsi="仿宋_GB2312" w:cs="仿宋_GB2312" w:eastAsia="仿宋_GB2312"/>
                      <w:sz w:val="19"/>
                      <w:color w:val="000000"/>
                    </w:rPr>
                    <w:t xml:space="preserve"> 2.规格：600x600x180cm</w:t>
                  </w:r>
                  <w:r>
                    <w:br/>
                  </w:r>
                  <w:r>
                    <w:rPr>
                      <w:rFonts w:ascii="仿宋_GB2312" w:hAnsi="仿宋_GB2312" w:cs="仿宋_GB2312" w:eastAsia="仿宋_GB2312"/>
                      <w:sz w:val="19"/>
                      <w:color w:val="000000"/>
                    </w:rPr>
                    <w:t xml:space="preserve"> 3.直径≥110mm，厚度≥2mm管镀锌钢管+六股钢丝绳，绳网采用￠≥16mm缆绳，中芯为六股热镀锌钢丝，防腐、防锈、户外环境最少10年不腐烂。</w:t>
                  </w:r>
                  <w:r>
                    <w:br/>
                  </w:r>
                  <w:r>
                    <w:rPr>
                      <w:rFonts w:ascii="仿宋_GB2312" w:hAnsi="仿宋_GB2312" w:cs="仿宋_GB2312" w:eastAsia="仿宋_GB2312"/>
                      <w:sz w:val="19"/>
                      <w:color w:val="000000"/>
                    </w:rPr>
                    <w:t xml:space="preserve"> 4.采购、运输、安装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树池坐凳</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1.基础挖、填土方，且余土外运</w:t>
                  </w:r>
                  <w:r>
                    <w:br/>
                  </w:r>
                  <w:r>
                    <w:rPr>
                      <w:rFonts w:ascii="仿宋_GB2312" w:hAnsi="仿宋_GB2312" w:cs="仿宋_GB2312" w:eastAsia="仿宋_GB2312"/>
                      <w:sz w:val="19"/>
                      <w:color w:val="000000"/>
                    </w:rPr>
                    <w:t xml:space="preserve"> 2.≥150mm厚级配砂石垫层</w:t>
                  </w:r>
                  <w:r>
                    <w:br/>
                  </w:r>
                  <w:r>
                    <w:rPr>
                      <w:rFonts w:ascii="仿宋_GB2312" w:hAnsi="仿宋_GB2312" w:cs="仿宋_GB2312" w:eastAsia="仿宋_GB2312"/>
                      <w:sz w:val="19"/>
                      <w:color w:val="000000"/>
                    </w:rPr>
                    <w:t xml:space="preserve"> 3.≥100mm厚C20混凝土垫层</w:t>
                  </w:r>
                  <w:r>
                    <w:br/>
                  </w:r>
                  <w:r>
                    <w:rPr>
                      <w:rFonts w:ascii="仿宋_GB2312" w:hAnsi="仿宋_GB2312" w:cs="仿宋_GB2312" w:eastAsia="仿宋_GB2312"/>
                      <w:sz w:val="19"/>
                      <w:color w:val="000000"/>
                    </w:rPr>
                    <w:t xml:space="preserve"> 4.MU10非黏土M7.5水泥砂浆砌筑</w:t>
                  </w:r>
                  <w:r>
                    <w:br/>
                  </w:r>
                  <w:r>
                    <w:rPr>
                      <w:rFonts w:ascii="仿宋_GB2312" w:hAnsi="仿宋_GB2312" w:cs="仿宋_GB2312" w:eastAsia="仿宋_GB2312"/>
                      <w:sz w:val="19"/>
                      <w:color w:val="000000"/>
                    </w:rPr>
                    <w:t xml:space="preserve"> 5.≥30mm厚1:3水泥砂浆结合层</w:t>
                  </w:r>
                  <w:r>
                    <w:br/>
                  </w:r>
                  <w:r>
                    <w:rPr>
                      <w:rFonts w:ascii="仿宋_GB2312" w:hAnsi="仿宋_GB2312" w:cs="仿宋_GB2312" w:eastAsia="仿宋_GB2312"/>
                      <w:sz w:val="19"/>
                      <w:color w:val="000000"/>
                    </w:rPr>
                    <w:t xml:space="preserve"> 6.≥20mm厚水洗石凳面</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石墩</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1.隔离石墩</w:t>
                  </w:r>
                  <w:r>
                    <w:br/>
                  </w:r>
                  <w:r>
                    <w:rPr>
                      <w:rFonts w:ascii="仿宋_GB2312" w:hAnsi="仿宋_GB2312" w:cs="仿宋_GB2312" w:eastAsia="仿宋_GB2312"/>
                      <w:sz w:val="19"/>
                      <w:color w:val="000000"/>
                    </w:rPr>
                    <w:t xml:space="preserve"> 2.材质：花岗岩石材，</w:t>
                  </w:r>
                  <w:r>
                    <w:br/>
                  </w:r>
                  <w:r>
                    <w:rPr>
                      <w:rFonts w:ascii="仿宋_GB2312" w:hAnsi="仿宋_GB2312" w:cs="仿宋_GB2312" w:eastAsia="仿宋_GB2312"/>
                      <w:sz w:val="19"/>
                      <w:color w:val="000000"/>
                    </w:rPr>
                    <w:t xml:space="preserve"> 3.尺寸：Φ≥400mm圆球</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成品座椅</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1.成品座椅</w:t>
                  </w:r>
                  <w:r>
                    <w:br/>
                  </w:r>
                  <w:r>
                    <w:rPr>
                      <w:rFonts w:ascii="仿宋_GB2312" w:hAnsi="仿宋_GB2312" w:cs="仿宋_GB2312" w:eastAsia="仿宋_GB2312"/>
                      <w:sz w:val="20"/>
                      <w:color w:val="000000"/>
                    </w:rPr>
                    <w:t xml:space="preserve"> 2.尺寸：≥1500mm×400mm×450mm ，整体</w:t>
                  </w:r>
                  <w:r>
                    <w:rPr>
                      <w:rFonts w:ascii="仿宋_GB2312" w:hAnsi="仿宋_GB2312" w:cs="仿宋_GB2312" w:eastAsia="仿宋_GB2312"/>
                      <w:sz w:val="20"/>
                      <w:color w:val="000000"/>
                    </w:rPr>
                    <w:t>材质采</w:t>
                  </w:r>
                  <w:r>
                    <w:rPr>
                      <w:rFonts w:ascii="仿宋_GB2312" w:hAnsi="仿宋_GB2312" w:cs="仿宋_GB2312" w:eastAsia="仿宋_GB2312"/>
                      <w:sz w:val="20"/>
                      <w:color w:val="000000"/>
                    </w:rPr>
                    <w:t>用不锈钢+塑木</w:t>
                  </w:r>
                  <w:r>
                    <w:br/>
                  </w:r>
                  <w:r>
                    <w:rPr>
                      <w:rFonts w:ascii="仿宋_GB2312" w:hAnsi="仿宋_GB2312" w:cs="仿宋_GB2312" w:eastAsia="仿宋_GB2312"/>
                      <w:sz w:val="20"/>
                      <w:color w:val="000000"/>
                    </w:rPr>
                    <w:t xml:space="preserve"> 3.采购、运输、安装</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太阳能路灯</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1.主杆为优质Q235 钢板，安装于建筑墙体</w:t>
                  </w:r>
                  <w:r>
                    <w:br/>
                  </w:r>
                  <w:r>
                    <w:rPr>
                      <w:rFonts w:ascii="仿宋_GB2312" w:hAnsi="仿宋_GB2312" w:cs="仿宋_GB2312" w:eastAsia="仿宋_GB2312"/>
                      <w:sz w:val="19"/>
                      <w:color w:val="000000"/>
                    </w:rPr>
                    <w:t xml:space="preserve"> 2.灯具：防水等级≥IP65,两头，总功率≥200W</w:t>
                  </w:r>
                  <w:r>
                    <w:br/>
                  </w:r>
                  <w:r>
                    <w:rPr>
                      <w:rFonts w:ascii="仿宋_GB2312" w:hAnsi="仿宋_GB2312" w:cs="仿宋_GB2312" w:eastAsia="仿宋_GB2312"/>
                      <w:sz w:val="19"/>
                      <w:color w:val="000000"/>
                    </w:rPr>
                    <w:t xml:space="preserve"> 3.光源：LED光源，暖黄色；色温：3000-3500K</w:t>
                  </w:r>
                  <w:r>
                    <w:br/>
                  </w:r>
                  <w:r>
                    <w:rPr>
                      <w:rFonts w:ascii="仿宋_GB2312" w:hAnsi="仿宋_GB2312" w:cs="仿宋_GB2312" w:eastAsia="仿宋_GB2312"/>
                      <w:sz w:val="19"/>
                      <w:color w:val="000000"/>
                    </w:rPr>
                    <w:t xml:space="preserve"> 4.太阳能板功率：≥80W；每天亮灯6-12小时；智能光控+时控；连续阴雨天亮度≥3天</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片植灌木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1.种类:红叶石楠</w:t>
                  </w:r>
                  <w:r>
                    <w:br/>
                  </w:r>
                  <w:r>
                    <w:rPr>
                      <w:rFonts w:ascii="仿宋_GB2312" w:hAnsi="仿宋_GB2312" w:cs="仿宋_GB2312" w:eastAsia="仿宋_GB2312"/>
                      <w:sz w:val="19"/>
                      <w:color w:val="000000"/>
                    </w:rPr>
                    <w:t xml:space="preserve"> 2.株高:高度0.4-0.45M</w:t>
                  </w:r>
                  <w:r>
                    <w:br/>
                  </w:r>
                  <w:r>
                    <w:rPr>
                      <w:rFonts w:ascii="仿宋_GB2312" w:hAnsi="仿宋_GB2312" w:cs="仿宋_GB2312" w:eastAsia="仿宋_GB2312"/>
                      <w:sz w:val="19"/>
                      <w:color w:val="000000"/>
                    </w:rPr>
                    <w:t xml:space="preserve"> 3.冠径:冠幅0.2-0.25M</w:t>
                  </w:r>
                  <w:r>
                    <w:br/>
                  </w:r>
                  <w:r>
                    <w:rPr>
                      <w:rFonts w:ascii="仿宋_GB2312" w:hAnsi="仿宋_GB2312" w:cs="仿宋_GB2312" w:eastAsia="仿宋_GB2312"/>
                      <w:sz w:val="19"/>
                      <w:color w:val="000000"/>
                    </w:rPr>
                    <w:t xml:space="preserve"> 4.单位面积株数:≥36株/m2</w:t>
                  </w:r>
                  <w:r>
                    <w:br/>
                  </w:r>
                  <w:r>
                    <w:rPr>
                      <w:rFonts w:ascii="仿宋_GB2312" w:hAnsi="仿宋_GB2312" w:cs="仿宋_GB2312" w:eastAsia="仿宋_GB2312"/>
                      <w:sz w:val="19"/>
                      <w:color w:val="000000"/>
                    </w:rPr>
                    <w:t xml:space="preserve"> 5.选用生长旺盛植株</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片植灌木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1.种类:金森女贞</w:t>
                  </w:r>
                  <w:r>
                    <w:br/>
                  </w:r>
                  <w:r>
                    <w:rPr>
                      <w:rFonts w:ascii="仿宋_GB2312" w:hAnsi="仿宋_GB2312" w:cs="仿宋_GB2312" w:eastAsia="仿宋_GB2312"/>
                      <w:sz w:val="19"/>
                      <w:color w:val="000000"/>
                    </w:rPr>
                    <w:t xml:space="preserve"> 2.株高:高度0.4-0.45M</w:t>
                  </w:r>
                  <w:r>
                    <w:br/>
                  </w:r>
                  <w:r>
                    <w:rPr>
                      <w:rFonts w:ascii="仿宋_GB2312" w:hAnsi="仿宋_GB2312" w:cs="仿宋_GB2312" w:eastAsia="仿宋_GB2312"/>
                      <w:sz w:val="19"/>
                      <w:color w:val="000000"/>
                    </w:rPr>
                    <w:t xml:space="preserve"> 3.冠径:冠幅0.2-0.25M</w:t>
                  </w:r>
                  <w:r>
                    <w:br/>
                  </w:r>
                  <w:r>
                    <w:rPr>
                      <w:rFonts w:ascii="仿宋_GB2312" w:hAnsi="仿宋_GB2312" w:cs="仿宋_GB2312" w:eastAsia="仿宋_GB2312"/>
                      <w:sz w:val="19"/>
                      <w:color w:val="000000"/>
                    </w:rPr>
                    <w:t xml:space="preserve"> 4.单位面积株数:≥36株/m2</w:t>
                  </w:r>
                  <w:r>
                    <w:br/>
                  </w:r>
                  <w:r>
                    <w:rPr>
                      <w:rFonts w:ascii="仿宋_GB2312" w:hAnsi="仿宋_GB2312" w:cs="仿宋_GB2312" w:eastAsia="仿宋_GB2312"/>
                      <w:sz w:val="19"/>
                      <w:color w:val="000000"/>
                    </w:rPr>
                    <w:t xml:space="preserve"> 5.选用生长旺盛植株</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m2</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r>
            <w:tr>
              <w:tc>
                <w:tcPr>
                  <w:tcW w:type="dxa" w:w="19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47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栽植乔木</w:t>
                  </w:r>
                </w:p>
              </w:tc>
              <w:tc>
                <w:tcPr>
                  <w:tcW w:type="dxa" w:w="140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1.种类:国槐</w:t>
                  </w:r>
                  <w:r>
                    <w:br/>
                  </w:r>
                  <w:r>
                    <w:rPr>
                      <w:rFonts w:ascii="仿宋_GB2312" w:hAnsi="仿宋_GB2312" w:cs="仿宋_GB2312" w:eastAsia="仿宋_GB2312"/>
                      <w:sz w:val="19"/>
                      <w:color w:val="000000"/>
                    </w:rPr>
                    <w:t xml:space="preserve"> 2.胸径/干径/米径/地径:胸径18-20CM</w:t>
                  </w:r>
                  <w:r>
                    <w:br/>
                  </w:r>
                  <w:r>
                    <w:rPr>
                      <w:rFonts w:ascii="仿宋_GB2312" w:hAnsi="仿宋_GB2312" w:cs="仿宋_GB2312" w:eastAsia="仿宋_GB2312"/>
                      <w:sz w:val="19"/>
                      <w:color w:val="000000"/>
                    </w:rPr>
                    <w:t xml:space="preserve"> 3.株高:高度700-800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4.冠径:冠幅400-500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5.枝下高：300-350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6.土球：140-120</w:t>
                  </w:r>
                  <w:r>
                    <w:rPr>
                      <w:rFonts w:ascii="仿宋_GB2312" w:hAnsi="仿宋_GB2312" w:cs="仿宋_GB2312" w:eastAsia="仿宋_GB2312"/>
                      <w:sz w:val="19"/>
                      <w:color w:val="000000"/>
                    </w:rPr>
                    <w:t>cm</w:t>
                  </w:r>
                  <w:r>
                    <w:br/>
                  </w:r>
                  <w:r>
                    <w:rPr>
                      <w:rFonts w:ascii="仿宋_GB2312" w:hAnsi="仿宋_GB2312" w:cs="仿宋_GB2312" w:eastAsia="仿宋_GB2312"/>
                      <w:sz w:val="19"/>
                      <w:color w:val="000000"/>
                    </w:rPr>
                    <w:t xml:space="preserve"> 7.树形饱满，无病虫害</w:t>
                  </w:r>
                  <w:r>
                    <w:br/>
                  </w:r>
                  <w:r>
                    <w:rPr>
                      <w:rFonts w:ascii="仿宋_GB2312" w:hAnsi="仿宋_GB2312" w:cs="仿宋_GB2312" w:eastAsia="仿宋_GB2312"/>
                      <w:sz w:val="19"/>
                      <w:color w:val="000000"/>
                    </w:rPr>
                    <w:t xml:space="preserve"> 6.养护期≥1年</w:t>
                  </w:r>
                </w:p>
              </w:tc>
              <w:tc>
                <w:tcPr>
                  <w:tcW w:type="dxa" w:w="17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株</w:t>
                  </w:r>
                </w:p>
              </w:tc>
              <w:tc>
                <w:tcPr>
                  <w:tcW w:type="dxa" w:w="30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进度款，项⽬完成后，验收合格，，达到付款条件起7个工作日内，支付合同总金额的40.0%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进度款，质保期结束后，，达到付款条件起7个工作日内，支付合同总金额的10.0%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符合国家相关标准、产品质量合格标准，及满⾜采购⼈的需求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提供产品、服务，或产品、服务不达标、存在侵权等，采购⼈有权追责，按《中华⼈⺠共和国政府采购法》《中华⼈⺠共和国⺠法典》执⾏;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为不⻅⾯开标，供应商⽆需在开标现场提交纸质响应⽂件，待采购结果发布后3个⼯作⽇内成交供应商向代理机构提交纸质版响应⽂件以便于存档，响应⽂件包括:正本壹份、副本壹份，电⼦版U盘壹份(含响应⽂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投标人⾝份证明</w:t>
            </w:r>
          </w:p>
        </w:tc>
        <w:tc>
          <w:tcPr>
            <w:tcW w:type="dxa" w:w="3322"/>
          </w:tcPr>
          <w:p>
            <w:pPr>
              <w:pStyle w:val="null3"/>
            </w:pPr>
            <w:r>
              <w:rPr>
                <w:rFonts w:ascii="仿宋_GB2312" w:hAnsi="仿宋_GB2312" w:cs="仿宋_GB2312" w:eastAsia="仿宋_GB2312"/>
              </w:rPr>
              <w:t>投标人应具有独⽴承担⺠事责任的能⼒的企业法⼈、事业法⼈、其他组织或者⾃然⼈，企业法⼈应提供营业执照等证明⽂件;事业法⼈应提供事业单位法⼈证、组织机构代码证等证明⽂件(或统⼀社会信⽤代码的事业单位法⼈证)等证明⽂件;其他组织应提供合法证明⽂件;⾃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法定代表⼈直接参加投标的，须出具法⼈⾝份证(附法定代表⼈⾝份证复印件);法定代表⼈授权代表参加投标的，须出具法定代表⼈授权书及授权代表⾝份证(附法定代表⼈⾝份证复印件及被授权⼈⾝份证复印件)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合同所必需的设备和专业技术能⼒、具有依法缴纳税收和社会保障资⾦的良好记录，参加本项⽬采购活动前三年内⽆重⼤违法活动记录，未列⼊在信⽤中国⽹站“失信被执⾏⼈”、“重⼤税收违法案件当事⼈名单"中，也未列⼊中国政府采购⽹“政府采购严重违法失信⾏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本项⽬专⻔⾯向中⼩企业采购，投标⼈应为中 型、⼩型、微型企业、残疾⼈福利性单位或监 狱企业；中⼩微企业须提供《中⼩企业声明函 》，残疾⼈福利性单位须提供《残疾⼈福利性 单位声明函》，监狱企业须提供监狱企业证明 材料（残疾⼈福利性单位、监狱企业视同⼩型 、微型企业）。（材料应清晰可辨并进⾏电⼦ 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⾮联合体投标声明函</w:t>
            </w:r>
          </w:p>
        </w:tc>
        <w:tc>
          <w:tcPr>
            <w:tcW w:type="dxa" w:w="3322"/>
          </w:tcPr>
          <w:p>
            <w:pPr>
              <w:pStyle w:val="null3"/>
            </w:pPr>
            <w:r>
              <w:rPr>
                <w:rFonts w:ascii="仿宋_GB2312" w:hAnsi="仿宋_GB2312" w:cs="仿宋_GB2312" w:eastAsia="仿宋_GB2312"/>
              </w:rPr>
              <w:t>本项⽬不接受联合体投标（提供⾮联合体声明 ）。（材料应清晰可辨并进⾏电⼦签章）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磋商响应⽂件签署、盖章</w:t>
            </w:r>
          </w:p>
        </w:tc>
        <w:tc>
          <w:tcPr>
            <w:tcW w:type="dxa" w:w="3322"/>
          </w:tcPr>
          <w:p>
            <w:pPr>
              <w:pStyle w:val="null3"/>
            </w:pPr>
            <w:r>
              <w:rPr>
                <w:rFonts w:ascii="仿宋_GB2312" w:hAnsi="仿宋_GB2312" w:cs="仿宋_GB2312" w:eastAsia="仿宋_GB2312"/>
              </w:rPr>
              <w:t>与所投项⽬名称、项⽬编号⼀致，且符合磋商 ⽂件签署盖章要求</w:t>
            </w:r>
          </w:p>
        </w:tc>
        <w:tc>
          <w:tcPr>
            <w:tcW w:type="dxa" w:w="1661"/>
          </w:tcPr>
          <w:p>
            <w:pPr>
              <w:pStyle w:val="null3"/>
            </w:pPr>
            <w:r>
              <w:rPr>
                <w:rFonts w:ascii="仿宋_GB2312" w:hAnsi="仿宋_GB2312" w:cs="仿宋_GB2312" w:eastAsia="仿宋_GB2312"/>
              </w:rPr>
              <w:t>本国产品说明.docx 磋商响应方案.docx 中小企业声明函 商务应答表 报价表 类似项目业绩表.docx 中国境内生产的组件成本核算基本规则.docx 响应文件封面 投标分项报价表.docx 产品技术参数表 供应商应提交的相关资格证明材料.docx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符合“磋商响应⽂件格式”的规定。</w:t>
            </w:r>
          </w:p>
        </w:tc>
        <w:tc>
          <w:tcPr>
            <w:tcW w:type="dxa" w:w="1661"/>
          </w:tcPr>
          <w:p>
            <w:pPr>
              <w:pStyle w:val="null3"/>
            </w:pPr>
            <w:r>
              <w:rPr>
                <w:rFonts w:ascii="仿宋_GB2312" w:hAnsi="仿宋_GB2312" w:cs="仿宋_GB2312" w:eastAsia="仿宋_GB2312"/>
              </w:rPr>
              <w:t>本国产品说明.docx 磋商响应方案.docx 中小企业声明函 商务应答表 报价表 类似项目业绩表.docx 中国境内生产的组件成本核算基本规则.docx 响应文件封面 投标分项报价表.docx 产品技术参数表 供应商应提交的相关资格证明材料.docx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 得出现负偏离。</w:t>
            </w:r>
          </w:p>
        </w:tc>
        <w:tc>
          <w:tcPr>
            <w:tcW w:type="dxa" w:w="1661"/>
          </w:tcPr>
          <w:p>
            <w:pPr>
              <w:pStyle w:val="null3"/>
            </w:pPr>
            <w:r>
              <w:rPr>
                <w:rFonts w:ascii="仿宋_GB2312" w:hAnsi="仿宋_GB2312" w:cs="仿宋_GB2312" w:eastAsia="仿宋_GB2312"/>
              </w:rPr>
              <w:t>产品技术参数表 磋商响应方案.docx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完全响应磋商⽂件要求的各项技术条款、商务 实质性条款。</w:t>
            </w:r>
          </w:p>
        </w:tc>
        <w:tc>
          <w:tcPr>
            <w:tcW w:type="dxa" w:w="1661"/>
          </w:tcPr>
          <w:p>
            <w:pPr>
              <w:pStyle w:val="null3"/>
            </w:pPr>
            <w:r>
              <w:rPr>
                <w:rFonts w:ascii="仿宋_GB2312" w:hAnsi="仿宋_GB2312" w:cs="仿宋_GB2312" w:eastAsia="仿宋_GB2312"/>
              </w:rPr>
              <w:t>产品技术参数表 磋商响应方案.docx 技术偏离表.docx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招标⽂件“第三章 招标项⽬技术、服务、商务及其他要求”“3.3技术要求”中“⼆、技术参数要求”，完全响应得40分。 其中“▲”号技术参数⼀项不满⾜扣1分，⾮“▲”号技术指标参数⼀项不满⾜扣0.5分，扣完为⽌。注：“▲”号技术参数提供相关技术指标的佐证材料，佐证材料包括但不限于功能截图、彩⻚、产品证书合格证、检测报告、⼚家授权书等相关资料（需体现出具体技术参数），予以证明其技术参数的响应性，否则不计分。⾮“▲”号技术指标参照技术偏离表。</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1、投标⼈或所投产品制造商具有2023年8⽉1⽇（以合同签订⽇期为准）以后，与本项⽬同类销售或供货经验，提供⼀个得3分，未提供的不得分。 （⼆）评审依据： 1.同时提供合同关键⻚扫描件（包括但不限于合同⾸⻚、内容⻚、签章⻚）； 2.未按要求提供相关证明材料（或相关证明材料⽆法判断是否符合评分要求）的不计得分。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（⼀）评审内容： 项⽬实施⽅案，内容包含但不限于： 1.实施流程及周期规划（需包括实施工艺流程、项⽬周期、⼈员配置与分⼯） 2.⻛险管控与应急机制（需包括⻛险管控措施、质量保障措施、应急管理机制） 3.设备安装与功能调试（需包括参数校准、固定方式、垂直度、水平度、间距尺寸控制措施与功能调试说明）。（⼆）评审依据：（1）实施流程及周期规划详细具体科学合理，衔接紧密且具有针对性；设备安装与功能调试周期合理⾼效，⻛险管控与应急机制逻辑结构清晰且具有针对性；交付周期保障措施明确有力，得12分；每有一项内容缺失或存在重大缺陷或内容与本项目无关的扣3分；每有一项内容简略或针对性不强或不完全满足项目要求的扣1分，扣完为止。（评审内容包括：实施流程及周期规划，⻛险管控与应急机制，设备安装与功能调试周期，交付周期保障措施 ）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售后服务⽅案，内容包含但不限于： 1. 技术⽀持体系（包括但不限于技术⽀持服务级别和内容、紧急情况的技术⽀持） 2. 设备维护服务⽅案（包括但不限于问题分级说明和解决时间、问题状况与诊断、软件和硬件维护） 3. 备品备件⽅案（包括但不限于备品备件清单、价格） 4. 设备培训⽅案（包括但不限于培训课时、操作⼿册、使⽤⽅法） （⼆）评审依据： （1）⽅案（以上评审内容4⼤项）内容详尽阐述，技术⽀持体系、设备维护服务⽅案具体且针对性充⾜的，备品备件⽅案及设备培训⽅案清晰完善，得8分；每有一项内容缺失或存在重大缺陷或内容与本项目无关的扣2分；每有一项内容简略或针对性不强或不完全满足项目要求的扣1分，扣完为止；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提供所有所投“▲”产品的合法来源渠道证明⽂件(产品制造商授权或销售协议或代理协议等)， 本项满分5分，每少提供⼀个产品的证明⽂件扣1分，扣完为⽌。</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满⾜招标⽂件要求且价格最低的价格为评标基准价，其价格分为满分。其他供应商的价格分统 ⼀按照下列公式计算：投标报价得分=（评标基准价/投标报价）×分值；①本项目为专门面向中小企业采购项目，不执行中小企业价格评审优惠政策；②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