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版本号：ZCBN-西安市-2026-03109、XHLJZC-XA2026-08120260708001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2026年经开院区零星标识制作服务项目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ZCBN-西安市-2026-03109、XHLJZC-XA2026-081</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2026年经开院区零星标识制作服务项目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ZCBN-西安市-2026-03109、XHLJZC-XA2026-081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2026年经开院区零星标识制作服务项目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2026年经开院区零星标识制作服务。详见磋商文件。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8、承诺函：本公司法人、出资人、参股人无招标方在职工作人员（提供承诺函）。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西安市儿童医院招标办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范雪、毛嘉伟、樊锐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029-82525682、029-89183511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代理服务费收费标准：代理服务费参照原《国家计委关于印发&lt;招标代理服务收费管理暂行办法&gt;的通知》（计价格〔2002〕1980号）的规定标准执行，按差额定率累进法收取费用，100万以下按1.5%收取。下浮20%。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验收依据：完成环保等相关部门各项检查及院方实时监督。</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联系人：范雪、毛嘉伟、樊锐</w:t>
      </w:r>
    </w:p>
    <w:p>
      <w:pPr>
        <w:pStyle w:val="null3"/>
      </w:pPr>
      <w:r>
        <w:rPr>
          <w:rFonts w:ascii="仿宋_GB2312" w:hAnsi="仿宋_GB2312" w:cs="仿宋_GB2312" w:eastAsia="仿宋_GB2312"/>
        </w:rPr>
        <w:t>联系电话：029-82525682</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8"/>
        </w:rPr>
        <w:t>2026年西安市儿童医院经开院区零星标识设计制作安装维护。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2026年经开院区零星标识制作服务项目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标的名称：2026年经开院区零星标识制作服务项目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ind w:firstLine="560"/>
              <w:jc w:val="both"/>
            </w:pPr>
            <w:r>
              <w:rPr>
                <w:rFonts w:ascii="仿宋_GB2312" w:hAnsi="仿宋_GB2312" w:cs="仿宋_GB2312" w:eastAsia="仿宋_GB2312"/>
                <w:sz w:val="21"/>
              </w:rPr>
              <w:t>2026年西安市儿童医院经开院区零星标识设计制作安装维护</w:t>
            </w:r>
          </w:p>
          <w:p>
            <w:pPr>
              <w:pStyle w:val="null3"/>
              <w:jc w:val="both"/>
            </w:pPr>
            <w:r>
              <w:rPr>
                <w:rFonts w:ascii="仿宋_GB2312" w:hAnsi="仿宋_GB2312" w:cs="仿宋_GB2312" w:eastAsia="仿宋_GB2312"/>
                <w:sz w:val="21"/>
              </w:rPr>
              <w:t>二、服务内容：</w:t>
            </w:r>
          </w:p>
          <w:p>
            <w:pPr>
              <w:pStyle w:val="null3"/>
              <w:ind w:firstLine="560"/>
              <w:jc w:val="both"/>
            </w:pPr>
            <w:r>
              <w:rPr>
                <w:rFonts w:ascii="仿宋_GB2312" w:hAnsi="仿宋_GB2312" w:cs="仿宋_GB2312" w:eastAsia="仿宋_GB2312"/>
                <w:sz w:val="21"/>
              </w:rPr>
              <w:t>1、服务区域为：经开院区。</w:t>
            </w:r>
          </w:p>
          <w:p>
            <w:pPr>
              <w:pStyle w:val="null3"/>
              <w:ind w:firstLine="560"/>
              <w:jc w:val="both"/>
            </w:pPr>
            <w:r>
              <w:rPr>
                <w:rFonts w:ascii="仿宋_GB2312" w:hAnsi="仿宋_GB2312" w:cs="仿宋_GB2312" w:eastAsia="仿宋_GB2312"/>
                <w:sz w:val="21"/>
              </w:rPr>
              <w:t>2、服务内容为：日常院内零星标识的设计制作安装和维护，详见附件清单。</w:t>
            </w:r>
          </w:p>
          <w:p>
            <w:pPr>
              <w:pStyle w:val="null3"/>
              <w:jc w:val="both"/>
            </w:pPr>
            <w:r>
              <w:rPr>
                <w:rFonts w:ascii="仿宋_GB2312" w:hAnsi="仿宋_GB2312" w:cs="仿宋_GB2312" w:eastAsia="仿宋_GB2312"/>
                <w:sz w:val="21"/>
              </w:rPr>
              <w:t>三、技术要求</w:t>
            </w:r>
          </w:p>
          <w:p>
            <w:pPr>
              <w:pStyle w:val="null3"/>
              <w:ind w:firstLine="560"/>
              <w:jc w:val="both"/>
            </w:pPr>
            <w:r>
              <w:rPr>
                <w:rFonts w:ascii="仿宋_GB2312" w:hAnsi="仿宋_GB2312" w:cs="仿宋_GB2312" w:eastAsia="仿宋_GB2312"/>
                <w:sz w:val="21"/>
              </w:rPr>
              <w:t>1、材料符合国家安全标准无毒无害。</w:t>
            </w:r>
          </w:p>
          <w:p>
            <w:pPr>
              <w:pStyle w:val="null3"/>
              <w:ind w:firstLine="560"/>
              <w:jc w:val="both"/>
            </w:pPr>
            <w:r>
              <w:rPr>
                <w:rFonts w:ascii="仿宋_GB2312" w:hAnsi="仿宋_GB2312" w:cs="仿宋_GB2312" w:eastAsia="仿宋_GB2312"/>
                <w:sz w:val="21"/>
              </w:rPr>
              <w:t>2、材料根据实际使用环境选择防水防晒属性。</w:t>
            </w:r>
          </w:p>
          <w:p>
            <w:pPr>
              <w:pStyle w:val="null3"/>
              <w:ind w:firstLine="560"/>
              <w:jc w:val="both"/>
            </w:pPr>
            <w:r>
              <w:rPr>
                <w:rFonts w:ascii="仿宋_GB2312" w:hAnsi="仿宋_GB2312" w:cs="仿宋_GB2312" w:eastAsia="仿宋_GB2312"/>
                <w:sz w:val="21"/>
              </w:rPr>
              <w:t>3、为节约成本选择使用年限更久且容易更新的材料。</w:t>
            </w:r>
          </w:p>
          <w:p>
            <w:pPr>
              <w:pStyle w:val="null3"/>
              <w:jc w:val="both"/>
            </w:pPr>
            <w:r>
              <w:rPr>
                <w:rFonts w:ascii="仿宋_GB2312" w:hAnsi="仿宋_GB2312" w:cs="仿宋_GB2312" w:eastAsia="仿宋_GB2312"/>
                <w:sz w:val="21"/>
              </w:rPr>
              <w:t>四、服务要求：</w:t>
            </w:r>
          </w:p>
          <w:p>
            <w:pPr>
              <w:pStyle w:val="null3"/>
              <w:ind w:firstLine="560"/>
              <w:jc w:val="both"/>
            </w:pPr>
            <w:r>
              <w:rPr>
                <w:rFonts w:ascii="仿宋_GB2312" w:hAnsi="仿宋_GB2312" w:cs="仿宋_GB2312" w:eastAsia="仿宋_GB2312"/>
                <w:sz w:val="21"/>
              </w:rPr>
              <w:t>1、由专人负责与医院对接沟通规划设计事宜，严格按照医院要求设计\制作\施工；</w:t>
            </w:r>
          </w:p>
          <w:p>
            <w:pPr>
              <w:pStyle w:val="null3"/>
              <w:ind w:firstLine="560"/>
              <w:jc w:val="both"/>
            </w:pPr>
            <w:r>
              <w:rPr>
                <w:rFonts w:ascii="仿宋_GB2312" w:hAnsi="仿宋_GB2312" w:cs="仿宋_GB2312" w:eastAsia="仿宋_GB2312"/>
                <w:sz w:val="21"/>
              </w:rPr>
              <w:t>2、供应商对我院突发事件及各项应急预案应积极响应并派人员配合及协助工作，不得拒绝推诿。</w:t>
            </w:r>
          </w:p>
          <w:p>
            <w:pPr>
              <w:pStyle w:val="null3"/>
              <w:ind w:firstLine="560"/>
              <w:jc w:val="both"/>
            </w:pPr>
            <w:r>
              <w:rPr>
                <w:rFonts w:ascii="仿宋_GB2312" w:hAnsi="仿宋_GB2312" w:cs="仿宋_GB2312" w:eastAsia="仿宋_GB2312"/>
                <w:sz w:val="21"/>
              </w:rPr>
              <w:t>3、提供质保期内不限次维修服务，响应时间≤2小时，48小时内恢复正常使用（电话响应时间小于2小时，到达现场时间不超过24小时，解决问题不超过48小时）。若需返厂维修，乙方承担往返费用。</w:t>
            </w:r>
          </w:p>
          <w:p>
            <w:pPr>
              <w:pStyle w:val="null3"/>
              <w:ind w:firstLine="560"/>
              <w:jc w:val="both"/>
            </w:pPr>
            <w:r>
              <w:rPr>
                <w:rFonts w:ascii="仿宋_GB2312" w:hAnsi="仿宋_GB2312" w:cs="仿宋_GB2312" w:eastAsia="仿宋_GB2312"/>
                <w:sz w:val="21"/>
              </w:rPr>
              <w:t>4、安装现场必须做好防护措施，确保施工安全，不得影响院内就医环境和秩序。</w:t>
            </w:r>
          </w:p>
          <w:p>
            <w:pPr>
              <w:pStyle w:val="null3"/>
              <w:ind w:firstLine="560"/>
              <w:jc w:val="both"/>
            </w:pPr>
            <w:r>
              <w:rPr>
                <w:rFonts w:ascii="仿宋_GB2312" w:hAnsi="仿宋_GB2312" w:cs="仿宋_GB2312" w:eastAsia="仿宋_GB2312"/>
                <w:sz w:val="21"/>
              </w:rPr>
              <w:t>5、安装产生的垃圾由供应商自行处理。</w:t>
            </w:r>
          </w:p>
          <w:p>
            <w:pPr>
              <w:pStyle w:val="null3"/>
              <w:jc w:val="both"/>
            </w:pPr>
            <w:r>
              <w:rPr>
                <w:rFonts w:ascii="仿宋_GB2312" w:hAnsi="仿宋_GB2312" w:cs="仿宋_GB2312" w:eastAsia="仿宋_GB2312"/>
                <w:sz w:val="21"/>
                <w:color w:val="000000"/>
              </w:rPr>
              <w:t>五、</w:t>
            </w:r>
            <w:r>
              <w:rPr>
                <w:rFonts w:ascii="仿宋_GB2312" w:hAnsi="仿宋_GB2312" w:cs="仿宋_GB2312" w:eastAsia="仿宋_GB2312"/>
                <w:sz w:val="21"/>
                <w:color w:val="000000"/>
              </w:rPr>
              <w:t>商务要求</w:t>
            </w:r>
          </w:p>
          <w:p>
            <w:pPr>
              <w:pStyle w:val="null3"/>
              <w:ind w:firstLine="560"/>
              <w:jc w:val="left"/>
            </w:pPr>
            <w:r>
              <w:rPr>
                <w:rFonts w:ascii="仿宋_GB2312" w:hAnsi="仿宋_GB2312" w:cs="仿宋_GB2312" w:eastAsia="仿宋_GB2312"/>
                <w:sz w:val="21"/>
              </w:rPr>
              <w:t>1、按季度据实结算，以合同签订日为基准，每三个月为一个季度。乙方每个季度末向甲方出具当前季度制作清单（清单价款费用标准为数量*含税单价），经甲方核实确认无误后，乙方开具正式税务发票，甲方收到发票后10个工作日内付款。最终结算金额不超过项目预算金额（项目预算金额：600000.00元）。乙方拒不开票或者开票不符合甲方要求的，甲方有权拒不付款且不承担任何违约责任。</w:t>
            </w:r>
          </w:p>
          <w:p>
            <w:pPr>
              <w:pStyle w:val="null3"/>
              <w:ind w:firstLine="560"/>
              <w:jc w:val="left"/>
            </w:pPr>
            <w:r>
              <w:rPr>
                <w:rFonts w:ascii="仿宋_GB2312" w:hAnsi="仿宋_GB2312" w:cs="仿宋_GB2312" w:eastAsia="仿宋_GB2312"/>
                <w:sz w:val="21"/>
              </w:rPr>
              <w:t>2、质保期：自验收合格之日起2年内，免费质保。</w:t>
            </w:r>
          </w:p>
          <w:p>
            <w:pPr>
              <w:pStyle w:val="null3"/>
              <w:jc w:val="both"/>
            </w:pPr>
            <w:r>
              <w:rPr>
                <w:rFonts w:ascii="仿宋_GB2312" w:hAnsi="仿宋_GB2312" w:cs="仿宋_GB2312" w:eastAsia="仿宋_GB2312"/>
                <w:sz w:val="21"/>
              </w:rPr>
              <w:t>六、其他</w:t>
            </w:r>
          </w:p>
          <w:p>
            <w:pPr>
              <w:pStyle w:val="null3"/>
              <w:ind w:firstLine="560"/>
              <w:jc w:val="both"/>
            </w:pPr>
            <w:r>
              <w:rPr>
                <w:rFonts w:ascii="仿宋_GB2312" w:hAnsi="仿宋_GB2312" w:cs="仿宋_GB2312" w:eastAsia="仿宋_GB2312"/>
                <w:sz w:val="21"/>
              </w:rPr>
              <w:t>1、供应商向院方提交项目实施过程中的所有资料，以便采购方日后管理和维护。</w:t>
            </w:r>
          </w:p>
          <w:p>
            <w:pPr>
              <w:pStyle w:val="null3"/>
              <w:ind w:firstLine="560"/>
              <w:jc w:val="both"/>
            </w:pPr>
            <w:r>
              <w:rPr>
                <w:rFonts w:ascii="仿宋_GB2312" w:hAnsi="仿宋_GB2312" w:cs="仿宋_GB2312" w:eastAsia="仿宋_GB2312"/>
                <w:sz w:val="21"/>
              </w:rPr>
              <w:t>2、售后服务要求，根据我院工作的实际情况给予后期技术指导。</w:t>
            </w:r>
          </w:p>
          <w:p>
            <w:pPr>
              <w:pStyle w:val="null3"/>
              <w:ind w:firstLine="560"/>
              <w:jc w:val="both"/>
            </w:pPr>
            <w:r>
              <w:rPr>
                <w:rFonts w:ascii="仿宋_GB2312" w:hAnsi="仿宋_GB2312" w:cs="仿宋_GB2312" w:eastAsia="仿宋_GB2312"/>
                <w:sz w:val="21"/>
                <w:b/>
              </w:rPr>
              <w:t xml:space="preserve">                项目分项规格参数及最高限价</w:t>
            </w:r>
          </w:p>
          <w:tbl>
            <w:tblPr>
              <w:tblBorders>
                <w:top w:val="none" w:color="000000" w:sz="4"/>
                <w:left w:val="none" w:color="000000" w:sz="4"/>
                <w:bottom w:val="none" w:color="000000" w:sz="4"/>
                <w:right w:val="none" w:color="000000" w:sz="4"/>
                <w:insideH w:val="none"/>
                <w:insideV w:val="none"/>
              </w:tblBorders>
            </w:tblPr>
            <w:tblGrid>
              <w:gridCol w:w="246"/>
              <w:gridCol w:w="489"/>
              <w:gridCol w:w="863"/>
              <w:gridCol w:w="221"/>
              <w:gridCol w:w="255"/>
              <w:gridCol w:w="476"/>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项目名称</w:t>
                  </w:r>
                </w:p>
              </w:tc>
              <w:tc>
                <w:tcPr>
                  <w:tcW w:type="dxa" w:w="8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材质规格</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c>
                <w:tcPr>
                  <w:tcW w:type="dxa" w:w="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最高限价（元）</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白胶车贴</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单张0.05平方米以下</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单张A4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单张A3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单张0.2平方米以上</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海报</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户外PP纸</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户外背胶+亚展KT板</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单个尺寸0.5平方米以下</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单个尺寸0.5平方米以上</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5MM PVC UV</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单个尺寸0.5平方米以下</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单个尺寸0.5平方米以上</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5MM亚克力UV</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单个尺寸0.5平方米以下</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单个尺寸0.5平方米以上</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宣传展板1</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4cm开启边框+亚展KT板</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宣传展板2</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2.5cm开启边框+亚展KT板</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宣传展板3</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6cm开启边框+亚展KT板</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加厚水印旗</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3号</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4号</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2号</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吊牌</w:t>
                  </w:r>
                </w:p>
                <w:p>
                  <w:pPr>
                    <w:pStyle w:val="null3"/>
                    <w:jc w:val="center"/>
                  </w:pPr>
                  <w:r>
                    <w:rPr>
                      <w:rFonts w:ascii="仿宋_GB2312" w:hAnsi="仿宋_GB2312" w:cs="仿宋_GB2312" w:eastAsia="仿宋_GB2312"/>
                      <w:sz w:val="21"/>
                    </w:rPr>
                    <w:t>（双面）</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30x240cm 冷板烤漆丝印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30x170cm 冷板烤漆丝印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30x120cm 冷板烤漆丝印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地贴</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白胶车贴+保护膜</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3.5公斤门型展架+画面</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80x180cm 灰背胶片</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60x160cm 灰背胶片</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门型展架画面</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80x180cm 灰背胶片</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60x160cm 灰背胶片</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丽屏展架（双面）</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80x200cm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80x180cm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铜牌</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60x40cm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70x50cm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110x70cm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荣誉证书</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12k</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8k</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6k</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户外背胶+亚克力膜</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10X15cm以下</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玻璃腰线</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UV超透10cm高</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喷绘</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刀刮布内光UV</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黑白布UV</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宣绒布UV</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油画布UV</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横幅</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70cm高</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刻字</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5年期膜</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厘米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诊室立式门牌</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16mm PVC 双面UV+底座烤漆22x66cm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平装诊室门牌</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16x40cm 5MM亚克力uv</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铝合金海报架</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内芯 UV 60x90cm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内芯 UV 120x90cm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内芯 UV 120x240cm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彩页</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A4 200克铜版纸1000张</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折页</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A4  3折页铜版纸1000张</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A3 4折页铜版纸1000张</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450</w:t>
                  </w:r>
                </w:p>
              </w:tc>
            </w:tr>
            <w:tr>
              <w:tc>
                <w:tcPr>
                  <w:tcW w:type="dxa" w:w="24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亚克力水晶字</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厘米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46"/>
                  <w:vMerge/>
                  <w:tcBorders>
                    <w:top w:val="none" w:color="000000" w:sz="4"/>
                    <w:left w:val="single" w:color="000000" w:sz="4"/>
                    <w:bottom w:val="non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厘米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46"/>
                  <w:vMerge/>
                  <w:tcBorders>
                    <w:top w:val="none" w:color="000000" w:sz="4"/>
                    <w:left w:val="single" w:color="000000" w:sz="4"/>
                    <w:bottom w:val="non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厘米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异形形象墙</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16mm pvc+亚克力面</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灯箱</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软膜</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A4</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铜版纸塑封</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宽屏易拉宝</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120x200cm 灰背胶片</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80x200cm 灰背胶片</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桁架+UV黑白布</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300x1000cm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PVC 烤漆字</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结皮板16mm pvc</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厘米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亚克力插盒</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A3</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5寸连体插盒</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3寸连体插盒</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桌牌</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黑白底座42x30cm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黑白底座21x30cm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黑白底座20x10cm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黑白底座15x10cm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会议牌</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三角20x10cm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微信长图</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电子版</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显示屏图</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电子版</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海报图</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电子版</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磁性白板+uv</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磁性</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铝板路引标识</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1.5铝板+5年工程级反光膜</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圆形镀锌管立柱</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诊室牌/病房门牌</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35x22.5x30cm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苹果磁吸框</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42x30cm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40x60cm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105</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60x80cm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60x90cm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50x70cm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荣誉证书</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12k</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8k</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6k</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木托奖牌</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内芯金属铝砂60x40cm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内芯金属铝砂19x25cm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内芯金属铝砂24x32cm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内芯金属铝砂30x40cm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内芯金属铝砂35x50cm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林荫道旗</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25mmpvc UV(双面)40x80cm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名片</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300克铜版纸500张</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特种纸烫金UV200张</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磁性贴</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15x21cm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行政牌</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40x230cm 镀锌板烤漆</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60x390cm 镀锌板烤漆</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奖杯</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水晶</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PVC卡片</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0.96mm 12x9cm双面</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快印</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200g铜版纸 彩色双面A4</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区域门眉牌</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150x28x2cm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悬挂吊牌</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300x35x10cm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工具间/消防栓门牌</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25x12x0.4cm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电梯内楼层标识牌</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90x55x0.8cm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磁吸展板</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磁吸贴+pvc底板+金属边框</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48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太空板</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3cm太空板uv</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290</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non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5cm太空板</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w:t>
                  </w:r>
                </w:p>
              </w:tc>
            </w:tr>
            <w:tr>
              <w:tc>
                <w:tcPr>
                  <w:tcW w:type="dxa" w:w="2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雕刻字</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亚克力烤漆字厚度5mm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厘米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PVC 烤漆字厚度10mm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厘米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不锈钢精工字厚度15mm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厘米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w:t>
                  </w:r>
                </w:p>
              </w:tc>
            </w:tr>
            <w:tr>
              <w:tc>
                <w:tcPr>
                  <w:tcW w:type="dxa" w:w="246"/>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合金字厚度10mm</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厘米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钢架</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30方管裁切焊接钢架</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平方米</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r>
          </w:tbl>
          <w:p>
            <w:pPr>
              <w:pStyle w:val="null3"/>
              <w:ind w:firstLine="560"/>
              <w:jc w:val="both"/>
            </w:pPr>
            <w:r>
              <w:rPr>
                <w:rFonts w:ascii="仿宋_GB2312" w:hAnsi="仿宋_GB2312" w:cs="仿宋_GB2312" w:eastAsia="仿宋_GB2312"/>
                <w:sz w:val="21"/>
              </w:rPr>
              <w:t>注：1.项目各分项金额包含设计费、制作费、运费、安装费等所有费用。</w:t>
            </w:r>
          </w:p>
          <w:p>
            <w:pPr>
              <w:pStyle w:val="null3"/>
              <w:ind w:firstLine="560"/>
              <w:jc w:val="both"/>
            </w:pPr>
            <w:r>
              <w:rPr>
                <w:rFonts w:ascii="仿宋_GB2312" w:hAnsi="仿宋_GB2312" w:cs="仿宋_GB2312" w:eastAsia="仿宋_GB2312"/>
                <w:sz w:val="21"/>
              </w:rPr>
              <w:t xml:space="preserve"> 2.供应商根据自身情况，以综合折扣形式报价，最终结算价以各分项常用物料最高限价*供应商综合折扣为单价，根据具体使用数量据实结算。折扣后的价格包含设计费、制作费、人工费、运费、安装费等所有费用。</w:t>
            </w:r>
          </w:p>
          <w:p>
            <w:pPr>
              <w:pStyle w:val="null3"/>
            </w:pPr>
            <w:r>
              <w:rPr>
                <w:rFonts w:ascii="仿宋_GB2312" w:hAnsi="仿宋_GB2312" w:cs="仿宋_GB2312" w:eastAsia="仿宋_GB2312"/>
                <w:sz w:val="21"/>
              </w:rPr>
              <w:t xml:space="preserve">             例如：综合折扣报90%，则各分项常用物料结算单价价格=各分项常用物料最高限价*90%。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西安市儿童医院经开院区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制作采用的材质及辅料符合国家环保标准和磋商文件要求的标准，如出现任何质量问题，供应商应无条件重新制作安装。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每个季度末向甲方出具当前季度制作清单（清单价款费用标准为数量*含税单价），经甲方核实确认无误后，乙方开具正式税务发票，甲方收到发票后，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每个季度末向甲方出具当前季度制作清单（清单价款费用标准为数量*含税单价），经甲方核实确认无误后，乙方开具正式税务发票，甲方收到发票后，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每个季度末向甲方出具当前季度制作清单（清单价款费用标准为数量*含税单价），经甲方核实确认无误后，乙方开具正式税务发票，甲方收到发票后，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乙方每个季度末向甲方出具当前季度制作清单（清单价款费用标准为数量*含税单价），经甲方核实确认无误后，乙方开具正式税务发票，甲方收到发票后，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因系统原因，合同支付约定中每季度支付合同总金额的25%是指据实结算金额。</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本公司法人、出资人、参股人无招标方在职工作人员（提供承诺函）。</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报价表 商务要求响应表 响应文件封面 政府采购供应商拒绝政府采购领域商业贿赂承诺书 磋商方案说明 残疾人福利性单位声明函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磋商报价（实质性要求）</w:t>
            </w:r>
          </w:p>
        </w:tc>
        <w:tc>
          <w:tcPr>
            <w:tcW w:type="dxa" w:w="3322"/>
          </w:tcPr>
          <w:p>
            <w:pPr>
              <w:pStyle w:val="null3"/>
            </w:pPr>
            <w:r>
              <w:rPr>
                <w:rFonts w:ascii="仿宋_GB2312" w:hAnsi="仿宋_GB2312" w:cs="仿宋_GB2312" w:eastAsia="仿宋_GB2312"/>
              </w:rPr>
              <w:t>（1）报价符合磋商文件要求 （2）未出现选择性报价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对商务要求完全响应竞争性磋商文件要求的得2分。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供应商提供针对标识制作的总体实施方案，内容包括但不限于： ①标识设计方案； ②标识制作方案； ③生产工艺及标准； ④标识运输及保护方案； ⑤标识施工方案。 2、评审标准 ①完整性：方案须全面，对评审内容中的各项要求有详细描述及说明。 ②可实施性：切合本项目实际情况，实施步骤清晰、合理。 ③针对性：方案能够紧扣项目实际情况，内容科学合理。 3、赋分标准： ①标识设计方案：每完全满足一项评审标准得1分，满分3分。 ②标识制作方案：每完全满足一项评审标准得1分，满分3分。 ③生产工艺及标准：每完全满足一项评审标准得1分，满分3分。 ④标识运输及保护方案：每完全满足一项评审标准得1分，满分3分。 ⑤标识施工方案：每完全满足一项评审标准得1分，满分3分。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 针对本项目制定合理可行的质量保障措施，内容包含： ①服务质量保障措施； ②标识制作及安装质量保障措施。 2、评审标准 ①完整性：方案须全面，对评审内容中的各项要求有详细描述及说明。 ②可实施性：切合本项目实际情况，实施步骤清晰、合理。 ③针对性：方案能够紧扣项目实际情况，内容科学合理。 3、赋分标准 ①服务质量保障措施：每完全满足一项评审标准得1分，满分3分。 ②标识制作及安装质量保障措施：每完全满足一项评审标准得1分，满分3分。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服务安全管理</w:t>
            </w:r>
          </w:p>
        </w:tc>
        <w:tc>
          <w:tcPr>
            <w:tcW w:type="dxa" w:w="2492"/>
          </w:tcPr>
          <w:p>
            <w:pPr>
              <w:pStyle w:val="null3"/>
            </w:pPr>
            <w:r>
              <w:rPr>
                <w:rFonts w:ascii="仿宋_GB2312" w:hAnsi="仿宋_GB2312" w:cs="仿宋_GB2312" w:eastAsia="仿宋_GB2312"/>
              </w:rPr>
              <w:t>1、评审内容 提供针对本项目的服务安全管理。内容包含： ①标识制作安全管理； ②标识施工安全管理。 2、评审标准 ①完整性：管理须全面，对评审内容中的各项要求有详细描述及说明。 ②可实施性：切合本项目实际情况，实施步骤清晰、合理。 ③针对性：管理能够紧扣项目实际情况，内容科学合理。 3、赋分标准 ①标识制作安全管理：每完全满足一项评审标准得1分，满分3分。 ②标识施工安全管理：每完全满足一项评审标准得1分，满分3分。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所用材料合法来源渠道</w:t>
            </w:r>
          </w:p>
        </w:tc>
        <w:tc>
          <w:tcPr>
            <w:tcW w:type="dxa" w:w="2492"/>
          </w:tcPr>
          <w:p>
            <w:pPr>
              <w:pStyle w:val="null3"/>
            </w:pPr>
            <w:r>
              <w:rPr>
                <w:rFonts w:ascii="仿宋_GB2312" w:hAnsi="仿宋_GB2312" w:cs="仿宋_GB2312" w:eastAsia="仿宋_GB2312"/>
              </w:rPr>
              <w:t>1、评审内容 提供针对本项目标识制作所用材料合法来源渠道。（提供检测报告或原材料进货渠道证明材料等）确保生产供应的产品无假货、水货、翻新货且无产权纠纷。 提供3-5项材料合法来源渠道,得3分，6-8项，得6分,9-12项，得10分。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人员配置≥5人，得5分；每增加一名人员得2分，满分15分。（人员含项目设计人员、制作人员、施工人员、售后协调人员等） 人员提供近三个月本单位社保证明或参与类似项目服务单位盖章的证明材料，材料须体现人员姓名。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标识设计制作及加工存储能力</w:t>
            </w:r>
          </w:p>
        </w:tc>
        <w:tc>
          <w:tcPr>
            <w:tcW w:type="dxa" w:w="2492"/>
          </w:tcPr>
          <w:p>
            <w:pPr>
              <w:pStyle w:val="null3"/>
            </w:pPr>
            <w:r>
              <w:rPr>
                <w:rFonts w:ascii="仿宋_GB2312" w:hAnsi="仿宋_GB2312" w:cs="仿宋_GB2312" w:eastAsia="仿宋_GB2312"/>
              </w:rPr>
              <w:t>提供针对本项目的标识设计制作及加工存储能力，内容包括： 1、设计师 设计师具有类似项目工作经验，工作经验5年以上得4分；5年以下得2分。 工作经验可提供业绩合同或项目业主加盖公章的履约证明或评价报告，业绩或证明文件中应清晰载明该人员姓名及岗位职责. 2、加工存储能力 提供存储场地证明材料，包括购置或租赁合同或委托生产合同（委托生产合同须体现存储能力），得3分。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提供针对本项目的应急措施。内容包含： ①紧急需求处理措施； ②故障问题补救措施。 2、评审标准： ①完整性：措施须全面，对评审内容中的各项要求有详细描述及说明。 ②可实施性：切合本项目实际情况，实施步骤清晰、合理。③针对性：措施能够紧扣项目实际情况，内容科学合理。 3、赋分标准 ①紧急需求处理措施：每完全满足一项评审标准得1分，满分3分。 ②故障问题补救措施：每完全满足一项评审标准得1分，满分3分。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提供针对本项目的售后服务方案，内容包含： ①日常维护维修方案； ②售后服务承诺及响应时间。 2、评审标准 ①完整性：方案须全面，对评审内容中的各项要求有详细描述及说明； ②可实施性：切合本项目实际情况，实施步骤清晰、合理； ③针对性：能够紧扣项目实际情况，内容科学合理。 3、赋分标准 ①日常维护维修方案：每完全满足一项评审标准得1分，满分3分。 ②售后服务承诺及响应时间：每完全满足一项评审标准得1分，满分3分。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提供2024年1月1日以来供应商类似项目的业绩合同（以合同签订日期为准），附业绩合同复印件及发票加盖公章，每份2分，满分12分，未提供不得分。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综合折扣）最低的供应商的价格为磋商基准价，其价格得分为满分。其他供应商的价格得分统一按照下列公式计算：磋商报价得分=（磋商基准价/最终磋商报价（综合折扣））×价格权值（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详见附件：业绩证明文件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