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版本号：ZCSP-蒲城县-2026-00271、DLCG2026-08520260826002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业务技术用房改造项目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ZCSP-蒲城县-2026-00271、DLCG2026-085</w:t>
      </w:r>
      <w:r>
        <w:br/>
      </w:r>
      <w:r>
        <w:br/>
      </w:r>
      <w:r>
        <w:br/>
      </w:r>
    </w:p>
    <w:p>
      <w:pPr>
        <w:pStyle w:val="null3"/>
        <w:jc w:val="center"/>
        <w:outlineLvl w:val="2"/>
      </w:pPr>
      <w:r>
        <w:rPr>
          <w:rFonts w:ascii="仿宋_GB2312" w:hAnsi="仿宋_GB2312" w:cs="仿宋_GB2312" w:eastAsia="仿宋_GB2312"/>
          <w:sz w:val="28"/>
          <w:b/>
        </w:rPr>
        <w:t>蒲城县公安局</w:t>
      </w:r>
    </w:p>
    <w:p>
      <w:pPr>
        <w:pStyle w:val="null3"/>
        <w:jc w:val="center"/>
        <w:outlineLvl w:val="2"/>
      </w:pPr>
      <w:r>
        <w:rPr>
          <w:rFonts w:ascii="仿宋_GB2312" w:hAnsi="仿宋_GB2312" w:cs="仿宋_GB2312" w:eastAsia="仿宋_GB2312"/>
          <w:sz w:val="28"/>
          <w:b/>
        </w:rPr>
        <w:t>陕西鼎力中创项目管理有限公司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陕西鼎力中创项目管理有限公司</w:t>
      </w:r>
      <w:r>
        <w:rPr>
          <w:rFonts w:ascii="仿宋_GB2312" w:hAnsi="仿宋_GB2312" w:cs="仿宋_GB2312" w:eastAsia="仿宋_GB2312"/>
        </w:rPr>
        <w:t>（以下简称“代理机构”）受</w:t>
      </w:r>
      <w:r>
        <w:rPr>
          <w:rFonts w:ascii="仿宋_GB2312" w:hAnsi="仿宋_GB2312" w:cs="仿宋_GB2312" w:eastAsia="仿宋_GB2312"/>
        </w:rPr>
        <w:t>蒲城县公安局</w:t>
      </w:r>
      <w:r>
        <w:rPr>
          <w:rFonts w:ascii="仿宋_GB2312" w:hAnsi="仿宋_GB2312" w:cs="仿宋_GB2312" w:eastAsia="仿宋_GB2312"/>
        </w:rPr>
        <w:t>委托，拟对</w:t>
      </w:r>
      <w:r>
        <w:rPr>
          <w:rFonts w:ascii="仿宋_GB2312" w:hAnsi="仿宋_GB2312" w:cs="仿宋_GB2312" w:eastAsia="仿宋_GB2312"/>
        </w:rPr>
        <w:t>业务技术用房改造项目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ZCSP-蒲城县-2026-00271、DLCG2026-085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业务技术用房改造项目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本项目位于蒲城县公安局院内，主要对公安局 1-8 楼过道及餐厅、2-8 楼电梯间、六楼接待室、二楼会议室、一楼大厅进行整体环境提升改造，全面优化蒲城县公安局办公服务环境与公共保障能力建设。项目以提升公安办公规范化水平、优化干警工作条件、树立公安队伍良好形象为目标，通过对公共区域、功能用房的系统性升级改造，消除设施老化、功能不足、形象不规范等问题，打造整洁、安全、规范、高效的办公环境，为日常办公、执法办案、接待服务提供坚实保障。主要包括装饰装修、水电安装、照明升级、消防检修、门窗更换、墙地面翻新、吊顶改造、形象墙制作及垃圾清运等工程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采购包1（业务技术用房改造项目）：属于专门面向中小企业采购。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p>
      <w:pPr>
        <w:pStyle w:val="null3"/>
      </w:pPr>
      <w:r>
        <w:rPr>
          <w:rFonts w:ascii="仿宋_GB2312" w:hAnsi="仿宋_GB2312" w:cs="仿宋_GB2312" w:eastAsia="仿宋_GB2312"/>
        </w:rPr>
        <w:t>2、企业资质：供应商须具备建设行政主管部门核发的建筑装修装饰工程专业承包二级及以上资质，具备有效的安全生产许可证。</w:t>
      </w:r>
    </w:p>
    <w:p>
      <w:pPr>
        <w:pStyle w:val="null3"/>
      </w:pPr>
      <w:r>
        <w:rPr>
          <w:rFonts w:ascii="仿宋_GB2312" w:hAnsi="仿宋_GB2312" w:cs="仿宋_GB2312" w:eastAsia="仿宋_GB2312"/>
        </w:rPr>
        <w:t>3、项目经理资质：拟派项目经理须具备建筑工程专业二级及以上注册建造师执业资格，具备有效的安全生产考核合格证书（B 证），为本单位在职人员，无在建工程。</w:t>
      </w:r>
    </w:p>
    <w:p>
      <w:pPr>
        <w:pStyle w:val="null3"/>
      </w:pPr>
      <w:r>
        <w:rPr>
          <w:rFonts w:ascii="仿宋_GB2312" w:hAnsi="仿宋_GB2312" w:cs="仿宋_GB2312" w:eastAsia="仿宋_GB2312"/>
        </w:rPr>
        <w:t>4、信用信息：供应商未列入“信用中国”网站(www.creditchina.gov.cn)失信被执行人、重大税收违法失信主体、政府采购严重违法失信行为记录名单和“中国政府采购网”(www.ccgp.gov.cn)政府采购严重违法失信行为信息记录；投标人不得在各级建设诚信信息平台被列为投标受限制的行为人，提供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陕西省渭南市蒲城县城南新区开元街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0913-7261647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陕西鼎力中创项目管理有限公司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陕西省渭南市临渭区乐天大街碧桂园翡翠公馆北门商铺2层208号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邵宝舟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0913-2185335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开户名称：陕西鼎力中创项目管理有限公司</w:t>
            </w:r>
          </w:p>
          <w:p>
            <w:pPr>
              <w:pStyle w:val="null3"/>
            </w:pPr>
            <w:r>
              <w:rPr>
                <w:rFonts w:ascii="仿宋_GB2312" w:hAnsi="仿宋_GB2312" w:cs="仿宋_GB2312" w:eastAsia="仿宋_GB2312"/>
              </w:rPr>
              <w:t>开户银行：工行渭南仓程路支行</w:t>
            </w:r>
          </w:p>
          <w:p>
            <w:pPr>
              <w:pStyle w:val="null3"/>
            </w:pPr>
            <w:r>
              <w:rPr>
                <w:rFonts w:ascii="仿宋_GB2312" w:hAnsi="仿宋_GB2312" w:cs="仿宋_GB2312" w:eastAsia="仿宋_GB2312"/>
              </w:rPr>
              <w:t>银行账号：2605 0259 1910 0033 019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857号）的有关规定标准，成交供应商向采购代理机构一次性付清采购代理服务费。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蒲城县公安局</w:t>
      </w:r>
      <w:r>
        <w:rPr>
          <w:rFonts w:ascii="仿宋_GB2312" w:hAnsi="仿宋_GB2312" w:cs="仿宋_GB2312" w:eastAsia="仿宋_GB2312"/>
        </w:rPr>
        <w:t>和</w:t>
      </w:r>
      <w:r>
        <w:rPr>
          <w:rFonts w:ascii="仿宋_GB2312" w:hAnsi="仿宋_GB2312" w:cs="仿宋_GB2312" w:eastAsia="仿宋_GB2312"/>
        </w:rPr>
        <w:t>陕西鼎力中创项目管理有限公司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陕西鼎力中创项目管理有限公司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陕西鼎力中创项目管理有限公司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本工程应按要求完成工程全部内容，验收标准应符合国家相关工程管理规定及行业标准以及图纸要求，依据采购文件及响应文件等文件内容进行验收。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联系人：李杰</w:t>
      </w:r>
    </w:p>
    <w:p>
      <w:pPr>
        <w:pStyle w:val="null3"/>
      </w:pPr>
      <w:r>
        <w:rPr>
          <w:rFonts w:ascii="仿宋_GB2312" w:hAnsi="仿宋_GB2312" w:cs="仿宋_GB2312" w:eastAsia="仿宋_GB2312"/>
        </w:rPr>
        <w:t>联系电话：0913-2185335</w:t>
      </w:r>
    </w:p>
    <w:p>
      <w:pPr>
        <w:pStyle w:val="null3"/>
      </w:pPr>
      <w:r>
        <w:rPr>
          <w:rFonts w:ascii="仿宋_GB2312" w:hAnsi="仿宋_GB2312" w:cs="仿宋_GB2312" w:eastAsia="仿宋_GB2312"/>
        </w:rPr>
        <w:t>地址：渭南市临渭区乐天大街碧桂园翡翠公馆北门11栋商铺2层208号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1,486,000.00</w:t>
      </w:r>
    </w:p>
    <w:p>
      <w:pPr>
        <w:pStyle w:val="null3"/>
      </w:pPr>
      <w:r>
        <w:rPr>
          <w:rFonts w:ascii="仿宋_GB2312" w:hAnsi="仿宋_GB2312" w:cs="仿宋_GB2312" w:eastAsia="仿宋_GB2312"/>
        </w:rPr>
        <w:t>采购包最高限价（元）: 1,320,370.88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业务技术用房改造项目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1,486,000.00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标的名称：业务技术用房改造项目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工程指标的具体要求（清单编制说明）</w:t>
            </w:r>
          </w:p>
          <w:p>
            <w:pPr>
              <w:pStyle w:val="null3"/>
              <w:jc w:val="both"/>
            </w:pPr>
            <w:r>
              <w:rPr>
                <w:rFonts w:ascii="仿宋_GB2312" w:hAnsi="仿宋_GB2312" w:cs="仿宋_GB2312" w:eastAsia="仿宋_GB2312"/>
                <w:sz w:val="21"/>
              </w:rPr>
              <w:t>1.陕西省建设工程费用规则(2025)、陕西省房屋建筑与装饰工程基价表(2025)、陕西省通用安装工程基价表(2025)、陕西省市政工程基价表(2025)、陕西省园林绿化工程基价表(2025)、陕西省城市地下综合管廊工程基价表(2025)、陕西省绿色建筑工程基价表(2025)、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陕西省建设工程施工机械台班费用定额(2025)、陕西省建设工程施工仪器仪表台班费用定额(2025)。</w:t>
            </w:r>
          </w:p>
          <w:p>
            <w:pPr>
              <w:pStyle w:val="null3"/>
              <w:jc w:val="both"/>
            </w:pPr>
            <w:r>
              <w:rPr>
                <w:rFonts w:ascii="仿宋_GB2312" w:hAnsi="仿宋_GB2312" w:cs="仿宋_GB2312" w:eastAsia="仿宋_GB2312"/>
                <w:sz w:val="21"/>
              </w:rPr>
              <w:t>2.材料价格参考《渭南工程造价信息》（双月刊）2026年第二期信息价及蒲城县当地材料市场价；</w:t>
            </w:r>
          </w:p>
          <w:p>
            <w:pPr>
              <w:pStyle w:val="null3"/>
              <w:jc w:val="both"/>
            </w:pPr>
            <w:r>
              <w:rPr>
                <w:rFonts w:ascii="仿宋_GB2312" w:hAnsi="仿宋_GB2312" w:cs="仿宋_GB2312" w:eastAsia="仿宋_GB2312"/>
                <w:sz w:val="21"/>
              </w:rPr>
              <w:t>3.有关标准图集、常规施工组织设计及施工方法；</w:t>
            </w:r>
          </w:p>
          <w:p>
            <w:pPr>
              <w:pStyle w:val="null3"/>
              <w:jc w:val="both"/>
            </w:pPr>
            <w:r>
              <w:rPr>
                <w:rFonts w:ascii="仿宋_GB2312" w:hAnsi="仿宋_GB2312" w:cs="仿宋_GB2312" w:eastAsia="仿宋_GB2312"/>
                <w:sz w:val="21"/>
              </w:rPr>
              <w:t>4.计价软件采用广联达云计价平台GCCP7.0（7.5000.23.3）</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1.《民用建筑设计统一标准》GB50352-2019； 2.《建筑防火通用规范》GB55037-2022； 3.《建筑内部装修设计防火通用规范》GB55032-2022； 4.《安全防范工程技术标准》GB50348-2018； 除上述规范外，应遵循国家相关标准、行业标准、地方标准以及现行其他标准、规范，并统一执行最新标准规范。 本工程应按要求完成工程全部内容，验收标准应符合国家相关工程管理规定及行业标准以及图纸要求，依据采购文件及响应文件等文件内容进行验收。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1.在施工范围内按施工内容和要求制定详细的施工组织设计方案，方案科学、合理、可靠。 2.人员配备合理。有针对本项目的项目团队，项目负责人、配备人员分工明确(应有具体成员名单，包括姓名、工作职责等) 3.有各类突发事件的应急预案和措施，有明确具体的承诺。 4.供应商所拟派的工作人员，若在施工期间发生任何伤害，由供应商自行承担。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1.成交供应商在成交结果公告发布后3个工作日内提供叁套纸质投标文件（经编标工具生成的文件直接打印并加盖公章），递交的纸质版文件内容确保与线上电子文件保持一致，不允许修改和补充。 2.供应商应根据《政府采购促进中小企业发展管理办法》、《关于印发中小企业划型标准规定的通知》(工信部联企业(2011)300号)要求和采购文件中明确的采购标的所属行业进行企业划型。 3.出具磋商保证金交纳凭证或担保机构出具的保函（未按磋商文件要求提供响应无效）。4.供应商不得存在下列情形之一： 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5.供应商投标时提供已标价工程量清单。6.成交供应商应在磋商会议结束后3日内向采购人提交最终版《工程量清单表》，供应商最终版《工程量清单表》中的总报价应与最终磋商总报价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能力的法人、其他组织或自然人，提供合法有效的统一社会信用代码的营业执照副本或相关证明；2.提供具有财务审计资质单位出具的2024年度或2025年度的财务报告或开标前六个月内其基本账户银行出具的资信证明；3.供应商提供响应文件提交截止时间前一年内任意一个月的社会保障资金缴存证明或社保机构开具的社会保险参保缴费情况证明；4.供应商提供响应文件提交截止时间前一年内任意一个月的依法缴纳税收的相关证明，依法免税需提供相关证明材料；5.提供供应商参加政府采购活动前三年内在经营活动中没有重大违法记录的声明；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供应商须具备建设行政主管部门核发的建筑装修装饰工程专业承包二级及以上资质，具备有效的安全生产许可证。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拟派项目经理须具备建筑工程专业二级及以上注册建造师执业资格，具备有效的安全生产考核合格证书（B 证），为本单位在职人员，无在建工程。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信息记录；投标人不得在各级建设诚信信息平台被列为投标受限制的行为人，提供承诺。</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磋商响应文件签署、盖章满足磋商文件的要求；</w:t>
            </w:r>
          </w:p>
        </w:tc>
        <w:tc>
          <w:tcPr>
            <w:tcW w:type="dxa" w:w="1661"/>
          </w:tcPr>
          <w:p>
            <w:pPr>
              <w:pStyle w:val="null3"/>
            </w:pPr>
            <w:r>
              <w:rPr>
                <w:rFonts w:ascii="仿宋_GB2312" w:hAnsi="仿宋_GB2312" w:cs="仿宋_GB2312" w:eastAsia="仿宋_GB2312"/>
              </w:rPr>
              <w:t>已标价工程量清单 中小企业声明函 商务应答表.docx 技术、服务标准和要求应答表.docx 强制优先采购产品承诺函 响应文件封面 供应商应提交的相关资格证明材料.docx 项目管理机构组成表 残疾人福利性单位声明函 施工方案.docx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供应商磋商报价未出现选择性报价，磋商报价未超出最高限价；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报价函 标的清单 商务应答表.docx 技术、服务标准和要求应答表.docx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 技术、服务标准和要求应答表.docx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达到国家现行行业验收规范“合格”标准及第三章“磋商项目技术、服务、商务及其他要求”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响应全部实质性要求，未附加采购人难以接受的条件。</w:t>
            </w:r>
          </w:p>
        </w:tc>
        <w:tc>
          <w:tcPr>
            <w:tcW w:type="dxa" w:w="1661"/>
          </w:tcPr>
          <w:p>
            <w:pPr>
              <w:pStyle w:val="null3"/>
            </w:pPr>
            <w:r>
              <w:rPr>
                <w:rFonts w:ascii="仿宋_GB2312" w:hAnsi="仿宋_GB2312" w:cs="仿宋_GB2312" w:eastAsia="仿宋_GB2312"/>
              </w:rPr>
              <w:t>项目管理机构组成表 施工方案.docx 供应商类似项目业绩一览表 商务应答表.docx 主要人员简历表 技术、服务标准和要求应答表.docx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项目理解与认识</w:t>
            </w:r>
          </w:p>
        </w:tc>
        <w:tc>
          <w:tcPr>
            <w:tcW w:type="dxa" w:w="2492"/>
          </w:tcPr>
          <w:p>
            <w:pPr>
              <w:pStyle w:val="null3"/>
            </w:pPr>
            <w:r>
              <w:rPr>
                <w:rFonts w:ascii="仿宋_GB2312" w:hAnsi="仿宋_GB2312" w:cs="仿宋_GB2312" w:eastAsia="仿宋_GB2312"/>
              </w:rPr>
              <w:t>一、评审内容：对本项目的理解与重难点分析，包括不限于：①对项目的理解和认识；②项目重难点分析；③合理化建议等。 二、评审标准：以上3项，以序号①、②、③为项数，内容无缺项且无缺陷的得9分，其中每有一项内容存在缺项扣3分，每项内容中每有一处存在缺陷的扣0.5分，未提供不得分。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一、评审内容：供应商针对本项目制定施工部署，包括不限于①施工总平面布置；②安全目标、工期目标、质量目标、造价目标；③主要施工机械设备；④劳动力等配备计划及材料进场计划等。 二、评审标准：以上4项，以序号①、②、③、④为项数，内容无缺项且无缺陷的得16分，其中每有一项内容存在缺项或漏项的扣4分，每项内容中每有一处存在缺陷的扣0.5分，该项分值扣完为止，未提供不得分。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一、评审内容：供应商针对本项目制定施工方案，包括不限于①施工方案与技术措施；②质量管理体系与措施；③安全管理体系与措施；④环境保护管理体系与措施；⑤工程进度计划与措施；⑥资源配备计划等。 二、以上6项，以序号①、②、③、④、⑤、⑥为项数，内容无缺项且无缺陷的得18分，其中每有一项内容存在缺项或漏项的扣3分，每项内容中每有一处存在缺陷的扣0.5分，该项分值扣完为止，未提供不得分。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一、评审内容：供应商提供针对本项目团队人员配备方案，包括不限于：①项目管理组织架构；②岗位安排及职责（配备施工员、安全员、资料员、材料员、质量员等）；③人员证件；④管理制度等。 二、评审标准：以上4项，以序号①、②、③、④为项数，内容无缺项且无缺陷的得8分，其中每有一项内容存在缺项或漏项的扣2分，每项内容中每有一处存在缺陷的扣0.5分，该项分值扣完为止，未提供不得分。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供应商提供自2023年8月1日至今类似业绩的证明材料（合同或中标/成交通知书复印件加盖公章，以合同签订时间或中标/成交通知书发出为准）每提供一项得3分，最高得9分，不提供不得分。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施工方案.docx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价格分采用低价优先法计算，即满足采购文件要求且投标报价最低的投标报价为评标基准价，其价格分为满分。其他供应商的价格得分统一按照下列公式计算： 投标报价得分=（评标基准价/有效报价）×价格权重（40%）×100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详见附件：技术、服务标准和要求应答表.docx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