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版本号：GD--2026-00320260429001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陕西省2026年度山洪灾害防治中央水利发展资金省级实施项目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GD--2026-003</w:t>
      </w:r>
      <w:r>
        <w:br/>
      </w:r>
      <w:r>
        <w:br/>
      </w:r>
      <w:r>
        <w:br/>
      </w:r>
    </w:p>
    <w:p>
      <w:pPr>
        <w:pStyle w:val="null3"/>
        <w:jc w:val="center"/>
        <w:outlineLvl w:val="2"/>
      </w:pPr>
      <w:r>
        <w:rPr>
          <w:rFonts w:ascii="仿宋_GB2312" w:hAnsi="仿宋_GB2312" w:cs="仿宋_GB2312" w:eastAsia="仿宋_GB2312"/>
          <w:sz w:val="28"/>
          <w:b/>
        </w:rPr>
        <w:t>陕西省水旱灾害防御中心</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陕西省水旱灾害防御中心</w:t>
      </w:r>
      <w:r>
        <w:rPr>
          <w:rFonts w:ascii="仿宋_GB2312" w:hAnsi="仿宋_GB2312" w:cs="仿宋_GB2312" w:eastAsia="仿宋_GB2312"/>
        </w:rPr>
        <w:t>委托，拟对</w:t>
      </w:r>
      <w:r>
        <w:rPr>
          <w:rFonts w:ascii="仿宋_GB2312" w:hAnsi="仿宋_GB2312" w:cs="仿宋_GB2312" w:eastAsia="仿宋_GB2312"/>
        </w:rPr>
        <w:t>陕西省2026年度山洪灾害防治中央水利发展资金省级实施项目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GD--2026-003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陕西省2026年度山洪灾害防治中央水利发展资金省级实施项目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项目开展风险调查和重点隐患排查（包含防治区面积和人口复核、小流域下垫面数据更新、危险区核定、成果整理与审核汇集）、监测预报预警平台数智化提升（包含算据算法建设、“四预”功能优化、安全体系建设、社会化发布支撑服务）、山洪灾害入户预警试点建设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1、授权委托书：法定代表人授权书及授权代表身份证（法定代表人直接参加投标的须提供法定代表人证明及其身份证），非法人单位参照执行。</w:t>
      </w:r>
    </w:p>
    <w:p>
      <w:pPr>
        <w:pStyle w:val="null3"/>
      </w:pPr>
      <w:r>
        <w:rPr>
          <w:rFonts w:ascii="仿宋_GB2312" w:hAnsi="仿宋_GB2312" w:cs="仿宋_GB2312" w:eastAsia="仿宋_GB2312"/>
        </w:rPr>
        <w:t>2、信用记录：供应商须通过“信用中国”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1、授权委托书：法定代表人授权书及授权代表身份证（法定代表人直接参加投标的须提供法定代表人证明及其身份证），非法人单位参照执行。</w:t>
      </w:r>
    </w:p>
    <w:p>
      <w:pPr>
        <w:pStyle w:val="null3"/>
      </w:pPr>
      <w:r>
        <w:rPr>
          <w:rFonts w:ascii="仿宋_GB2312" w:hAnsi="仿宋_GB2312" w:cs="仿宋_GB2312" w:eastAsia="仿宋_GB2312"/>
        </w:rPr>
        <w:t>2、信用记录：供应商须通过“信用中国”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1、授权委托书：法定代表人授权书及授权代表身份证（法定代表人直接参加投标的须提供法定代表人证明及其身份证），非法人单位参照执行。</w:t>
      </w:r>
    </w:p>
    <w:p>
      <w:pPr>
        <w:pStyle w:val="null3"/>
      </w:pPr>
      <w:r>
        <w:rPr>
          <w:rFonts w:ascii="仿宋_GB2312" w:hAnsi="仿宋_GB2312" w:cs="仿宋_GB2312" w:eastAsia="仿宋_GB2312"/>
        </w:rPr>
        <w:t>2、信用记录：供应商须通过“信用中国”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1、授权委托书：法定代表人授权书及授权代表身份证（法定代表人直接参加投标的须提供法定代表人证明及其身份证），非法人单位参照执行。</w:t>
      </w:r>
    </w:p>
    <w:p>
      <w:pPr>
        <w:pStyle w:val="null3"/>
      </w:pPr>
      <w:r>
        <w:rPr>
          <w:rFonts w:ascii="仿宋_GB2312" w:hAnsi="仿宋_GB2312" w:cs="仿宋_GB2312" w:eastAsia="仿宋_GB2312"/>
        </w:rPr>
        <w:t>2、信用记录：供应商须通过“信用中国”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1、授权委托书：法定代表人授权书及授权代表身份证（法定代表人直接参加投标的须提供法定代表人证明及其身份证），非法人单位参照执行。</w:t>
      </w:r>
    </w:p>
    <w:p>
      <w:pPr>
        <w:pStyle w:val="null3"/>
      </w:pPr>
      <w:r>
        <w:rPr>
          <w:rFonts w:ascii="仿宋_GB2312" w:hAnsi="仿宋_GB2312" w:cs="仿宋_GB2312" w:eastAsia="仿宋_GB2312"/>
        </w:rPr>
        <w:t>2、信用记录：供应商须通过“信用中国”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pPr>
        <w:pStyle w:val="null3"/>
      </w:pPr>
      <w:r>
        <w:rPr>
          <w:rFonts w:ascii="仿宋_GB2312" w:hAnsi="仿宋_GB2312" w:cs="仿宋_GB2312" w:eastAsia="仿宋_GB2312"/>
        </w:rPr>
        <w:t>3、联合体要求：联合体投标的，提供联合体协议书。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1、授权委托书：法定代表人授权书及授权代表身份证（法定代表人直接参加投标的须提供法定代表人证明及其身份证），非法人单位参照执行。</w:t>
      </w:r>
    </w:p>
    <w:p>
      <w:pPr>
        <w:pStyle w:val="null3"/>
      </w:pPr>
      <w:r>
        <w:rPr>
          <w:rFonts w:ascii="仿宋_GB2312" w:hAnsi="仿宋_GB2312" w:cs="仿宋_GB2312" w:eastAsia="仿宋_GB2312"/>
        </w:rPr>
        <w:t>2、信用记录：供应商须通过“信用中国”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1、授权委托书：法定代表人授权书及授权代表身份证（法定代表人直接参加投标的须提供法定代表人证明及其身份证），非法人单位参照执行。</w:t>
      </w:r>
    </w:p>
    <w:p>
      <w:pPr>
        <w:pStyle w:val="null3"/>
      </w:pPr>
      <w:r>
        <w:rPr>
          <w:rFonts w:ascii="仿宋_GB2312" w:hAnsi="仿宋_GB2312" w:cs="仿宋_GB2312" w:eastAsia="仿宋_GB2312"/>
        </w:rPr>
        <w:t>2、信用记录：供应商须通过“信用中国”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陕西省水旱灾害防御中心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陕西省水旱灾害防御中心经办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采购包1：5,865,000.00元</w:t>
            </w:r>
          </w:p>
          <w:p>
            <w:pPr>
              <w:pStyle w:val="null3"/>
            </w:pPr>
            <w:r>
              <w:rPr>
                <w:rFonts w:ascii="仿宋_GB2312" w:hAnsi="仿宋_GB2312" w:cs="仿宋_GB2312" w:eastAsia="仿宋_GB2312"/>
              </w:rPr>
              <w:t>采购包2：3,942,000.00元</w:t>
            </w:r>
          </w:p>
          <w:p>
            <w:pPr>
              <w:pStyle w:val="null3"/>
            </w:pPr>
            <w:r>
              <w:rPr>
                <w:rFonts w:ascii="仿宋_GB2312" w:hAnsi="仿宋_GB2312" w:cs="仿宋_GB2312" w:eastAsia="仿宋_GB2312"/>
              </w:rPr>
              <w:t>采购包3：4,224,000.00元</w:t>
            </w:r>
          </w:p>
          <w:p>
            <w:pPr>
              <w:pStyle w:val="null3"/>
            </w:pPr>
            <w:r>
              <w:rPr>
                <w:rFonts w:ascii="仿宋_GB2312" w:hAnsi="仿宋_GB2312" w:cs="仿宋_GB2312" w:eastAsia="仿宋_GB2312"/>
              </w:rPr>
              <w:t>采购包4：3,150,000.00元</w:t>
            </w:r>
          </w:p>
          <w:p>
            <w:pPr>
              <w:pStyle w:val="null3"/>
            </w:pPr>
            <w:r>
              <w:rPr>
                <w:rFonts w:ascii="仿宋_GB2312" w:hAnsi="仿宋_GB2312" w:cs="仿宋_GB2312" w:eastAsia="仿宋_GB2312"/>
              </w:rPr>
              <w:t>采购包5：9,732,100.00元</w:t>
            </w:r>
          </w:p>
          <w:p>
            <w:pPr>
              <w:pStyle w:val="null3"/>
            </w:pPr>
            <w:r>
              <w:rPr>
                <w:rFonts w:ascii="仿宋_GB2312" w:hAnsi="仿宋_GB2312" w:cs="仿宋_GB2312" w:eastAsia="仿宋_GB2312"/>
              </w:rPr>
              <w:t>采购包6：2,554,900.00元</w:t>
            </w:r>
          </w:p>
          <w:p>
            <w:pPr>
              <w:pStyle w:val="null3"/>
            </w:pPr>
            <w:r>
              <w:rPr>
                <w:rFonts w:ascii="仿宋_GB2312" w:hAnsi="仿宋_GB2312" w:cs="仿宋_GB2312" w:eastAsia="仿宋_GB2312"/>
              </w:rPr>
              <w:t>采购包7：900,000.00元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说明：供应商中标后须向采购人缴纳中标价格10%的履约保证金，履约保证金在项目竣工验收，并经项目相关主管部门审核完成后，扣除违约金（如有）后退还给供应商（无息）。</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说明：供应商中标后须向采购人缴纳中标价格10%的履约保证金，履约保证金在项目竣工验收，并经项目相关主管部门审核完成后，扣除违约金（如有）后退还给供应商（无息）。</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说明：供应商中标后须向采购人缴纳中标价格10%的履约保证金，履约保证金在项目竣工验收，并经项目相关主管部门审核完成后，扣除违约金（如有）后退还给供应商（无息）。</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说明：供应商中标后须向采购人缴纳中标价格10%的履约保证金，履约保证金在项目竣工验收，并经项目相关主管部门审核完成后，扣除违约金（如有）后退还给供应商（无息）。</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说明：供应商中标后须向采购人缴纳中标价格10%的履约保证金，履约保证金在项目竣工验收，并经项目相关主管部门审核完成后，扣除违约金（如有）后退还给供应商（无息）。</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说明：供应商中标后须向采购人缴纳中标价格10%的履约保证金，履约保证金在项目竣工验收，并经项目相关主管部门审核完成后，扣除违约金（如有）后退还给供应商（无息）。</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说明：供应商中标后须向采购人缴纳中标价格10%的履约保证金，履约保证金在项目竣工验收，并经项目相关主管部门审核完成后，扣除违约金（如有）后退还给供应商（无息）。</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 ( 计价格【2002】1980号）规定标准计算，以成交价为计算依据，由成交方在领取成交通知书时向代理机构一次性支付。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陕西省水旱灾害防御中心</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陕西省水旱灾害防御中心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陕西省水旱灾害防御中心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采购包5：分包比例100%；资质要求详见第4章</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以合同签订为准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开展风险调查和重点隐患排查（包含防治区面积和人口复核、小流域下垫面数据更新、危险区核定、成果整理与审核汇集）、监测预报预警平台数智化提升（包含算据算法建设、“四预”功能优化、安全体系建设、社会化发布支撑服务）、山洪灾害入户预警试点建设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5,865,000.00</w:t>
      </w:r>
    </w:p>
    <w:p>
      <w:pPr>
        <w:pStyle w:val="null3"/>
      </w:pPr>
      <w:r>
        <w:rPr>
          <w:rFonts w:ascii="仿宋_GB2312" w:hAnsi="仿宋_GB2312" w:cs="仿宋_GB2312" w:eastAsia="仿宋_GB2312"/>
        </w:rPr>
        <w:t>采购包最高限价（元）: 5,865,000.00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延安.铜川重点小流域风险隐患调查及沟道断面补充测量</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3,942,000.00</w:t>
      </w:r>
    </w:p>
    <w:p>
      <w:pPr>
        <w:pStyle w:val="null3"/>
      </w:pPr>
      <w:r>
        <w:rPr>
          <w:rFonts w:ascii="仿宋_GB2312" w:hAnsi="仿宋_GB2312" w:cs="仿宋_GB2312" w:eastAsia="仿宋_GB2312"/>
        </w:rPr>
        <w:t>采购包最高限价（元）: 3,942,000.00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2026年商洛市入户预警试点建设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3,942,000.00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4,224,000.00</w:t>
      </w:r>
    </w:p>
    <w:p>
      <w:pPr>
        <w:pStyle w:val="null3"/>
      </w:pPr>
      <w:r>
        <w:rPr>
          <w:rFonts w:ascii="仿宋_GB2312" w:hAnsi="仿宋_GB2312" w:cs="仿宋_GB2312" w:eastAsia="仿宋_GB2312"/>
        </w:rPr>
        <w:t>采购包最高限价（元）: 4,224,000.00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2026年汉中.安康.宝鸡市入户预警试点建设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4,224,000.00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3,150,000.00</w:t>
      </w:r>
    </w:p>
    <w:p>
      <w:pPr>
        <w:pStyle w:val="null3"/>
      </w:pPr>
      <w:r>
        <w:rPr>
          <w:rFonts w:ascii="仿宋_GB2312" w:hAnsi="仿宋_GB2312" w:cs="仿宋_GB2312" w:eastAsia="仿宋_GB2312"/>
        </w:rPr>
        <w:t>采购包最高限价（元）: 3,150,000.00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2026年西安.渭南.铜川.咸阳.延安.榆林市入户预警试点建设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9,732,100.00</w:t>
      </w:r>
    </w:p>
    <w:p>
      <w:pPr>
        <w:pStyle w:val="null3"/>
      </w:pPr>
      <w:r>
        <w:rPr>
          <w:rFonts w:ascii="仿宋_GB2312" w:hAnsi="仿宋_GB2312" w:cs="仿宋_GB2312" w:eastAsia="仿宋_GB2312"/>
        </w:rPr>
        <w:t>采购包最高限价（元）: 9,732,100.00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2026年防治区面积和人口复核.小流域治理单元下垫面数据复核更新.危险区预警指标确定复核与站点关联.监测预报预警平台数智化提升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9,732,100.00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2,554,900.00</w:t>
      </w:r>
    </w:p>
    <w:p>
      <w:pPr>
        <w:pStyle w:val="null3"/>
      </w:pPr>
      <w:r>
        <w:rPr>
          <w:rFonts w:ascii="仿宋_GB2312" w:hAnsi="仿宋_GB2312" w:cs="仿宋_GB2312" w:eastAsia="仿宋_GB2312"/>
        </w:rPr>
        <w:t>采购包最高限价（元）: 2,554,900.00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2026年危险区基础信息更新及危险区信息集成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2,554,900.00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2026年社会化发布支撑服务建设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标的名称：延安.铜川重点小流域风险隐患调查及沟道断面补充测量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详见附件“1包采购需求”。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标的名称：2026年商洛市入户预警试点建设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为针对解决山洪灾害预警的发而不达、叫而不应、备而不用的问题，构建了一套山洪灾害</w:t>
            </w:r>
            <w:r>
              <w:rPr>
                <w:rFonts w:ascii="仿宋_GB2312" w:hAnsi="仿宋_GB2312" w:cs="仿宋_GB2312" w:eastAsia="仿宋_GB2312"/>
                <w:sz w:val="21"/>
              </w:rPr>
              <w:t>“入户型叫应”预警系统，系统由叫应平台、呼叫端、接收端组成。在断网断电</w:t>
            </w:r>
            <w:r>
              <w:rPr>
                <w:rFonts w:ascii="仿宋_GB2312" w:hAnsi="仿宋_GB2312" w:cs="仿宋_GB2312" w:eastAsia="仿宋_GB2312"/>
                <w:sz w:val="21"/>
              </w:rPr>
              <w:t>断路、深夜凌晨强降雨等极端情景下，村组责任人可使用呼叫端通过无线</w:t>
            </w:r>
            <w:r>
              <w:rPr>
                <w:rFonts w:ascii="仿宋_GB2312" w:hAnsi="仿宋_GB2312" w:cs="仿宋_GB2312" w:eastAsia="仿宋_GB2312"/>
                <w:sz w:val="21"/>
              </w:rPr>
              <w:t>MESH自组网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发布转移</w:t>
            </w:r>
            <w:r>
              <w:rPr>
                <w:rFonts w:ascii="仿宋_GB2312" w:hAnsi="仿宋_GB2312" w:cs="仿宋_GB2312" w:eastAsia="仿宋_GB2312"/>
                <w:sz w:val="21"/>
              </w:rPr>
              <w:t>撤离通知。受威胁群众通过接收端收听到上级通知后可通过一键确认的方式进行应答。</w:t>
            </w:r>
          </w:p>
          <w:p>
            <w:pPr>
              <w:pStyle w:val="null3"/>
              <w:jc w:val="both"/>
              <w:outlineLvl w:val="2"/>
            </w:pPr>
            <w:r>
              <w:rPr>
                <w:rFonts w:ascii="仿宋_GB2312" w:hAnsi="仿宋_GB2312" w:cs="仿宋_GB2312" w:eastAsia="仿宋_GB2312"/>
                <w:sz w:val="21"/>
                <w:b/>
              </w:rPr>
              <w:t>一、系统特点</w:t>
            </w:r>
          </w:p>
          <w:p>
            <w:pPr>
              <w:pStyle w:val="null3"/>
              <w:ind w:firstLine="420"/>
              <w:jc w:val="both"/>
            </w:pPr>
            <w:r>
              <w:rPr>
                <w:rFonts w:ascii="仿宋_GB2312" w:hAnsi="仿宋_GB2312" w:cs="仿宋_GB2312" w:eastAsia="仿宋_GB2312"/>
                <w:sz w:val="21"/>
              </w:rPr>
              <w:t>1、平台预警发布</w:t>
            </w:r>
          </w:p>
          <w:p>
            <w:pPr>
              <w:pStyle w:val="null3"/>
              <w:ind w:firstLine="420"/>
              <w:jc w:val="both"/>
            </w:pPr>
            <w:r>
              <w:rPr>
                <w:rFonts w:ascii="仿宋_GB2312" w:hAnsi="仿宋_GB2312" w:cs="仿宋_GB2312" w:eastAsia="仿宋_GB2312"/>
                <w:sz w:val="21"/>
              </w:rPr>
              <w:t>支持临近预报预警和实时监测预警向危险区群众直接发布，呼叫端接收到平台预警后，可快速转发至接收端通知到户。</w:t>
            </w:r>
          </w:p>
          <w:p>
            <w:pPr>
              <w:pStyle w:val="null3"/>
              <w:ind w:firstLine="420"/>
              <w:jc w:val="both"/>
            </w:pPr>
            <w:r>
              <w:rPr>
                <w:rFonts w:ascii="仿宋_GB2312" w:hAnsi="仿宋_GB2312" w:cs="仿宋_GB2312" w:eastAsia="仿宋_GB2312"/>
                <w:sz w:val="21"/>
              </w:rPr>
              <w:t>2、现地预警发布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1）现地定点预警发布</w:t>
            </w:r>
          </w:p>
          <w:p>
            <w:pPr>
              <w:pStyle w:val="null3"/>
              <w:ind w:firstLine="420"/>
              <w:jc w:val="both"/>
            </w:pPr>
            <w:r>
              <w:rPr>
                <w:rFonts w:ascii="仿宋_GB2312" w:hAnsi="仿宋_GB2312" w:cs="仿宋_GB2312" w:eastAsia="仿宋_GB2312"/>
                <w:sz w:val="21"/>
              </w:rPr>
              <w:t>村组责任人可对单个对象发布预警信息。在突发事件或灾害发生时，值班人员可以通过定点预警功能迅速与关键人员建立联系，发布预警信息。值班员在呼叫端操作界面，选择需要预警的单个对象，发布相应预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2）现地广播预警发布</w:t>
            </w:r>
          </w:p>
          <w:p>
            <w:pPr>
              <w:pStyle w:val="null3"/>
              <w:ind w:firstLine="420"/>
              <w:jc w:val="both"/>
            </w:pPr>
            <w:r>
              <w:rPr>
                <w:rFonts w:ascii="仿宋_GB2312" w:hAnsi="仿宋_GB2312" w:cs="仿宋_GB2312" w:eastAsia="仿宋_GB2312"/>
                <w:sz w:val="21"/>
              </w:rPr>
              <w:t>村组责任人通过呼叫端的预警呼叫按键操作，即可迅速启动应急响应流程，将相关预警信息和指令快速传递给系统中关联的全部用户。该功能具有快速性、高效性、便捷性和准确性等特点，能够在突发事件发生时迅速启动应急响应机制，减少人员伤亡和财产损失。</w:t>
            </w:r>
          </w:p>
          <w:p>
            <w:pPr>
              <w:pStyle w:val="null3"/>
              <w:ind w:firstLine="420"/>
              <w:jc w:val="both"/>
            </w:pPr>
            <w:r>
              <w:rPr>
                <w:rFonts w:ascii="仿宋_GB2312" w:hAnsi="仿宋_GB2312" w:cs="仿宋_GB2312" w:eastAsia="仿宋_GB2312"/>
                <w:sz w:val="21"/>
              </w:rPr>
              <w:t>3、快速预警响应</w:t>
            </w:r>
          </w:p>
          <w:p>
            <w:pPr>
              <w:pStyle w:val="null3"/>
              <w:ind w:firstLine="420"/>
              <w:jc w:val="both"/>
            </w:pPr>
            <w:r>
              <w:rPr>
                <w:rFonts w:ascii="仿宋_GB2312" w:hAnsi="仿宋_GB2312" w:cs="仿宋_GB2312" w:eastAsia="仿宋_GB2312"/>
                <w:sz w:val="21"/>
              </w:rPr>
              <w:t>受威胁群众收到接收端的声光预警信号后，可通过按键确认收到预警信息并采取避险转移措施。按键确认后即判断为受威胁群众完成预警响应，呼叫端将应答状态上传到平台，形成预警发布叫应的闭环。</w:t>
            </w:r>
          </w:p>
          <w:p>
            <w:pPr>
              <w:pStyle w:val="null3"/>
              <w:ind w:firstLine="420"/>
              <w:jc w:val="both"/>
            </w:pPr>
            <w:r>
              <w:rPr>
                <w:rFonts w:ascii="仿宋_GB2312" w:hAnsi="仿宋_GB2312" w:cs="仿宋_GB2312" w:eastAsia="仿宋_GB2312"/>
                <w:sz w:val="21"/>
              </w:rPr>
              <w:t>4、预警状态反馈</w:t>
            </w:r>
          </w:p>
          <w:p>
            <w:pPr>
              <w:pStyle w:val="null3"/>
              <w:ind w:firstLine="420"/>
              <w:jc w:val="both"/>
            </w:pPr>
            <w:r>
              <w:rPr>
                <w:rFonts w:ascii="仿宋_GB2312" w:hAnsi="仿宋_GB2312" w:cs="仿宋_GB2312" w:eastAsia="仿宋_GB2312"/>
                <w:sz w:val="21"/>
              </w:rPr>
              <w:t>值班人员可以通过平台软件、呼叫端随时了解到接收端的在线状态，对于离线设备通知恢复在线，保证汛期预警能有效发布。在有预警发布时，能清晰地知道哪些呼叫端已经发出预警，哪些接收端已经确认收到预警。</w:t>
            </w:r>
          </w:p>
          <w:p>
            <w:pPr>
              <w:pStyle w:val="null3"/>
              <w:ind w:firstLine="420"/>
              <w:jc w:val="both"/>
            </w:pPr>
            <w:r>
              <w:rPr>
                <w:rFonts w:ascii="仿宋_GB2312" w:hAnsi="仿宋_GB2312" w:cs="仿宋_GB2312" w:eastAsia="仿宋_GB2312"/>
                <w:sz w:val="21"/>
              </w:rPr>
              <w:t>5、预警记录留痕</w:t>
            </w:r>
          </w:p>
          <w:p>
            <w:pPr>
              <w:pStyle w:val="null3"/>
              <w:ind w:firstLine="420"/>
              <w:jc w:val="both"/>
            </w:pPr>
            <w:r>
              <w:rPr>
                <w:rFonts w:ascii="仿宋_GB2312" w:hAnsi="仿宋_GB2312" w:cs="仿宋_GB2312" w:eastAsia="仿宋_GB2312"/>
                <w:sz w:val="21"/>
              </w:rPr>
              <w:t>预警记录是对每一次预警操作进行详细记录的过程。包含预警发布时间、预警信息、叫应状态信息等。既能协助指挥人员分析决策，也为事后复盘分析提供依据。</w:t>
            </w:r>
          </w:p>
          <w:p>
            <w:pPr>
              <w:pStyle w:val="null3"/>
              <w:jc w:val="both"/>
              <w:outlineLvl w:val="2"/>
            </w:pPr>
            <w:r>
              <w:rPr>
                <w:rFonts w:ascii="仿宋_GB2312" w:hAnsi="仿宋_GB2312" w:cs="仿宋_GB2312" w:eastAsia="仿宋_GB2312"/>
                <w:sz w:val="21"/>
                <w:b/>
              </w:rPr>
              <w:t>二、布设范围</w:t>
            </w:r>
          </w:p>
          <w:p>
            <w:pPr>
              <w:pStyle w:val="null3"/>
              <w:ind w:firstLine="420"/>
              <w:jc w:val="both"/>
            </w:pPr>
            <w:r>
              <w:rPr>
                <w:rFonts w:ascii="仿宋_GB2312" w:hAnsi="仿宋_GB2312" w:cs="仿宋_GB2312" w:eastAsia="仿宋_GB2312"/>
                <w:sz w:val="21"/>
              </w:rPr>
              <w:t>目前，</w:t>
            </w:r>
            <w:r>
              <w:rPr>
                <w:rFonts w:ascii="仿宋_GB2312" w:hAnsi="仿宋_GB2312" w:cs="仿宋_GB2312" w:eastAsia="仿宋_GB2312"/>
                <w:sz w:val="21"/>
              </w:rPr>
              <w:t>商洛市</w:t>
            </w:r>
            <w:r>
              <w:rPr>
                <w:rFonts w:ascii="仿宋_GB2312" w:hAnsi="仿宋_GB2312" w:cs="仿宋_GB2312" w:eastAsia="仿宋_GB2312"/>
                <w:sz w:val="21"/>
              </w:rPr>
              <w:t>共有</w:t>
            </w:r>
            <w:r>
              <w:rPr>
                <w:rFonts w:ascii="仿宋_GB2312" w:hAnsi="仿宋_GB2312" w:cs="仿宋_GB2312" w:eastAsia="仿宋_GB2312"/>
                <w:sz w:val="21"/>
              </w:rPr>
              <w:t>山洪灾害</w:t>
            </w:r>
            <w:r>
              <w:rPr>
                <w:rFonts w:ascii="仿宋_GB2312" w:hAnsi="仿宋_GB2312" w:cs="仿宋_GB2312" w:eastAsia="仿宋_GB2312"/>
                <w:sz w:val="21"/>
              </w:rPr>
              <w:t>极高危险区</w:t>
            </w:r>
            <w:r>
              <w:rPr>
                <w:rFonts w:ascii="仿宋_GB2312" w:hAnsi="仿宋_GB2312" w:cs="仿宋_GB2312" w:eastAsia="仿宋_GB2312"/>
                <w:sz w:val="21"/>
              </w:rPr>
              <w:t>127个，高危险区530个。</w:t>
            </w:r>
            <w:r>
              <w:rPr>
                <w:rFonts w:ascii="仿宋_GB2312" w:hAnsi="仿宋_GB2312" w:cs="仿宋_GB2312" w:eastAsia="仿宋_GB2312"/>
                <w:sz w:val="21"/>
              </w:rPr>
              <w:t>2026年我省在极高、高风险区配备不依赖公共通信网络的新型入户报警叫应设备，完善断网断电断路、深夜凌晨强降雨等极端情景下预警“叫应”措施。按照每个危险区布设1个防汛呼叫器、10个报警应答器的方式</w:t>
            </w:r>
            <w:r>
              <w:rPr>
                <w:rFonts w:ascii="仿宋_GB2312" w:hAnsi="仿宋_GB2312" w:cs="仿宋_GB2312" w:eastAsia="仿宋_GB2312"/>
                <w:sz w:val="21"/>
              </w:rPr>
              <w:t>（在同一个行政村存在部分危险区户数不足</w:t>
            </w:r>
            <w:r>
              <w:rPr>
                <w:rFonts w:ascii="仿宋_GB2312" w:hAnsi="仿宋_GB2312" w:cs="仿宋_GB2312" w:eastAsia="仿宋_GB2312"/>
                <w:sz w:val="21"/>
              </w:rPr>
              <w:t>10户或者部分超出10户情形时，可在多个危险区之间共用接收端设备）</w:t>
            </w:r>
            <w:r>
              <w:rPr>
                <w:rFonts w:ascii="仿宋_GB2312" w:hAnsi="仿宋_GB2312" w:cs="仿宋_GB2312" w:eastAsia="仿宋_GB2312"/>
                <w:sz w:val="21"/>
              </w:rPr>
              <w:t>，</w:t>
            </w:r>
            <w:r>
              <w:rPr>
                <w:rFonts w:ascii="仿宋_GB2312" w:hAnsi="仿宋_GB2312" w:cs="仿宋_GB2312" w:eastAsia="仿宋_GB2312"/>
                <w:sz w:val="21"/>
              </w:rPr>
              <w:t>为商洛市</w:t>
            </w:r>
            <w:r>
              <w:rPr>
                <w:rFonts w:ascii="仿宋_GB2312" w:hAnsi="仿宋_GB2312" w:cs="仿宋_GB2312" w:eastAsia="仿宋_GB2312"/>
                <w:sz w:val="21"/>
              </w:rPr>
              <w:t>657个极高、高风险区配备新型入户报警叫应设备。</w:t>
            </w:r>
          </w:p>
          <w:p>
            <w:pPr>
              <w:pStyle w:val="null3"/>
              <w:jc w:val="center"/>
              <w:outlineLvl w:val="2"/>
            </w:pPr>
            <w:r>
              <w:rPr>
                <w:rFonts w:ascii="仿宋_GB2312" w:hAnsi="仿宋_GB2312" w:cs="仿宋_GB2312" w:eastAsia="仿宋_GB2312"/>
                <w:sz w:val="21"/>
                <w:b/>
              </w:rPr>
              <w:t>本采购包工程量清单</w:t>
            </w:r>
          </w:p>
          <w:tbl>
            <w:tblPr>
              <w:tblBorders>
                <w:top w:val="none" w:color="000000" w:sz="4"/>
                <w:left w:val="none" w:color="000000" w:sz="4"/>
                <w:bottom w:val="none" w:color="000000" w:sz="4"/>
                <w:right w:val="none" w:color="000000" w:sz="4"/>
                <w:insideH w:val="none"/>
                <w:insideV w:val="none"/>
              </w:tblBorders>
            </w:tblPr>
            <w:tblGrid>
              <w:gridCol w:w="292"/>
              <w:gridCol w:w="1404"/>
              <w:gridCol w:w="418"/>
              <w:gridCol w:w="439"/>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建设内容</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2026年商洛市入户预警试点建设</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657</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6570</w:t>
                  </w:r>
                </w:p>
              </w:tc>
            </w:tr>
          </w:tbl>
          <w:p>
            <w:pPr>
              <w:pStyle w:val="null3"/>
              <w:jc w:val="both"/>
              <w:outlineLvl w:val="2"/>
            </w:pPr>
            <w:r>
              <w:rPr>
                <w:rFonts w:ascii="仿宋_GB2312" w:hAnsi="仿宋_GB2312" w:cs="仿宋_GB2312" w:eastAsia="仿宋_GB2312"/>
                <w:sz w:val="21"/>
                <w:b/>
              </w:rPr>
              <w:t>三、主要设备功能参数</w:t>
            </w:r>
          </w:p>
          <w:p>
            <w:pPr>
              <w:pStyle w:val="null3"/>
              <w:ind w:firstLine="420"/>
              <w:jc w:val="both"/>
            </w:pPr>
            <w:r>
              <w:rPr>
                <w:rFonts w:ascii="仿宋_GB2312" w:hAnsi="仿宋_GB2312" w:cs="仿宋_GB2312" w:eastAsia="仿宋_GB2312"/>
                <w:sz w:val="21"/>
              </w:rPr>
              <w:t>3.1呼叫端</w:t>
            </w:r>
          </w:p>
          <w:p>
            <w:pPr>
              <w:pStyle w:val="null3"/>
              <w:ind w:firstLine="420"/>
              <w:jc w:val="both"/>
            </w:pPr>
            <w:r>
              <w:rPr>
                <w:rFonts w:ascii="仿宋_GB2312" w:hAnsi="仿宋_GB2312" w:cs="仿宋_GB2312" w:eastAsia="仿宋_GB2312"/>
                <w:sz w:val="21"/>
              </w:rPr>
              <w:t>1、主要功能</w:t>
            </w:r>
          </w:p>
          <w:p>
            <w:pPr>
              <w:pStyle w:val="null3"/>
              <w:numPr>
                <w:ilvl w:val="0"/>
                <w:numId w:val="1"/>
              </w:numPr>
              <w:jc w:val="both"/>
            </w:pPr>
            <w:r>
              <w:rPr>
                <w:rFonts w:ascii="仿宋_GB2312" w:hAnsi="仿宋_GB2312" w:cs="仿宋_GB2312" w:eastAsia="仿宋_GB2312"/>
                <w:sz w:val="21"/>
              </w:rPr>
              <w:t>语音呼叫：具有单向对接收端发布语音提醒的功能；</w:t>
            </w:r>
          </w:p>
          <w:p>
            <w:pPr>
              <w:pStyle w:val="null3"/>
              <w:numPr>
                <w:ilvl w:val="0"/>
                <w:numId w:val="1"/>
              </w:numPr>
              <w:jc w:val="both"/>
            </w:pPr>
            <w:r>
              <w:rPr>
                <w:rFonts w:ascii="仿宋_GB2312" w:hAnsi="仿宋_GB2312" w:cs="仿宋_GB2312" w:eastAsia="仿宋_GB2312"/>
                <w:sz w:val="21"/>
              </w:rPr>
              <w:t>定点预警：可对单个对象发布预警；</w:t>
            </w:r>
          </w:p>
          <w:p>
            <w:pPr>
              <w:pStyle w:val="null3"/>
              <w:numPr>
                <w:ilvl w:val="0"/>
                <w:numId w:val="1"/>
              </w:numPr>
              <w:jc w:val="both"/>
            </w:pPr>
            <w:r>
              <w:rPr>
                <w:rFonts w:ascii="仿宋_GB2312" w:hAnsi="仿宋_GB2312" w:cs="仿宋_GB2312" w:eastAsia="仿宋_GB2312"/>
                <w:sz w:val="21"/>
              </w:rPr>
              <w:t>广播预警：可对组网内所有成员发布预警；</w:t>
            </w:r>
          </w:p>
          <w:p>
            <w:pPr>
              <w:pStyle w:val="null3"/>
              <w:numPr>
                <w:ilvl w:val="0"/>
                <w:numId w:val="1"/>
              </w:numPr>
              <w:jc w:val="both"/>
            </w:pPr>
            <w:r>
              <w:rPr>
                <w:rFonts w:ascii="仿宋_GB2312" w:hAnsi="仿宋_GB2312" w:cs="仿宋_GB2312" w:eastAsia="仿宋_GB2312"/>
                <w:sz w:val="21"/>
              </w:rPr>
              <w:t>预警记录：对每一次预警操作记录预警时间、预警信息、设备状态信息；</w:t>
            </w:r>
          </w:p>
          <w:p>
            <w:pPr>
              <w:pStyle w:val="null3"/>
              <w:numPr>
                <w:ilvl w:val="0"/>
                <w:numId w:val="1"/>
              </w:numPr>
              <w:jc w:val="both"/>
            </w:pPr>
            <w:r>
              <w:rPr>
                <w:rFonts w:ascii="仿宋_GB2312" w:hAnsi="仿宋_GB2312" w:cs="仿宋_GB2312" w:eastAsia="仿宋_GB2312"/>
                <w:sz w:val="21"/>
              </w:rPr>
              <w:t>终端管理：可展示所接入接收端的在线、离线状态；</w:t>
            </w:r>
          </w:p>
          <w:p>
            <w:pPr>
              <w:pStyle w:val="null3"/>
              <w:numPr>
                <w:ilvl w:val="0"/>
                <w:numId w:val="1"/>
              </w:numPr>
              <w:jc w:val="both"/>
            </w:pPr>
            <w:r>
              <w:rPr>
                <w:rFonts w:ascii="仿宋_GB2312" w:hAnsi="仿宋_GB2312" w:cs="仿宋_GB2312" w:eastAsia="仿宋_GB2312"/>
                <w:sz w:val="21"/>
              </w:rPr>
              <w:t>权限控制：具有预警发布权限控制，可按需发送预警；</w:t>
            </w:r>
          </w:p>
          <w:p>
            <w:pPr>
              <w:pStyle w:val="null3"/>
              <w:numPr>
                <w:ilvl w:val="0"/>
                <w:numId w:val="1"/>
              </w:numPr>
              <w:jc w:val="both"/>
            </w:pPr>
            <w:r>
              <w:rPr>
                <w:rFonts w:ascii="仿宋_GB2312" w:hAnsi="仿宋_GB2312" w:cs="仿宋_GB2312" w:eastAsia="仿宋_GB2312"/>
                <w:sz w:val="21"/>
              </w:rPr>
              <w:t>备用电源：内置可充电备用电池，停电后可无缝切换。</w:t>
            </w:r>
          </w:p>
          <w:p>
            <w:pPr>
              <w:pStyle w:val="null3"/>
              <w:ind w:firstLine="420"/>
              <w:jc w:val="both"/>
            </w:pPr>
            <w:r>
              <w:rPr>
                <w:rFonts w:ascii="仿宋_GB2312" w:hAnsi="仿宋_GB2312" w:cs="仿宋_GB2312" w:eastAsia="仿宋_GB2312"/>
                <w:sz w:val="21"/>
              </w:rPr>
              <w:t>2、技术参数</w:t>
            </w:r>
          </w:p>
          <w:p>
            <w:pPr>
              <w:pStyle w:val="null3"/>
              <w:numPr>
                <w:ilvl w:val="0"/>
                <w:numId w:val="1"/>
              </w:numPr>
              <w:jc w:val="both"/>
            </w:pPr>
            <w:r>
              <w:rPr>
                <w:rFonts w:ascii="仿宋_GB2312" w:hAnsi="仿宋_GB2312" w:cs="仿宋_GB2312" w:eastAsia="仿宋_GB2312"/>
                <w:sz w:val="21"/>
              </w:rPr>
              <w:t>外接电源：</w:t>
            </w:r>
            <w:r>
              <w:rPr>
                <w:rFonts w:ascii="仿宋_GB2312" w:hAnsi="仿宋_GB2312" w:cs="仿宋_GB2312" w:eastAsia="仿宋_GB2312"/>
                <w:sz w:val="21"/>
              </w:rPr>
              <w:t>DC5V/2A或其他；</w:t>
            </w:r>
          </w:p>
          <w:p>
            <w:pPr>
              <w:pStyle w:val="null3"/>
              <w:numPr>
                <w:ilvl w:val="0"/>
                <w:numId w:val="1"/>
              </w:numPr>
              <w:jc w:val="both"/>
            </w:pPr>
            <w:r>
              <w:rPr>
                <w:rFonts w:ascii="仿宋_GB2312" w:hAnsi="仿宋_GB2312" w:cs="仿宋_GB2312" w:eastAsia="仿宋_GB2312"/>
                <w:sz w:val="21"/>
              </w:rPr>
              <w:t>公网通信：最低支持</w:t>
            </w:r>
            <w:r>
              <w:rPr>
                <w:rFonts w:ascii="仿宋_GB2312" w:hAnsi="仿宋_GB2312" w:cs="仿宋_GB2312" w:eastAsia="仿宋_GB2312"/>
                <w:sz w:val="21"/>
              </w:rPr>
              <w:t>4G全网通；</w:t>
            </w:r>
          </w:p>
          <w:p>
            <w:pPr>
              <w:pStyle w:val="null3"/>
              <w:numPr>
                <w:ilvl w:val="0"/>
                <w:numId w:val="1"/>
              </w:numPr>
              <w:jc w:val="both"/>
            </w:pPr>
            <w:r>
              <w:rPr>
                <w:rFonts w:ascii="仿宋_GB2312" w:hAnsi="仿宋_GB2312" w:cs="仿宋_GB2312" w:eastAsia="仿宋_GB2312"/>
                <w:sz w:val="21"/>
              </w:rPr>
              <w:t>应急通信：支持近地无线</w:t>
            </w:r>
            <w:r>
              <w:rPr>
                <w:rFonts w:ascii="仿宋_GB2312" w:hAnsi="仿宋_GB2312" w:cs="仿宋_GB2312" w:eastAsia="仿宋_GB2312"/>
                <w:sz w:val="21"/>
              </w:rPr>
              <w:t>M</w:t>
            </w:r>
            <w:r>
              <w:rPr>
                <w:rFonts w:ascii="仿宋_GB2312" w:hAnsi="仿宋_GB2312" w:cs="仿宋_GB2312" w:eastAsia="仿宋_GB2312"/>
                <w:sz w:val="21"/>
              </w:rPr>
              <w:t>ESH自组网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扬声器功率：</w:t>
            </w:r>
            <w:r>
              <w:rPr>
                <w:rFonts w:ascii="仿宋_GB2312" w:hAnsi="仿宋_GB2312" w:cs="仿宋_GB2312" w:eastAsia="仿宋_GB2312"/>
                <w:sz w:val="21"/>
              </w:rPr>
              <w:t>≥2W；</w:t>
            </w:r>
          </w:p>
          <w:p>
            <w:pPr>
              <w:pStyle w:val="null3"/>
              <w:numPr>
                <w:ilvl w:val="0"/>
                <w:numId w:val="1"/>
              </w:numPr>
              <w:jc w:val="both"/>
            </w:pPr>
            <w:r>
              <w:rPr>
                <w:rFonts w:ascii="仿宋_GB2312" w:hAnsi="仿宋_GB2312" w:cs="仿宋_GB2312" w:eastAsia="仿宋_GB2312"/>
                <w:sz w:val="21"/>
              </w:rPr>
              <w:t>内置电池：容量不小于</w:t>
            </w:r>
            <w:r>
              <w:rPr>
                <w:rFonts w:ascii="仿宋_GB2312" w:hAnsi="仿宋_GB2312" w:cs="仿宋_GB2312" w:eastAsia="仿宋_GB2312"/>
                <w:sz w:val="21"/>
              </w:rPr>
              <w:t>2000mAh.</w:t>
            </w:r>
          </w:p>
          <w:p>
            <w:pPr>
              <w:pStyle w:val="null3"/>
              <w:numPr>
                <w:ilvl w:val="0"/>
                <w:numId w:val="1"/>
              </w:numPr>
              <w:jc w:val="both"/>
            </w:pPr>
            <w:r>
              <w:rPr>
                <w:rFonts w:ascii="仿宋_GB2312" w:hAnsi="仿宋_GB2312" w:cs="仿宋_GB2312" w:eastAsia="仿宋_GB2312"/>
                <w:sz w:val="21"/>
              </w:rPr>
              <w:t>工作温度：</w:t>
            </w:r>
            <w:r>
              <w:rPr>
                <w:rFonts w:ascii="仿宋_GB2312" w:hAnsi="仿宋_GB2312" w:cs="仿宋_GB2312" w:eastAsia="仿宋_GB2312"/>
                <w:sz w:val="21"/>
              </w:rPr>
              <w:t>0~45℃；</w:t>
            </w:r>
          </w:p>
          <w:p>
            <w:pPr>
              <w:pStyle w:val="null3"/>
              <w:numPr>
                <w:ilvl w:val="0"/>
                <w:numId w:val="1"/>
              </w:numPr>
              <w:jc w:val="both"/>
            </w:pPr>
            <w:r>
              <w:rPr>
                <w:rFonts w:ascii="仿宋_GB2312" w:hAnsi="仿宋_GB2312" w:cs="仿宋_GB2312" w:eastAsia="仿宋_GB2312"/>
                <w:sz w:val="21"/>
              </w:rPr>
              <w:t>存储温度：</w:t>
            </w:r>
            <w:r>
              <w:rPr>
                <w:rFonts w:ascii="仿宋_GB2312" w:hAnsi="仿宋_GB2312" w:cs="仿宋_GB2312" w:eastAsia="仿宋_GB2312"/>
                <w:sz w:val="21"/>
              </w:rPr>
              <w:t>-20~60℃；</w:t>
            </w:r>
          </w:p>
          <w:p>
            <w:pPr>
              <w:pStyle w:val="null3"/>
              <w:numPr>
                <w:ilvl w:val="0"/>
                <w:numId w:val="1"/>
              </w:numPr>
              <w:jc w:val="both"/>
            </w:pPr>
            <w:r>
              <w:rPr>
                <w:rFonts w:ascii="仿宋_GB2312" w:hAnsi="仿宋_GB2312" w:cs="仿宋_GB2312" w:eastAsia="仿宋_GB2312"/>
                <w:sz w:val="21"/>
              </w:rPr>
              <w:t>质保年限：三年。</w:t>
            </w:r>
          </w:p>
          <w:p>
            <w:pPr>
              <w:pStyle w:val="null3"/>
              <w:ind w:firstLine="420"/>
              <w:jc w:val="both"/>
            </w:pPr>
            <w:r>
              <w:rPr>
                <w:rFonts w:ascii="仿宋_GB2312" w:hAnsi="仿宋_GB2312" w:cs="仿宋_GB2312" w:eastAsia="仿宋_GB2312"/>
                <w:sz w:val="21"/>
              </w:rPr>
              <w:t>3.2接收端</w:t>
            </w:r>
          </w:p>
          <w:p>
            <w:pPr>
              <w:pStyle w:val="null3"/>
              <w:ind w:firstLine="420"/>
              <w:jc w:val="both"/>
            </w:pPr>
            <w:r>
              <w:rPr>
                <w:rFonts w:ascii="仿宋_GB2312" w:hAnsi="仿宋_GB2312" w:cs="仿宋_GB2312" w:eastAsia="仿宋_GB2312"/>
                <w:sz w:val="21"/>
              </w:rPr>
              <w:t>1、主要功能</w:t>
            </w:r>
          </w:p>
          <w:p>
            <w:pPr>
              <w:pStyle w:val="null3"/>
              <w:numPr>
                <w:ilvl w:val="0"/>
                <w:numId w:val="1"/>
              </w:numPr>
              <w:jc w:val="both"/>
            </w:pPr>
            <w:r>
              <w:rPr>
                <w:rFonts w:ascii="仿宋_GB2312" w:hAnsi="仿宋_GB2312" w:cs="仿宋_GB2312" w:eastAsia="仿宋_GB2312"/>
                <w:sz w:val="21"/>
              </w:rPr>
              <w:t>外观形式：采用群众欢迎的形态，与日常生活相结合；</w:t>
            </w:r>
          </w:p>
          <w:p>
            <w:pPr>
              <w:pStyle w:val="null3"/>
              <w:numPr>
                <w:ilvl w:val="0"/>
                <w:numId w:val="1"/>
              </w:numPr>
              <w:jc w:val="both"/>
            </w:pPr>
            <w:r>
              <w:rPr>
                <w:rFonts w:ascii="仿宋_GB2312" w:hAnsi="仿宋_GB2312" w:cs="仿宋_GB2312" w:eastAsia="仿宋_GB2312"/>
                <w:sz w:val="21"/>
              </w:rPr>
              <w:t>声光报警：内置扬声器和报警指示灯，支持语音、警笛、闪光报警等；</w:t>
            </w:r>
          </w:p>
          <w:p>
            <w:pPr>
              <w:pStyle w:val="null3"/>
              <w:numPr>
                <w:ilvl w:val="0"/>
                <w:numId w:val="1"/>
              </w:numPr>
              <w:jc w:val="both"/>
            </w:pPr>
            <w:r>
              <w:rPr>
                <w:rFonts w:ascii="仿宋_GB2312" w:hAnsi="仿宋_GB2312" w:cs="仿宋_GB2312" w:eastAsia="仿宋_GB2312"/>
                <w:sz w:val="21"/>
              </w:rPr>
              <w:t>一键应答：具有报警、消警反馈叫应机制，支持一键报警确认和误报消除；</w:t>
            </w:r>
          </w:p>
          <w:p>
            <w:pPr>
              <w:pStyle w:val="null3"/>
              <w:numPr>
                <w:ilvl w:val="0"/>
                <w:numId w:val="1"/>
              </w:numPr>
              <w:jc w:val="both"/>
            </w:pPr>
            <w:r>
              <w:rPr>
                <w:rFonts w:ascii="仿宋_GB2312" w:hAnsi="仿宋_GB2312" w:cs="仿宋_GB2312" w:eastAsia="仿宋_GB2312"/>
                <w:sz w:val="21"/>
              </w:rPr>
              <w:t>紧急报警：支持接收呼叫端的紧急报警指令；</w:t>
            </w:r>
          </w:p>
          <w:p>
            <w:pPr>
              <w:pStyle w:val="null3"/>
              <w:numPr>
                <w:ilvl w:val="0"/>
                <w:numId w:val="1"/>
              </w:numPr>
              <w:jc w:val="both"/>
            </w:pPr>
            <w:r>
              <w:rPr>
                <w:rFonts w:ascii="仿宋_GB2312" w:hAnsi="仿宋_GB2312" w:cs="仿宋_GB2312" w:eastAsia="仿宋_GB2312"/>
                <w:sz w:val="21"/>
              </w:rPr>
              <w:t>备用电源：内置可充电备用电池，停电后可无缝切换。</w:t>
            </w:r>
          </w:p>
          <w:p>
            <w:pPr>
              <w:pStyle w:val="null3"/>
              <w:numPr>
                <w:ilvl w:val="0"/>
                <w:numId w:val="1"/>
              </w:numPr>
              <w:jc w:val="both"/>
            </w:pPr>
            <w:r>
              <w:rPr>
                <w:rFonts w:ascii="仿宋_GB2312" w:hAnsi="仿宋_GB2312" w:cs="仿宋_GB2312" w:eastAsia="仿宋_GB2312"/>
                <w:sz w:val="21"/>
              </w:rPr>
              <w:t>状态指示：具有报警灯闪光指示；</w:t>
            </w:r>
          </w:p>
          <w:p>
            <w:pPr>
              <w:pStyle w:val="null3"/>
              <w:numPr>
                <w:ilvl w:val="0"/>
                <w:numId w:val="1"/>
              </w:numPr>
              <w:jc w:val="both"/>
            </w:pPr>
            <w:r>
              <w:rPr>
                <w:rFonts w:ascii="仿宋_GB2312" w:hAnsi="仿宋_GB2312" w:cs="仿宋_GB2312" w:eastAsia="仿宋_GB2312"/>
                <w:sz w:val="21"/>
              </w:rPr>
              <w:t>安装方式：支持壁挂式、桌面式等多种安装方式。</w:t>
            </w:r>
          </w:p>
          <w:p>
            <w:pPr>
              <w:pStyle w:val="null3"/>
              <w:ind w:firstLine="420"/>
              <w:jc w:val="both"/>
            </w:pPr>
            <w:r>
              <w:rPr>
                <w:rFonts w:ascii="仿宋_GB2312" w:hAnsi="仿宋_GB2312" w:cs="仿宋_GB2312" w:eastAsia="仿宋_GB2312"/>
                <w:sz w:val="21"/>
              </w:rPr>
              <w:t>2、技术参数</w:t>
            </w:r>
          </w:p>
          <w:p>
            <w:pPr>
              <w:pStyle w:val="null3"/>
              <w:numPr>
                <w:ilvl w:val="0"/>
                <w:numId w:val="1"/>
              </w:numPr>
              <w:jc w:val="both"/>
            </w:pPr>
            <w:r>
              <w:rPr>
                <w:rFonts w:ascii="仿宋_GB2312" w:hAnsi="仿宋_GB2312" w:cs="仿宋_GB2312" w:eastAsia="仿宋_GB2312"/>
                <w:sz w:val="21"/>
              </w:rPr>
              <w:t>电源规格：</w:t>
            </w:r>
            <w:r>
              <w:rPr>
                <w:rFonts w:ascii="仿宋_GB2312" w:hAnsi="仿宋_GB2312" w:cs="仿宋_GB2312" w:eastAsia="仿宋_GB2312"/>
                <w:sz w:val="21"/>
              </w:rPr>
              <w:t>DC5V/2A或其他；</w:t>
            </w:r>
          </w:p>
          <w:p>
            <w:pPr>
              <w:pStyle w:val="null3"/>
              <w:numPr>
                <w:ilvl w:val="0"/>
                <w:numId w:val="1"/>
              </w:numPr>
              <w:jc w:val="both"/>
            </w:pPr>
            <w:r>
              <w:rPr>
                <w:rFonts w:ascii="仿宋_GB2312" w:hAnsi="仿宋_GB2312" w:cs="仿宋_GB2312" w:eastAsia="仿宋_GB2312"/>
                <w:sz w:val="21"/>
              </w:rPr>
              <w:t>内置电池：可充电电池，容量不小于</w:t>
            </w:r>
            <w:r>
              <w:rPr>
                <w:rFonts w:ascii="仿宋_GB2312" w:hAnsi="仿宋_GB2312" w:cs="仿宋_GB2312" w:eastAsia="仿宋_GB2312"/>
                <w:sz w:val="21"/>
              </w:rPr>
              <w:t>800mAh；</w:t>
            </w:r>
          </w:p>
          <w:p>
            <w:pPr>
              <w:pStyle w:val="null3"/>
              <w:numPr>
                <w:ilvl w:val="0"/>
                <w:numId w:val="1"/>
              </w:numPr>
              <w:jc w:val="both"/>
            </w:pPr>
            <w:r>
              <w:rPr>
                <w:rFonts w:ascii="仿宋_GB2312" w:hAnsi="仿宋_GB2312" w:cs="仿宋_GB2312" w:eastAsia="仿宋_GB2312"/>
                <w:sz w:val="21"/>
              </w:rPr>
              <w:t>通讯方式：支持近地无线</w:t>
            </w:r>
            <w:r>
              <w:rPr>
                <w:rFonts w:ascii="仿宋_GB2312" w:hAnsi="仿宋_GB2312" w:cs="仿宋_GB2312" w:eastAsia="仿宋_GB2312"/>
                <w:sz w:val="21"/>
              </w:rPr>
              <w:t>MESH自组网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扬声器功率：</w:t>
            </w:r>
            <w:r>
              <w:rPr>
                <w:rFonts w:ascii="仿宋_GB2312" w:hAnsi="仿宋_GB2312" w:cs="仿宋_GB2312" w:eastAsia="仿宋_GB2312"/>
                <w:sz w:val="21"/>
              </w:rPr>
              <w:t>≥2W；</w:t>
            </w:r>
          </w:p>
          <w:p>
            <w:pPr>
              <w:pStyle w:val="null3"/>
              <w:numPr>
                <w:ilvl w:val="0"/>
                <w:numId w:val="1"/>
              </w:numPr>
              <w:jc w:val="both"/>
            </w:pPr>
            <w:r>
              <w:rPr>
                <w:rFonts w:ascii="仿宋_GB2312" w:hAnsi="仿宋_GB2312" w:cs="仿宋_GB2312" w:eastAsia="仿宋_GB2312"/>
                <w:sz w:val="21"/>
              </w:rPr>
              <w:t>工作温度：</w:t>
            </w:r>
            <w:r>
              <w:rPr>
                <w:rFonts w:ascii="仿宋_GB2312" w:hAnsi="仿宋_GB2312" w:cs="仿宋_GB2312" w:eastAsia="仿宋_GB2312"/>
                <w:sz w:val="21"/>
              </w:rPr>
              <w:t>0~45℃；</w:t>
            </w:r>
          </w:p>
          <w:p>
            <w:pPr>
              <w:pStyle w:val="null3"/>
              <w:numPr>
                <w:ilvl w:val="0"/>
                <w:numId w:val="1"/>
              </w:numPr>
              <w:jc w:val="both"/>
            </w:pPr>
            <w:r>
              <w:rPr>
                <w:rFonts w:ascii="仿宋_GB2312" w:hAnsi="仿宋_GB2312" w:cs="仿宋_GB2312" w:eastAsia="仿宋_GB2312"/>
                <w:sz w:val="21"/>
              </w:rPr>
              <w:t>存储温度：</w:t>
            </w:r>
            <w:r>
              <w:rPr>
                <w:rFonts w:ascii="仿宋_GB2312" w:hAnsi="仿宋_GB2312" w:cs="仿宋_GB2312" w:eastAsia="仿宋_GB2312"/>
                <w:sz w:val="21"/>
              </w:rPr>
              <w:t>-20~60℃；</w:t>
            </w:r>
          </w:p>
          <w:p>
            <w:pPr>
              <w:pStyle w:val="null3"/>
              <w:numPr>
                <w:ilvl w:val="0"/>
                <w:numId w:val="1"/>
              </w:numPr>
              <w:jc w:val="both"/>
            </w:pPr>
            <w:r>
              <w:rPr>
                <w:rFonts w:ascii="仿宋_GB2312" w:hAnsi="仿宋_GB2312" w:cs="仿宋_GB2312" w:eastAsia="仿宋_GB2312"/>
                <w:sz w:val="21"/>
              </w:rPr>
              <w:t>质保年限：三年。</w:t>
            </w:r>
          </w:p>
          <w:p>
            <w:pPr>
              <w:pStyle w:val="null3"/>
              <w:jc w:val="both"/>
              <w:outlineLvl w:val="2"/>
            </w:pPr>
            <w:r>
              <w:rPr>
                <w:rFonts w:ascii="仿宋_GB2312" w:hAnsi="仿宋_GB2312" w:cs="仿宋_GB2312" w:eastAsia="仿宋_GB2312"/>
                <w:sz w:val="21"/>
                <w:b/>
              </w:rPr>
              <w:t>四、设备安装调试要求</w:t>
            </w:r>
          </w:p>
          <w:p>
            <w:pPr>
              <w:pStyle w:val="null3"/>
              <w:ind w:firstLine="420"/>
              <w:jc w:val="both"/>
            </w:pPr>
            <w:r>
              <w:rPr>
                <w:rFonts w:ascii="仿宋_GB2312" w:hAnsi="仿宋_GB2312" w:cs="仿宋_GB2312" w:eastAsia="仿宋_GB2312"/>
                <w:sz w:val="21"/>
              </w:rPr>
              <w:t>4.1接收端设备安装</w:t>
            </w:r>
            <w:r>
              <w:rPr>
                <w:rFonts w:ascii="仿宋_GB2312" w:hAnsi="仿宋_GB2312" w:cs="仿宋_GB2312" w:eastAsia="仿宋_GB2312"/>
                <w:sz w:val="21"/>
              </w:rPr>
              <w:t>要求</w:t>
            </w:r>
          </w:p>
          <w:p>
            <w:pPr>
              <w:pStyle w:val="null3"/>
              <w:ind w:firstLine="420"/>
              <w:jc w:val="both"/>
            </w:pPr>
            <w:r>
              <w:rPr>
                <w:rFonts w:ascii="仿宋_GB2312" w:hAnsi="仿宋_GB2312" w:cs="仿宋_GB2312" w:eastAsia="仿宋_GB2312"/>
                <w:sz w:val="21"/>
              </w:rPr>
              <w:t>接收端安装应符合下列规定：</w:t>
            </w:r>
          </w:p>
          <w:p>
            <w:pPr>
              <w:pStyle w:val="null3"/>
              <w:ind w:firstLine="420"/>
              <w:jc w:val="both"/>
            </w:pPr>
            <w:r>
              <w:rPr>
                <w:rFonts w:ascii="仿宋_GB2312" w:hAnsi="仿宋_GB2312" w:cs="仿宋_GB2312" w:eastAsia="仿宋_GB2312"/>
                <w:sz w:val="21"/>
              </w:rPr>
              <w:t>1、应选择适当的高度进行安装，便于保护对象观看和收听预警信号；</w:t>
            </w:r>
          </w:p>
          <w:p>
            <w:pPr>
              <w:pStyle w:val="null3"/>
              <w:ind w:firstLine="420"/>
              <w:jc w:val="both"/>
            </w:pPr>
            <w:r>
              <w:rPr>
                <w:rFonts w:ascii="仿宋_GB2312" w:hAnsi="仿宋_GB2312" w:cs="仿宋_GB2312" w:eastAsia="仿宋_GB2312"/>
                <w:sz w:val="21"/>
              </w:rPr>
              <w:t>2、应选择便于取电的位置进行安装，确保报警器供电；</w:t>
            </w:r>
          </w:p>
          <w:p>
            <w:pPr>
              <w:pStyle w:val="null3"/>
              <w:ind w:firstLine="420"/>
              <w:jc w:val="both"/>
            </w:pPr>
            <w:r>
              <w:rPr>
                <w:rFonts w:ascii="仿宋_GB2312" w:hAnsi="仿宋_GB2312" w:cs="仿宋_GB2312" w:eastAsia="仿宋_GB2312"/>
                <w:sz w:val="21"/>
              </w:rPr>
              <w:t>3、应选择网络信号较好的位置安装，确保通信正常；</w:t>
            </w:r>
          </w:p>
          <w:p>
            <w:pPr>
              <w:pStyle w:val="null3"/>
              <w:ind w:firstLine="420"/>
              <w:jc w:val="both"/>
            </w:pPr>
            <w:r>
              <w:rPr>
                <w:rFonts w:ascii="仿宋_GB2312" w:hAnsi="仿宋_GB2312" w:cs="仿宋_GB2312" w:eastAsia="仿宋_GB2312"/>
                <w:sz w:val="21"/>
              </w:rPr>
              <w:t>4、应在设备附近张贴使用须知，并对保护对象进行使用培训。</w:t>
            </w:r>
          </w:p>
          <w:p>
            <w:pPr>
              <w:pStyle w:val="null3"/>
              <w:ind w:firstLine="420"/>
              <w:jc w:val="both"/>
            </w:pPr>
            <w:r>
              <w:rPr>
                <w:rFonts w:ascii="仿宋_GB2312" w:hAnsi="仿宋_GB2312" w:cs="仿宋_GB2312" w:eastAsia="仿宋_GB2312"/>
                <w:sz w:val="21"/>
              </w:rPr>
              <w:t>4.2呼叫端设备安装</w:t>
            </w:r>
            <w:r>
              <w:rPr>
                <w:rFonts w:ascii="仿宋_GB2312" w:hAnsi="仿宋_GB2312" w:cs="仿宋_GB2312" w:eastAsia="仿宋_GB2312"/>
                <w:sz w:val="21"/>
              </w:rPr>
              <w:t>要求</w:t>
            </w:r>
          </w:p>
          <w:p>
            <w:pPr>
              <w:pStyle w:val="null3"/>
              <w:ind w:firstLine="420"/>
              <w:jc w:val="both"/>
            </w:pPr>
            <w:r>
              <w:rPr>
                <w:rFonts w:ascii="仿宋_GB2312" w:hAnsi="仿宋_GB2312" w:cs="仿宋_GB2312" w:eastAsia="仿宋_GB2312"/>
                <w:sz w:val="21"/>
              </w:rPr>
              <w:t>呼叫端安装应符合下列规定：</w:t>
            </w:r>
          </w:p>
          <w:p>
            <w:pPr>
              <w:pStyle w:val="null3"/>
              <w:ind w:firstLine="420"/>
              <w:jc w:val="both"/>
            </w:pPr>
            <w:r>
              <w:rPr>
                <w:rFonts w:ascii="仿宋_GB2312" w:hAnsi="仿宋_GB2312" w:cs="仿宋_GB2312" w:eastAsia="仿宋_GB2312"/>
                <w:sz w:val="21"/>
              </w:rPr>
              <w:t>1、应在设备附近张贴使用须知，并对防汛责任人进行使用培训；</w:t>
            </w:r>
          </w:p>
          <w:p>
            <w:pPr>
              <w:pStyle w:val="null3"/>
              <w:ind w:firstLine="420"/>
              <w:jc w:val="both"/>
            </w:pPr>
            <w:r>
              <w:rPr>
                <w:rFonts w:ascii="仿宋_GB2312" w:hAnsi="仿宋_GB2312" w:cs="仿宋_GB2312" w:eastAsia="仿宋_GB2312"/>
                <w:sz w:val="21"/>
              </w:rPr>
              <w:t>2、应选择便于取电的位置进行安装，确保呼叫端供电；</w:t>
            </w:r>
          </w:p>
          <w:p>
            <w:pPr>
              <w:pStyle w:val="null3"/>
              <w:ind w:firstLine="420"/>
              <w:jc w:val="both"/>
            </w:pPr>
            <w:r>
              <w:rPr>
                <w:rFonts w:ascii="仿宋_GB2312" w:hAnsi="仿宋_GB2312" w:cs="仿宋_GB2312" w:eastAsia="仿宋_GB2312"/>
                <w:sz w:val="21"/>
              </w:rPr>
              <w:t>3、应选择网络信号较好的位置安装，确保通信正常。</w:t>
            </w:r>
          </w:p>
          <w:p>
            <w:pPr>
              <w:pStyle w:val="null3"/>
              <w:ind w:firstLine="420"/>
              <w:jc w:val="both"/>
            </w:pPr>
            <w:r>
              <w:rPr>
                <w:rFonts w:ascii="仿宋_GB2312" w:hAnsi="仿宋_GB2312" w:cs="仿宋_GB2312" w:eastAsia="仿宋_GB2312"/>
                <w:sz w:val="21"/>
              </w:rPr>
              <w:t>4.3设备组网要求</w:t>
            </w:r>
          </w:p>
          <w:p>
            <w:pPr>
              <w:pStyle w:val="null3"/>
              <w:ind w:firstLine="420"/>
              <w:jc w:val="both"/>
            </w:pPr>
            <w:r>
              <w:rPr>
                <w:rFonts w:ascii="仿宋_GB2312" w:hAnsi="仿宋_GB2312" w:cs="仿宋_GB2312" w:eastAsia="仿宋_GB2312"/>
                <w:sz w:val="21"/>
              </w:rPr>
              <w:t>新型入户型报警叫应设备的呼叫端与接收端需实现基于公网和自组网通信，设备安装部署后及运行维护期间需保持设备间组网状态，以支持在常规条件下以及在</w:t>
            </w:r>
            <w:r>
              <w:rPr>
                <w:rFonts w:ascii="仿宋_GB2312" w:hAnsi="仿宋_GB2312" w:cs="仿宋_GB2312" w:eastAsia="仿宋_GB2312"/>
                <w:sz w:val="21"/>
              </w:rPr>
              <w:t>“三断”条件下的自组网安装方式。</w:t>
            </w:r>
          </w:p>
          <w:p>
            <w:pPr>
              <w:pStyle w:val="null3"/>
              <w:ind w:firstLine="420"/>
              <w:jc w:val="both"/>
            </w:pPr>
            <w:r>
              <w:rPr>
                <w:rFonts w:ascii="仿宋_GB2312" w:hAnsi="仿宋_GB2312" w:cs="仿宋_GB2312" w:eastAsia="仿宋_GB2312"/>
                <w:sz w:val="21"/>
              </w:rPr>
              <w:t>4.4设备运维要求</w:t>
            </w:r>
          </w:p>
          <w:p>
            <w:pPr>
              <w:pStyle w:val="null3"/>
            </w:pPr>
            <w:r>
              <w:rPr>
                <w:rFonts w:ascii="仿宋_GB2312" w:hAnsi="仿宋_GB2312" w:cs="仿宋_GB2312" w:eastAsia="仿宋_GB2312"/>
                <w:sz w:val="21"/>
              </w:rPr>
              <w:t>定期检查设备运行状态、信号状态、组网状态及电池电量等特征指标，对于存在问题的接收端设备，在</w:t>
            </w:r>
            <w:r>
              <w:rPr>
                <w:rFonts w:ascii="仿宋_GB2312" w:hAnsi="仿宋_GB2312" w:cs="仿宋_GB2312" w:eastAsia="仿宋_GB2312"/>
                <w:sz w:val="21"/>
              </w:rPr>
              <w:t>24小时内完成设备维护或更换，确保接收端设备的稳定运行。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标的名称：2026年汉中.安康.宝鸡市入户预警试点建设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为针对解决山洪灾害预警的发而不达、叫而不应、备而不用的问题，构建了一套山洪灾害</w:t>
            </w:r>
            <w:r>
              <w:rPr>
                <w:rFonts w:ascii="仿宋_GB2312" w:hAnsi="仿宋_GB2312" w:cs="仿宋_GB2312" w:eastAsia="仿宋_GB2312"/>
                <w:sz w:val="21"/>
              </w:rPr>
              <w:t>“入户型叫应”预警系统，系统由叫应平台、呼叫端、接收端组成。在断网断电断路、深夜凌晨强降雨等极端情景下，村组责任人可使用呼叫端通过无线MESH自</w:t>
            </w:r>
            <w:r>
              <w:rPr>
                <w:rFonts w:ascii="仿宋_GB2312" w:hAnsi="仿宋_GB2312" w:cs="仿宋_GB2312" w:eastAsia="仿宋_GB2312"/>
                <w:sz w:val="21"/>
              </w:rPr>
              <w:t>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发布转</w:t>
            </w:r>
            <w:r>
              <w:rPr>
                <w:rFonts w:ascii="仿宋_GB2312" w:hAnsi="仿宋_GB2312" w:cs="仿宋_GB2312" w:eastAsia="仿宋_GB2312"/>
                <w:sz w:val="21"/>
              </w:rPr>
              <w:t>移撤离通知。受威胁群众通过接收端收听到上级通知后可通过一键确认的方式进行应答。</w:t>
            </w:r>
          </w:p>
          <w:p>
            <w:pPr>
              <w:pStyle w:val="null3"/>
              <w:jc w:val="both"/>
              <w:outlineLvl w:val="2"/>
            </w:pPr>
            <w:r>
              <w:rPr>
                <w:rFonts w:ascii="仿宋_GB2312" w:hAnsi="仿宋_GB2312" w:cs="仿宋_GB2312" w:eastAsia="仿宋_GB2312"/>
                <w:sz w:val="21"/>
                <w:b/>
              </w:rPr>
              <w:t>一、系统特点</w:t>
            </w:r>
          </w:p>
          <w:p>
            <w:pPr>
              <w:pStyle w:val="null3"/>
              <w:ind w:firstLine="420"/>
              <w:jc w:val="both"/>
            </w:pPr>
            <w:r>
              <w:rPr>
                <w:rFonts w:ascii="仿宋_GB2312" w:hAnsi="仿宋_GB2312" w:cs="仿宋_GB2312" w:eastAsia="仿宋_GB2312"/>
                <w:sz w:val="21"/>
              </w:rPr>
              <w:t>1、平台预警发布</w:t>
            </w:r>
          </w:p>
          <w:p>
            <w:pPr>
              <w:pStyle w:val="null3"/>
              <w:ind w:firstLine="420"/>
              <w:jc w:val="both"/>
            </w:pPr>
            <w:r>
              <w:rPr>
                <w:rFonts w:ascii="仿宋_GB2312" w:hAnsi="仿宋_GB2312" w:cs="仿宋_GB2312" w:eastAsia="仿宋_GB2312"/>
                <w:sz w:val="21"/>
              </w:rPr>
              <w:t>支持临近预报预警和实时监测预警向危险区群众直接发布，呼叫端接收到平台预警后，可快速转发至接收端通知到户。</w:t>
            </w:r>
          </w:p>
          <w:p>
            <w:pPr>
              <w:pStyle w:val="null3"/>
              <w:ind w:firstLine="420"/>
              <w:jc w:val="both"/>
            </w:pPr>
            <w:r>
              <w:rPr>
                <w:rFonts w:ascii="仿宋_GB2312" w:hAnsi="仿宋_GB2312" w:cs="仿宋_GB2312" w:eastAsia="仿宋_GB2312"/>
                <w:sz w:val="21"/>
              </w:rPr>
              <w:t>2、现地预警发布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1）现地定点预警发布</w:t>
            </w:r>
          </w:p>
          <w:p>
            <w:pPr>
              <w:pStyle w:val="null3"/>
              <w:ind w:firstLine="420"/>
              <w:jc w:val="both"/>
            </w:pPr>
            <w:r>
              <w:rPr>
                <w:rFonts w:ascii="仿宋_GB2312" w:hAnsi="仿宋_GB2312" w:cs="仿宋_GB2312" w:eastAsia="仿宋_GB2312"/>
                <w:sz w:val="21"/>
              </w:rPr>
              <w:t>村组责任人可对单个对象发布预警信息。在突发事件或灾害发生时，值班人员可以通过定点预警功能迅速与关键人员建立联系，发布预警信息。值班员在呼叫端操作界面，选择需要预警的单个对象，发布相应预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2）现地广播预警发布</w:t>
            </w:r>
          </w:p>
          <w:p>
            <w:pPr>
              <w:pStyle w:val="null3"/>
              <w:ind w:firstLine="420"/>
              <w:jc w:val="both"/>
            </w:pPr>
            <w:r>
              <w:rPr>
                <w:rFonts w:ascii="仿宋_GB2312" w:hAnsi="仿宋_GB2312" w:cs="仿宋_GB2312" w:eastAsia="仿宋_GB2312"/>
                <w:sz w:val="21"/>
              </w:rPr>
              <w:t>村组责任人通过呼叫端的预警呼叫按键操作，即可迅速启动应急响应流程，将相关预警信息和指令快速传递给系统中关联的全部用户。该功能具有快速性、高效性、便捷性和准确性等特点，能够在突发事件发生时迅速启动应急响应机制，减少人员伤亡和财产损失。</w:t>
            </w:r>
          </w:p>
          <w:p>
            <w:pPr>
              <w:pStyle w:val="null3"/>
              <w:ind w:firstLine="420"/>
              <w:jc w:val="both"/>
            </w:pPr>
            <w:r>
              <w:rPr>
                <w:rFonts w:ascii="仿宋_GB2312" w:hAnsi="仿宋_GB2312" w:cs="仿宋_GB2312" w:eastAsia="仿宋_GB2312"/>
                <w:sz w:val="21"/>
              </w:rPr>
              <w:t>3、快速预警响应</w:t>
            </w:r>
          </w:p>
          <w:p>
            <w:pPr>
              <w:pStyle w:val="null3"/>
              <w:ind w:firstLine="420"/>
              <w:jc w:val="both"/>
            </w:pPr>
            <w:r>
              <w:rPr>
                <w:rFonts w:ascii="仿宋_GB2312" w:hAnsi="仿宋_GB2312" w:cs="仿宋_GB2312" w:eastAsia="仿宋_GB2312"/>
                <w:sz w:val="21"/>
              </w:rPr>
              <w:t>受威胁群众收到接收端的声光预警信号后，可通过按键确认收到预警信息并采取避险转移措施。按键确认后即判断为受威胁群众完成预警响应，呼叫端将应答状态上传到平台，形成预警发布叫应的闭环。</w:t>
            </w:r>
          </w:p>
          <w:p>
            <w:pPr>
              <w:pStyle w:val="null3"/>
              <w:ind w:firstLine="420"/>
              <w:jc w:val="both"/>
            </w:pPr>
            <w:r>
              <w:rPr>
                <w:rFonts w:ascii="仿宋_GB2312" w:hAnsi="仿宋_GB2312" w:cs="仿宋_GB2312" w:eastAsia="仿宋_GB2312"/>
                <w:sz w:val="21"/>
              </w:rPr>
              <w:t>4、预警状态反馈</w:t>
            </w:r>
          </w:p>
          <w:p>
            <w:pPr>
              <w:pStyle w:val="null3"/>
              <w:ind w:firstLine="420"/>
              <w:jc w:val="both"/>
            </w:pPr>
            <w:r>
              <w:rPr>
                <w:rFonts w:ascii="仿宋_GB2312" w:hAnsi="仿宋_GB2312" w:cs="仿宋_GB2312" w:eastAsia="仿宋_GB2312"/>
                <w:sz w:val="21"/>
              </w:rPr>
              <w:t>值班人员可以通过平台软件、呼叫端随时了解到接收端的在线状态，对于离线设备通知恢复在线，保证汛期预警能有效发布。在有预警发布时，能清晰地知道哪些呼叫端已经发出预警，哪些接收端已经确认收到预警。</w:t>
            </w:r>
          </w:p>
          <w:p>
            <w:pPr>
              <w:pStyle w:val="null3"/>
              <w:ind w:firstLine="420"/>
              <w:jc w:val="both"/>
            </w:pPr>
            <w:r>
              <w:rPr>
                <w:rFonts w:ascii="仿宋_GB2312" w:hAnsi="仿宋_GB2312" w:cs="仿宋_GB2312" w:eastAsia="仿宋_GB2312"/>
                <w:sz w:val="21"/>
              </w:rPr>
              <w:t>5、预警记录留痕</w:t>
            </w:r>
          </w:p>
          <w:p>
            <w:pPr>
              <w:pStyle w:val="null3"/>
              <w:ind w:firstLine="420"/>
              <w:jc w:val="both"/>
            </w:pPr>
            <w:r>
              <w:rPr>
                <w:rFonts w:ascii="仿宋_GB2312" w:hAnsi="仿宋_GB2312" w:cs="仿宋_GB2312" w:eastAsia="仿宋_GB2312"/>
                <w:sz w:val="21"/>
              </w:rPr>
              <w:t>预警记录是对每一次预警操作进行详细记录的过程。包含预警发布时间、预警信息、叫应状态信息等。既能协助指挥人员分析决策，也为事后复盘分析提供依据。</w:t>
            </w:r>
          </w:p>
          <w:p>
            <w:pPr>
              <w:pStyle w:val="null3"/>
              <w:jc w:val="both"/>
              <w:outlineLvl w:val="2"/>
            </w:pPr>
            <w:r>
              <w:rPr>
                <w:rFonts w:ascii="仿宋_GB2312" w:hAnsi="仿宋_GB2312" w:cs="仿宋_GB2312" w:eastAsia="仿宋_GB2312"/>
                <w:sz w:val="21"/>
                <w:b/>
              </w:rPr>
              <w:t>二、布设范围</w:t>
            </w:r>
          </w:p>
          <w:p>
            <w:pPr>
              <w:pStyle w:val="null3"/>
              <w:ind w:firstLine="420"/>
              <w:jc w:val="both"/>
            </w:pPr>
            <w:r>
              <w:rPr>
                <w:rFonts w:ascii="仿宋_GB2312" w:hAnsi="仿宋_GB2312" w:cs="仿宋_GB2312" w:eastAsia="仿宋_GB2312"/>
                <w:sz w:val="21"/>
              </w:rPr>
              <w:t>目前，</w:t>
            </w:r>
            <w:r>
              <w:rPr>
                <w:rFonts w:ascii="仿宋_GB2312" w:hAnsi="仿宋_GB2312" w:cs="仿宋_GB2312" w:eastAsia="仿宋_GB2312"/>
                <w:sz w:val="21"/>
              </w:rPr>
              <w:t>汉中、安康、宝鸡三市共有</w:t>
            </w:r>
            <w:r>
              <w:rPr>
                <w:rFonts w:ascii="仿宋_GB2312" w:hAnsi="仿宋_GB2312" w:cs="仿宋_GB2312" w:eastAsia="仿宋_GB2312"/>
                <w:sz w:val="21"/>
              </w:rPr>
              <w:t>山洪灾害</w:t>
            </w:r>
            <w:r>
              <w:rPr>
                <w:rFonts w:ascii="仿宋_GB2312" w:hAnsi="仿宋_GB2312" w:cs="仿宋_GB2312" w:eastAsia="仿宋_GB2312"/>
                <w:sz w:val="21"/>
              </w:rPr>
              <w:t>极高危险区</w:t>
            </w:r>
            <w:r>
              <w:rPr>
                <w:rFonts w:ascii="仿宋_GB2312" w:hAnsi="仿宋_GB2312" w:cs="仿宋_GB2312" w:eastAsia="仿宋_GB2312"/>
                <w:sz w:val="21"/>
              </w:rPr>
              <w:t>118个，</w:t>
            </w:r>
            <w:r>
              <w:rPr>
                <w:rFonts w:ascii="仿宋_GB2312" w:hAnsi="仿宋_GB2312" w:cs="仿宋_GB2312" w:eastAsia="仿宋_GB2312"/>
                <w:sz w:val="21"/>
              </w:rPr>
              <w:t>高危险区586个。</w:t>
            </w:r>
            <w:r>
              <w:rPr>
                <w:rFonts w:ascii="仿宋_GB2312" w:hAnsi="仿宋_GB2312" w:cs="仿宋_GB2312" w:eastAsia="仿宋_GB2312"/>
                <w:sz w:val="21"/>
              </w:rPr>
              <w:t>2026年我省在极高、高风险区配备不依赖公共通信网络的新型入户报警叫应设备，完善断网断电断路、深夜凌晨强降雨等极端情景下预警“叫应”措施。按照每个危险区布设1个防汛呼叫器、10个报警应答器的方式</w:t>
            </w:r>
            <w:r>
              <w:rPr>
                <w:rFonts w:ascii="仿宋_GB2312" w:hAnsi="仿宋_GB2312" w:cs="仿宋_GB2312" w:eastAsia="仿宋_GB2312"/>
                <w:sz w:val="21"/>
              </w:rPr>
              <w:t>（在同一个行政村存在部分危险区户数不足</w:t>
            </w:r>
            <w:r>
              <w:rPr>
                <w:rFonts w:ascii="仿宋_GB2312" w:hAnsi="仿宋_GB2312" w:cs="仿宋_GB2312" w:eastAsia="仿宋_GB2312"/>
                <w:sz w:val="21"/>
              </w:rPr>
              <w:t>10户或者部分超出10户情形时，可在多个危险区之间共用接收端设备）</w:t>
            </w:r>
            <w:r>
              <w:rPr>
                <w:rFonts w:ascii="仿宋_GB2312" w:hAnsi="仿宋_GB2312" w:cs="仿宋_GB2312" w:eastAsia="仿宋_GB2312"/>
                <w:sz w:val="21"/>
              </w:rPr>
              <w:t>，</w:t>
            </w:r>
            <w:r>
              <w:rPr>
                <w:rFonts w:ascii="仿宋_GB2312" w:hAnsi="仿宋_GB2312" w:cs="仿宋_GB2312" w:eastAsia="仿宋_GB2312"/>
                <w:sz w:val="21"/>
              </w:rPr>
              <w:t>为汉中、安康、宝鸡三市</w:t>
            </w:r>
            <w:r>
              <w:rPr>
                <w:rFonts w:ascii="仿宋_GB2312" w:hAnsi="仿宋_GB2312" w:cs="仿宋_GB2312" w:eastAsia="仿宋_GB2312"/>
                <w:sz w:val="21"/>
              </w:rPr>
              <w:t>704个极高、高风险区配备新型入户报警叫应设备。</w:t>
            </w:r>
          </w:p>
          <w:p>
            <w:pPr>
              <w:pStyle w:val="null3"/>
              <w:jc w:val="center"/>
              <w:outlineLvl w:val="2"/>
            </w:pPr>
            <w:r>
              <w:rPr>
                <w:rFonts w:ascii="仿宋_GB2312" w:hAnsi="仿宋_GB2312" w:cs="仿宋_GB2312" w:eastAsia="仿宋_GB2312"/>
                <w:sz w:val="21"/>
                <w:b/>
              </w:rPr>
              <w:t>本采购包工程量清单</w:t>
            </w:r>
          </w:p>
          <w:tbl>
            <w:tblPr>
              <w:tblBorders>
                <w:top w:val="none" w:color="000000" w:sz="4"/>
                <w:left w:val="none" w:color="000000" w:sz="4"/>
                <w:bottom w:val="none" w:color="000000" w:sz="4"/>
                <w:right w:val="none" w:color="000000" w:sz="4"/>
                <w:insideH w:val="none"/>
                <w:insideV w:val="none"/>
              </w:tblBorders>
            </w:tblPr>
            <w:tblGrid>
              <w:gridCol w:w="292"/>
              <w:gridCol w:w="1404"/>
              <w:gridCol w:w="418"/>
              <w:gridCol w:w="439"/>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建设内容</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汉中市入户预警试点建设</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2220</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安康市入户预警试点建设</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1850</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宝鸡市入户预警试点建设</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2970</w:t>
                  </w:r>
                </w:p>
              </w:tc>
            </w:tr>
          </w:tbl>
          <w:p>
            <w:pPr>
              <w:pStyle w:val="null3"/>
              <w:ind w:firstLine="480"/>
              <w:jc w:val="both"/>
              <w:outlineLvl w:val="2"/>
            </w:pPr>
            <w:r>
              <w:rPr>
                <w:rFonts w:ascii="仿宋_GB2312" w:hAnsi="仿宋_GB2312" w:cs="仿宋_GB2312" w:eastAsia="仿宋_GB2312"/>
                <w:sz w:val="21"/>
                <w:b/>
              </w:rPr>
              <w:t>三、主要设备功能参数</w:t>
            </w:r>
          </w:p>
          <w:p>
            <w:pPr>
              <w:pStyle w:val="null3"/>
              <w:ind w:firstLine="420"/>
              <w:jc w:val="both"/>
            </w:pPr>
            <w:r>
              <w:rPr>
                <w:rFonts w:ascii="仿宋_GB2312" w:hAnsi="仿宋_GB2312" w:cs="仿宋_GB2312" w:eastAsia="仿宋_GB2312"/>
                <w:sz w:val="21"/>
              </w:rPr>
              <w:t>3.1呼叫端</w:t>
            </w:r>
          </w:p>
          <w:p>
            <w:pPr>
              <w:pStyle w:val="null3"/>
              <w:ind w:firstLine="420"/>
              <w:jc w:val="both"/>
            </w:pPr>
            <w:r>
              <w:rPr>
                <w:rFonts w:ascii="仿宋_GB2312" w:hAnsi="仿宋_GB2312" w:cs="仿宋_GB2312" w:eastAsia="仿宋_GB2312"/>
                <w:sz w:val="21"/>
              </w:rPr>
              <w:t>1、主要功能</w:t>
            </w:r>
          </w:p>
          <w:p>
            <w:pPr>
              <w:pStyle w:val="null3"/>
              <w:numPr>
                <w:ilvl w:val="0"/>
                <w:numId w:val="1"/>
              </w:numPr>
              <w:jc w:val="both"/>
            </w:pPr>
            <w:r>
              <w:rPr>
                <w:rFonts w:ascii="仿宋_GB2312" w:hAnsi="仿宋_GB2312" w:cs="仿宋_GB2312" w:eastAsia="仿宋_GB2312"/>
                <w:sz w:val="21"/>
              </w:rPr>
              <w:t>语音呼叫：具有单向对接收端发布语音提醒的功能；</w:t>
            </w:r>
          </w:p>
          <w:p>
            <w:pPr>
              <w:pStyle w:val="null3"/>
              <w:numPr>
                <w:ilvl w:val="0"/>
                <w:numId w:val="1"/>
              </w:numPr>
              <w:jc w:val="both"/>
            </w:pPr>
            <w:r>
              <w:rPr>
                <w:rFonts w:ascii="仿宋_GB2312" w:hAnsi="仿宋_GB2312" w:cs="仿宋_GB2312" w:eastAsia="仿宋_GB2312"/>
                <w:sz w:val="21"/>
              </w:rPr>
              <w:t>定点预警：可对单个对象发布预警；</w:t>
            </w:r>
          </w:p>
          <w:p>
            <w:pPr>
              <w:pStyle w:val="null3"/>
              <w:numPr>
                <w:ilvl w:val="0"/>
                <w:numId w:val="1"/>
              </w:numPr>
              <w:jc w:val="both"/>
            </w:pPr>
            <w:r>
              <w:rPr>
                <w:rFonts w:ascii="仿宋_GB2312" w:hAnsi="仿宋_GB2312" w:cs="仿宋_GB2312" w:eastAsia="仿宋_GB2312"/>
                <w:sz w:val="21"/>
              </w:rPr>
              <w:t>广播预警：可对组网内所有成员发布预警；</w:t>
            </w:r>
          </w:p>
          <w:p>
            <w:pPr>
              <w:pStyle w:val="null3"/>
              <w:numPr>
                <w:ilvl w:val="0"/>
                <w:numId w:val="1"/>
              </w:numPr>
              <w:jc w:val="both"/>
            </w:pPr>
            <w:r>
              <w:rPr>
                <w:rFonts w:ascii="仿宋_GB2312" w:hAnsi="仿宋_GB2312" w:cs="仿宋_GB2312" w:eastAsia="仿宋_GB2312"/>
                <w:sz w:val="21"/>
              </w:rPr>
              <w:t>预警记录：对每一次预警操作记录预警时间、预警信息、设备状态信息；</w:t>
            </w:r>
          </w:p>
          <w:p>
            <w:pPr>
              <w:pStyle w:val="null3"/>
              <w:numPr>
                <w:ilvl w:val="0"/>
                <w:numId w:val="1"/>
              </w:numPr>
              <w:jc w:val="both"/>
            </w:pPr>
            <w:r>
              <w:rPr>
                <w:rFonts w:ascii="仿宋_GB2312" w:hAnsi="仿宋_GB2312" w:cs="仿宋_GB2312" w:eastAsia="仿宋_GB2312"/>
                <w:sz w:val="21"/>
              </w:rPr>
              <w:t>终端管理：可展示所接入接收端的在线、离线状态；</w:t>
            </w:r>
          </w:p>
          <w:p>
            <w:pPr>
              <w:pStyle w:val="null3"/>
              <w:numPr>
                <w:ilvl w:val="0"/>
                <w:numId w:val="1"/>
              </w:numPr>
              <w:jc w:val="both"/>
            </w:pPr>
            <w:r>
              <w:rPr>
                <w:rFonts w:ascii="仿宋_GB2312" w:hAnsi="仿宋_GB2312" w:cs="仿宋_GB2312" w:eastAsia="仿宋_GB2312"/>
                <w:sz w:val="21"/>
              </w:rPr>
              <w:t>权限控制：具有预警发布权限控制，可按需发送预警；</w:t>
            </w:r>
          </w:p>
          <w:p>
            <w:pPr>
              <w:pStyle w:val="null3"/>
              <w:numPr>
                <w:ilvl w:val="0"/>
                <w:numId w:val="1"/>
              </w:numPr>
              <w:jc w:val="both"/>
            </w:pPr>
            <w:r>
              <w:rPr>
                <w:rFonts w:ascii="仿宋_GB2312" w:hAnsi="仿宋_GB2312" w:cs="仿宋_GB2312" w:eastAsia="仿宋_GB2312"/>
                <w:sz w:val="21"/>
              </w:rPr>
              <w:t>备用电源：内置可充电备用电池，停电后可无缝切换。</w:t>
            </w:r>
          </w:p>
          <w:p>
            <w:pPr>
              <w:pStyle w:val="null3"/>
              <w:ind w:firstLine="420"/>
              <w:jc w:val="both"/>
            </w:pPr>
            <w:r>
              <w:rPr>
                <w:rFonts w:ascii="仿宋_GB2312" w:hAnsi="仿宋_GB2312" w:cs="仿宋_GB2312" w:eastAsia="仿宋_GB2312"/>
                <w:sz w:val="21"/>
              </w:rPr>
              <w:t>2、技术参数</w:t>
            </w:r>
          </w:p>
          <w:p>
            <w:pPr>
              <w:pStyle w:val="null3"/>
              <w:numPr>
                <w:ilvl w:val="0"/>
                <w:numId w:val="1"/>
              </w:numPr>
              <w:jc w:val="both"/>
            </w:pPr>
            <w:r>
              <w:rPr>
                <w:rFonts w:ascii="仿宋_GB2312" w:hAnsi="仿宋_GB2312" w:cs="仿宋_GB2312" w:eastAsia="仿宋_GB2312"/>
                <w:sz w:val="21"/>
              </w:rPr>
              <w:t>外接电源：</w:t>
            </w:r>
            <w:r>
              <w:rPr>
                <w:rFonts w:ascii="仿宋_GB2312" w:hAnsi="仿宋_GB2312" w:cs="仿宋_GB2312" w:eastAsia="仿宋_GB2312"/>
                <w:sz w:val="21"/>
              </w:rPr>
              <w:t>DC5V/2A或其他；</w:t>
            </w:r>
          </w:p>
          <w:p>
            <w:pPr>
              <w:pStyle w:val="null3"/>
              <w:numPr>
                <w:ilvl w:val="0"/>
                <w:numId w:val="1"/>
              </w:numPr>
              <w:jc w:val="both"/>
            </w:pPr>
            <w:r>
              <w:rPr>
                <w:rFonts w:ascii="仿宋_GB2312" w:hAnsi="仿宋_GB2312" w:cs="仿宋_GB2312" w:eastAsia="仿宋_GB2312"/>
                <w:sz w:val="21"/>
              </w:rPr>
              <w:t>公网通信：最低支持</w:t>
            </w:r>
            <w:r>
              <w:rPr>
                <w:rFonts w:ascii="仿宋_GB2312" w:hAnsi="仿宋_GB2312" w:cs="仿宋_GB2312" w:eastAsia="仿宋_GB2312"/>
                <w:sz w:val="21"/>
              </w:rPr>
              <w:t>4G全网通；</w:t>
            </w:r>
          </w:p>
          <w:p>
            <w:pPr>
              <w:pStyle w:val="null3"/>
              <w:numPr>
                <w:ilvl w:val="0"/>
                <w:numId w:val="1"/>
              </w:numPr>
              <w:jc w:val="both"/>
            </w:pPr>
            <w:r>
              <w:rPr>
                <w:rFonts w:ascii="仿宋_GB2312" w:hAnsi="仿宋_GB2312" w:cs="仿宋_GB2312" w:eastAsia="仿宋_GB2312"/>
                <w:sz w:val="21"/>
              </w:rPr>
              <w:t>应急通信：支持近地无线</w:t>
            </w:r>
            <w:r>
              <w:rPr>
                <w:rFonts w:ascii="仿宋_GB2312" w:hAnsi="仿宋_GB2312" w:cs="仿宋_GB2312" w:eastAsia="仿宋_GB2312"/>
                <w:sz w:val="21"/>
              </w:rPr>
              <w:t>MESH自组网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扬声器功率：</w:t>
            </w:r>
            <w:r>
              <w:rPr>
                <w:rFonts w:ascii="仿宋_GB2312" w:hAnsi="仿宋_GB2312" w:cs="仿宋_GB2312" w:eastAsia="仿宋_GB2312"/>
                <w:sz w:val="21"/>
              </w:rPr>
              <w:t>≥2W；</w:t>
            </w:r>
          </w:p>
          <w:p>
            <w:pPr>
              <w:pStyle w:val="null3"/>
              <w:numPr>
                <w:ilvl w:val="0"/>
                <w:numId w:val="1"/>
              </w:numPr>
              <w:jc w:val="both"/>
            </w:pPr>
            <w:r>
              <w:rPr>
                <w:rFonts w:ascii="仿宋_GB2312" w:hAnsi="仿宋_GB2312" w:cs="仿宋_GB2312" w:eastAsia="仿宋_GB2312"/>
                <w:sz w:val="21"/>
              </w:rPr>
              <w:t>内置电池：容量不小于</w:t>
            </w:r>
            <w:r>
              <w:rPr>
                <w:rFonts w:ascii="仿宋_GB2312" w:hAnsi="仿宋_GB2312" w:cs="仿宋_GB2312" w:eastAsia="仿宋_GB2312"/>
                <w:sz w:val="21"/>
              </w:rPr>
              <w:t>2000mAh.</w:t>
            </w:r>
          </w:p>
          <w:p>
            <w:pPr>
              <w:pStyle w:val="null3"/>
              <w:numPr>
                <w:ilvl w:val="0"/>
                <w:numId w:val="1"/>
              </w:numPr>
              <w:jc w:val="both"/>
            </w:pPr>
            <w:r>
              <w:rPr>
                <w:rFonts w:ascii="仿宋_GB2312" w:hAnsi="仿宋_GB2312" w:cs="仿宋_GB2312" w:eastAsia="仿宋_GB2312"/>
                <w:sz w:val="21"/>
              </w:rPr>
              <w:t>工作温度：</w:t>
            </w:r>
            <w:r>
              <w:rPr>
                <w:rFonts w:ascii="仿宋_GB2312" w:hAnsi="仿宋_GB2312" w:cs="仿宋_GB2312" w:eastAsia="仿宋_GB2312"/>
                <w:sz w:val="21"/>
              </w:rPr>
              <w:t>0~45℃；</w:t>
            </w:r>
          </w:p>
          <w:p>
            <w:pPr>
              <w:pStyle w:val="null3"/>
              <w:numPr>
                <w:ilvl w:val="0"/>
                <w:numId w:val="1"/>
              </w:numPr>
              <w:jc w:val="both"/>
            </w:pPr>
            <w:r>
              <w:rPr>
                <w:rFonts w:ascii="仿宋_GB2312" w:hAnsi="仿宋_GB2312" w:cs="仿宋_GB2312" w:eastAsia="仿宋_GB2312"/>
                <w:sz w:val="21"/>
              </w:rPr>
              <w:t>存储温度：</w:t>
            </w:r>
            <w:r>
              <w:rPr>
                <w:rFonts w:ascii="仿宋_GB2312" w:hAnsi="仿宋_GB2312" w:cs="仿宋_GB2312" w:eastAsia="仿宋_GB2312"/>
                <w:sz w:val="21"/>
              </w:rPr>
              <w:t>-20~60℃；</w:t>
            </w:r>
          </w:p>
          <w:p>
            <w:pPr>
              <w:pStyle w:val="null3"/>
              <w:numPr>
                <w:ilvl w:val="0"/>
                <w:numId w:val="1"/>
              </w:numPr>
              <w:jc w:val="both"/>
            </w:pPr>
            <w:r>
              <w:rPr>
                <w:rFonts w:ascii="仿宋_GB2312" w:hAnsi="仿宋_GB2312" w:cs="仿宋_GB2312" w:eastAsia="仿宋_GB2312"/>
                <w:sz w:val="21"/>
              </w:rPr>
              <w:t>质保年限：三年。</w:t>
            </w:r>
          </w:p>
          <w:p>
            <w:pPr>
              <w:pStyle w:val="null3"/>
              <w:ind w:firstLine="420"/>
              <w:jc w:val="both"/>
            </w:pPr>
            <w:r>
              <w:rPr>
                <w:rFonts w:ascii="仿宋_GB2312" w:hAnsi="仿宋_GB2312" w:cs="仿宋_GB2312" w:eastAsia="仿宋_GB2312"/>
                <w:sz w:val="21"/>
              </w:rPr>
              <w:t>3.2接收端</w:t>
            </w:r>
          </w:p>
          <w:p>
            <w:pPr>
              <w:pStyle w:val="null3"/>
              <w:ind w:firstLine="420"/>
              <w:jc w:val="both"/>
            </w:pPr>
            <w:r>
              <w:rPr>
                <w:rFonts w:ascii="仿宋_GB2312" w:hAnsi="仿宋_GB2312" w:cs="仿宋_GB2312" w:eastAsia="仿宋_GB2312"/>
                <w:sz w:val="21"/>
              </w:rPr>
              <w:t>1、主要功能</w:t>
            </w:r>
          </w:p>
          <w:p>
            <w:pPr>
              <w:pStyle w:val="null3"/>
              <w:numPr>
                <w:ilvl w:val="0"/>
                <w:numId w:val="1"/>
              </w:numPr>
              <w:jc w:val="both"/>
            </w:pPr>
            <w:r>
              <w:rPr>
                <w:rFonts w:ascii="仿宋_GB2312" w:hAnsi="仿宋_GB2312" w:cs="仿宋_GB2312" w:eastAsia="仿宋_GB2312"/>
                <w:sz w:val="21"/>
              </w:rPr>
              <w:t>外观形式：采用群众欢迎的形态，与日常生活相结合；</w:t>
            </w:r>
          </w:p>
          <w:p>
            <w:pPr>
              <w:pStyle w:val="null3"/>
              <w:numPr>
                <w:ilvl w:val="0"/>
                <w:numId w:val="1"/>
              </w:numPr>
              <w:jc w:val="both"/>
            </w:pPr>
            <w:r>
              <w:rPr>
                <w:rFonts w:ascii="仿宋_GB2312" w:hAnsi="仿宋_GB2312" w:cs="仿宋_GB2312" w:eastAsia="仿宋_GB2312"/>
                <w:sz w:val="21"/>
              </w:rPr>
              <w:t>声光报警：内置扬声器和报警指示灯，支持语音、警笛、闪光报警等；</w:t>
            </w:r>
          </w:p>
          <w:p>
            <w:pPr>
              <w:pStyle w:val="null3"/>
              <w:numPr>
                <w:ilvl w:val="0"/>
                <w:numId w:val="1"/>
              </w:numPr>
              <w:jc w:val="both"/>
            </w:pPr>
            <w:r>
              <w:rPr>
                <w:rFonts w:ascii="仿宋_GB2312" w:hAnsi="仿宋_GB2312" w:cs="仿宋_GB2312" w:eastAsia="仿宋_GB2312"/>
                <w:sz w:val="21"/>
              </w:rPr>
              <w:t>一键应答：具有报警、消警反馈叫应机制，支持一键报警确认和误报消除；</w:t>
            </w:r>
          </w:p>
          <w:p>
            <w:pPr>
              <w:pStyle w:val="null3"/>
              <w:numPr>
                <w:ilvl w:val="0"/>
                <w:numId w:val="1"/>
              </w:numPr>
              <w:jc w:val="both"/>
            </w:pPr>
            <w:r>
              <w:rPr>
                <w:rFonts w:ascii="仿宋_GB2312" w:hAnsi="仿宋_GB2312" w:cs="仿宋_GB2312" w:eastAsia="仿宋_GB2312"/>
                <w:sz w:val="21"/>
              </w:rPr>
              <w:t>紧急报警：支持接收呼叫端的紧急报警指令；</w:t>
            </w:r>
          </w:p>
          <w:p>
            <w:pPr>
              <w:pStyle w:val="null3"/>
              <w:numPr>
                <w:ilvl w:val="0"/>
                <w:numId w:val="1"/>
              </w:numPr>
              <w:jc w:val="both"/>
            </w:pPr>
            <w:r>
              <w:rPr>
                <w:rFonts w:ascii="仿宋_GB2312" w:hAnsi="仿宋_GB2312" w:cs="仿宋_GB2312" w:eastAsia="仿宋_GB2312"/>
                <w:sz w:val="21"/>
              </w:rPr>
              <w:t>备用电源：内置可充电备用电池，停电后可无缝切换。</w:t>
            </w:r>
          </w:p>
          <w:p>
            <w:pPr>
              <w:pStyle w:val="null3"/>
              <w:numPr>
                <w:ilvl w:val="0"/>
                <w:numId w:val="1"/>
              </w:numPr>
              <w:jc w:val="both"/>
            </w:pPr>
            <w:r>
              <w:rPr>
                <w:rFonts w:ascii="仿宋_GB2312" w:hAnsi="仿宋_GB2312" w:cs="仿宋_GB2312" w:eastAsia="仿宋_GB2312"/>
                <w:sz w:val="21"/>
              </w:rPr>
              <w:t>状态指示：具有报警灯闪光指示；</w:t>
            </w:r>
          </w:p>
          <w:p>
            <w:pPr>
              <w:pStyle w:val="null3"/>
              <w:numPr>
                <w:ilvl w:val="0"/>
                <w:numId w:val="1"/>
              </w:numPr>
              <w:jc w:val="both"/>
            </w:pPr>
            <w:r>
              <w:rPr>
                <w:rFonts w:ascii="仿宋_GB2312" w:hAnsi="仿宋_GB2312" w:cs="仿宋_GB2312" w:eastAsia="仿宋_GB2312"/>
                <w:sz w:val="21"/>
              </w:rPr>
              <w:t>安装方式：支持壁挂式、桌面式等多种安装方式。</w:t>
            </w:r>
          </w:p>
          <w:p>
            <w:pPr>
              <w:pStyle w:val="null3"/>
              <w:ind w:firstLine="420"/>
              <w:jc w:val="both"/>
            </w:pPr>
            <w:r>
              <w:rPr>
                <w:rFonts w:ascii="仿宋_GB2312" w:hAnsi="仿宋_GB2312" w:cs="仿宋_GB2312" w:eastAsia="仿宋_GB2312"/>
                <w:sz w:val="21"/>
              </w:rPr>
              <w:t>2、技术参数</w:t>
            </w:r>
          </w:p>
          <w:p>
            <w:pPr>
              <w:pStyle w:val="null3"/>
              <w:numPr>
                <w:ilvl w:val="0"/>
                <w:numId w:val="1"/>
              </w:numPr>
              <w:jc w:val="both"/>
            </w:pPr>
            <w:r>
              <w:rPr>
                <w:rFonts w:ascii="仿宋_GB2312" w:hAnsi="仿宋_GB2312" w:cs="仿宋_GB2312" w:eastAsia="仿宋_GB2312"/>
                <w:sz w:val="21"/>
              </w:rPr>
              <w:t>电源规格：</w:t>
            </w:r>
            <w:r>
              <w:rPr>
                <w:rFonts w:ascii="仿宋_GB2312" w:hAnsi="仿宋_GB2312" w:cs="仿宋_GB2312" w:eastAsia="仿宋_GB2312"/>
                <w:sz w:val="21"/>
              </w:rPr>
              <w:t>DC5V/2A或其他；</w:t>
            </w:r>
          </w:p>
          <w:p>
            <w:pPr>
              <w:pStyle w:val="null3"/>
              <w:numPr>
                <w:ilvl w:val="0"/>
                <w:numId w:val="1"/>
              </w:numPr>
              <w:jc w:val="both"/>
            </w:pPr>
            <w:r>
              <w:rPr>
                <w:rFonts w:ascii="仿宋_GB2312" w:hAnsi="仿宋_GB2312" w:cs="仿宋_GB2312" w:eastAsia="仿宋_GB2312"/>
                <w:sz w:val="21"/>
              </w:rPr>
              <w:t>内置电池：可充电电池，容量不小于</w:t>
            </w:r>
            <w:r>
              <w:rPr>
                <w:rFonts w:ascii="仿宋_GB2312" w:hAnsi="仿宋_GB2312" w:cs="仿宋_GB2312" w:eastAsia="仿宋_GB2312"/>
                <w:sz w:val="21"/>
              </w:rPr>
              <w:t>800mAh；</w:t>
            </w:r>
          </w:p>
          <w:p>
            <w:pPr>
              <w:pStyle w:val="null3"/>
              <w:numPr>
                <w:ilvl w:val="0"/>
                <w:numId w:val="1"/>
              </w:numPr>
              <w:jc w:val="both"/>
            </w:pPr>
            <w:r>
              <w:rPr>
                <w:rFonts w:ascii="仿宋_GB2312" w:hAnsi="仿宋_GB2312" w:cs="仿宋_GB2312" w:eastAsia="仿宋_GB2312"/>
                <w:sz w:val="21"/>
              </w:rPr>
              <w:t>通讯方式：支持近地无线</w:t>
            </w:r>
            <w:r>
              <w:rPr>
                <w:rFonts w:ascii="仿宋_GB2312" w:hAnsi="仿宋_GB2312" w:cs="仿宋_GB2312" w:eastAsia="仿宋_GB2312"/>
                <w:sz w:val="21"/>
              </w:rPr>
              <w:t>ME</w:t>
            </w:r>
            <w:r>
              <w:rPr>
                <w:rFonts w:ascii="仿宋_GB2312" w:hAnsi="仿宋_GB2312" w:cs="仿宋_GB2312" w:eastAsia="仿宋_GB2312"/>
                <w:sz w:val="21"/>
              </w:rPr>
              <w:t>SH自组网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扬声器功率：</w:t>
            </w:r>
            <w:r>
              <w:rPr>
                <w:rFonts w:ascii="仿宋_GB2312" w:hAnsi="仿宋_GB2312" w:cs="仿宋_GB2312" w:eastAsia="仿宋_GB2312"/>
                <w:sz w:val="21"/>
              </w:rPr>
              <w:t>≥2W；</w:t>
            </w:r>
          </w:p>
          <w:p>
            <w:pPr>
              <w:pStyle w:val="null3"/>
              <w:numPr>
                <w:ilvl w:val="0"/>
                <w:numId w:val="1"/>
              </w:numPr>
              <w:jc w:val="both"/>
            </w:pPr>
            <w:r>
              <w:rPr>
                <w:rFonts w:ascii="仿宋_GB2312" w:hAnsi="仿宋_GB2312" w:cs="仿宋_GB2312" w:eastAsia="仿宋_GB2312"/>
                <w:sz w:val="21"/>
              </w:rPr>
              <w:t>工作温度：</w:t>
            </w:r>
            <w:r>
              <w:rPr>
                <w:rFonts w:ascii="仿宋_GB2312" w:hAnsi="仿宋_GB2312" w:cs="仿宋_GB2312" w:eastAsia="仿宋_GB2312"/>
                <w:sz w:val="21"/>
              </w:rPr>
              <w:t>0~45℃；</w:t>
            </w:r>
          </w:p>
          <w:p>
            <w:pPr>
              <w:pStyle w:val="null3"/>
              <w:numPr>
                <w:ilvl w:val="0"/>
                <w:numId w:val="1"/>
              </w:numPr>
              <w:jc w:val="both"/>
            </w:pPr>
            <w:r>
              <w:rPr>
                <w:rFonts w:ascii="仿宋_GB2312" w:hAnsi="仿宋_GB2312" w:cs="仿宋_GB2312" w:eastAsia="仿宋_GB2312"/>
                <w:sz w:val="21"/>
              </w:rPr>
              <w:t>存储温度：</w:t>
            </w:r>
            <w:r>
              <w:rPr>
                <w:rFonts w:ascii="仿宋_GB2312" w:hAnsi="仿宋_GB2312" w:cs="仿宋_GB2312" w:eastAsia="仿宋_GB2312"/>
                <w:sz w:val="21"/>
              </w:rPr>
              <w:t>-20~60℃；</w:t>
            </w:r>
          </w:p>
          <w:p>
            <w:pPr>
              <w:pStyle w:val="null3"/>
              <w:numPr>
                <w:ilvl w:val="0"/>
                <w:numId w:val="1"/>
              </w:numPr>
              <w:jc w:val="both"/>
            </w:pPr>
            <w:r>
              <w:rPr>
                <w:rFonts w:ascii="仿宋_GB2312" w:hAnsi="仿宋_GB2312" w:cs="仿宋_GB2312" w:eastAsia="仿宋_GB2312"/>
                <w:sz w:val="21"/>
              </w:rPr>
              <w:t>质保年限：三年。</w:t>
            </w:r>
          </w:p>
          <w:p>
            <w:pPr>
              <w:pStyle w:val="null3"/>
              <w:jc w:val="both"/>
              <w:outlineLvl w:val="2"/>
            </w:pPr>
            <w:r>
              <w:rPr>
                <w:rFonts w:ascii="仿宋_GB2312" w:hAnsi="仿宋_GB2312" w:cs="仿宋_GB2312" w:eastAsia="仿宋_GB2312"/>
                <w:sz w:val="21"/>
                <w:b/>
              </w:rPr>
              <w:t>四、设备安装调试要求</w:t>
            </w:r>
          </w:p>
          <w:p>
            <w:pPr>
              <w:pStyle w:val="null3"/>
              <w:ind w:firstLine="420"/>
              <w:jc w:val="both"/>
            </w:pPr>
            <w:r>
              <w:rPr>
                <w:rFonts w:ascii="仿宋_GB2312" w:hAnsi="仿宋_GB2312" w:cs="仿宋_GB2312" w:eastAsia="仿宋_GB2312"/>
                <w:sz w:val="21"/>
              </w:rPr>
              <w:t>4.1接收端设备安装要求</w:t>
            </w:r>
          </w:p>
          <w:p>
            <w:pPr>
              <w:pStyle w:val="null3"/>
              <w:ind w:firstLine="420"/>
              <w:jc w:val="both"/>
            </w:pPr>
            <w:r>
              <w:rPr>
                <w:rFonts w:ascii="仿宋_GB2312" w:hAnsi="仿宋_GB2312" w:cs="仿宋_GB2312" w:eastAsia="仿宋_GB2312"/>
                <w:sz w:val="21"/>
              </w:rPr>
              <w:t>接收端安装应符合下列规定：</w:t>
            </w:r>
          </w:p>
          <w:p>
            <w:pPr>
              <w:pStyle w:val="null3"/>
              <w:ind w:firstLine="420"/>
              <w:jc w:val="both"/>
            </w:pPr>
            <w:r>
              <w:rPr>
                <w:rFonts w:ascii="仿宋_GB2312" w:hAnsi="仿宋_GB2312" w:cs="仿宋_GB2312" w:eastAsia="仿宋_GB2312"/>
                <w:sz w:val="21"/>
              </w:rPr>
              <w:t>1、应选择适当的高度进行安装，便于保护对象观看和收听预警信号；</w:t>
            </w:r>
          </w:p>
          <w:p>
            <w:pPr>
              <w:pStyle w:val="null3"/>
              <w:ind w:firstLine="420"/>
              <w:jc w:val="both"/>
            </w:pPr>
            <w:r>
              <w:rPr>
                <w:rFonts w:ascii="仿宋_GB2312" w:hAnsi="仿宋_GB2312" w:cs="仿宋_GB2312" w:eastAsia="仿宋_GB2312"/>
                <w:sz w:val="21"/>
              </w:rPr>
              <w:t>2、应选择便于取电的位置进行安装，确保报警器供电；</w:t>
            </w:r>
          </w:p>
          <w:p>
            <w:pPr>
              <w:pStyle w:val="null3"/>
              <w:ind w:firstLine="420"/>
              <w:jc w:val="both"/>
            </w:pPr>
            <w:r>
              <w:rPr>
                <w:rFonts w:ascii="仿宋_GB2312" w:hAnsi="仿宋_GB2312" w:cs="仿宋_GB2312" w:eastAsia="仿宋_GB2312"/>
                <w:sz w:val="21"/>
              </w:rPr>
              <w:t>3、应选择网络信号较好的位置安装，确保通信正常；</w:t>
            </w:r>
          </w:p>
          <w:p>
            <w:pPr>
              <w:pStyle w:val="null3"/>
              <w:ind w:firstLine="420"/>
              <w:jc w:val="both"/>
            </w:pPr>
            <w:r>
              <w:rPr>
                <w:rFonts w:ascii="仿宋_GB2312" w:hAnsi="仿宋_GB2312" w:cs="仿宋_GB2312" w:eastAsia="仿宋_GB2312"/>
                <w:sz w:val="21"/>
              </w:rPr>
              <w:t>4、应在设备附近张贴使用须知，并对保护对象进行使用培训。</w:t>
            </w:r>
          </w:p>
          <w:p>
            <w:pPr>
              <w:pStyle w:val="null3"/>
              <w:ind w:firstLine="420"/>
              <w:jc w:val="both"/>
            </w:pPr>
            <w:r>
              <w:rPr>
                <w:rFonts w:ascii="仿宋_GB2312" w:hAnsi="仿宋_GB2312" w:cs="仿宋_GB2312" w:eastAsia="仿宋_GB2312"/>
                <w:sz w:val="21"/>
              </w:rPr>
              <w:t>4.2呼叫端设备安装要求</w:t>
            </w:r>
          </w:p>
          <w:p>
            <w:pPr>
              <w:pStyle w:val="null3"/>
              <w:ind w:firstLine="420"/>
              <w:jc w:val="both"/>
            </w:pPr>
            <w:r>
              <w:rPr>
                <w:rFonts w:ascii="仿宋_GB2312" w:hAnsi="仿宋_GB2312" w:cs="仿宋_GB2312" w:eastAsia="仿宋_GB2312"/>
                <w:sz w:val="21"/>
              </w:rPr>
              <w:t>呼叫端安装应符合下列规定：</w:t>
            </w:r>
          </w:p>
          <w:p>
            <w:pPr>
              <w:pStyle w:val="null3"/>
              <w:ind w:firstLine="420"/>
              <w:jc w:val="both"/>
            </w:pPr>
            <w:r>
              <w:rPr>
                <w:rFonts w:ascii="仿宋_GB2312" w:hAnsi="仿宋_GB2312" w:cs="仿宋_GB2312" w:eastAsia="仿宋_GB2312"/>
                <w:sz w:val="21"/>
              </w:rPr>
              <w:t>1、应在设备附近张贴使用须知，并对防汛责任人进行使用培训；</w:t>
            </w:r>
          </w:p>
          <w:p>
            <w:pPr>
              <w:pStyle w:val="null3"/>
              <w:ind w:firstLine="420"/>
              <w:jc w:val="both"/>
            </w:pPr>
            <w:r>
              <w:rPr>
                <w:rFonts w:ascii="仿宋_GB2312" w:hAnsi="仿宋_GB2312" w:cs="仿宋_GB2312" w:eastAsia="仿宋_GB2312"/>
                <w:sz w:val="21"/>
              </w:rPr>
              <w:t>2、应选择便于取电的位置进行安装，确保呼叫端供电；</w:t>
            </w:r>
          </w:p>
          <w:p>
            <w:pPr>
              <w:pStyle w:val="null3"/>
              <w:ind w:firstLine="420"/>
              <w:jc w:val="both"/>
            </w:pPr>
            <w:r>
              <w:rPr>
                <w:rFonts w:ascii="仿宋_GB2312" w:hAnsi="仿宋_GB2312" w:cs="仿宋_GB2312" w:eastAsia="仿宋_GB2312"/>
                <w:sz w:val="21"/>
              </w:rPr>
              <w:t>3、应选择网络信号较好的位置安装，确保通信正常。</w:t>
            </w:r>
          </w:p>
          <w:p>
            <w:pPr>
              <w:pStyle w:val="null3"/>
              <w:ind w:firstLine="420"/>
              <w:jc w:val="both"/>
            </w:pPr>
            <w:r>
              <w:rPr>
                <w:rFonts w:ascii="仿宋_GB2312" w:hAnsi="仿宋_GB2312" w:cs="仿宋_GB2312" w:eastAsia="仿宋_GB2312"/>
                <w:sz w:val="21"/>
              </w:rPr>
              <w:t>4.3设备组网要求</w:t>
            </w:r>
          </w:p>
          <w:p>
            <w:pPr>
              <w:pStyle w:val="null3"/>
              <w:ind w:firstLine="420"/>
              <w:jc w:val="both"/>
            </w:pPr>
            <w:r>
              <w:rPr>
                <w:rFonts w:ascii="仿宋_GB2312" w:hAnsi="仿宋_GB2312" w:cs="仿宋_GB2312" w:eastAsia="仿宋_GB2312"/>
                <w:sz w:val="21"/>
              </w:rPr>
              <w:t>新型入户型报警叫应设备的呼叫端与接收端需实现基于公网和自组网通信，设备安装部署后及运行维护期间需保持设备间组网状态，以支持在常规条件下以及在</w:t>
            </w:r>
            <w:r>
              <w:rPr>
                <w:rFonts w:ascii="仿宋_GB2312" w:hAnsi="仿宋_GB2312" w:cs="仿宋_GB2312" w:eastAsia="仿宋_GB2312"/>
                <w:sz w:val="21"/>
              </w:rPr>
              <w:t>“三断”条件下的自组网安装方式。</w:t>
            </w:r>
          </w:p>
          <w:p>
            <w:pPr>
              <w:pStyle w:val="null3"/>
              <w:ind w:firstLine="420"/>
              <w:jc w:val="both"/>
            </w:pPr>
            <w:r>
              <w:rPr>
                <w:rFonts w:ascii="仿宋_GB2312" w:hAnsi="仿宋_GB2312" w:cs="仿宋_GB2312" w:eastAsia="仿宋_GB2312"/>
                <w:sz w:val="21"/>
              </w:rPr>
              <w:t>4.4设备运维要求</w:t>
            </w:r>
          </w:p>
          <w:p>
            <w:pPr>
              <w:pStyle w:val="null3"/>
            </w:pPr>
            <w:r>
              <w:rPr>
                <w:rFonts w:ascii="仿宋_GB2312" w:hAnsi="仿宋_GB2312" w:cs="仿宋_GB2312" w:eastAsia="仿宋_GB2312"/>
                <w:sz w:val="21"/>
              </w:rPr>
              <w:t xml:space="preserve">  定期检查设备运行状态、信号状态、组网状态及电池电量等特征指标，对于存在问题的接收端设备，在</w:t>
            </w:r>
            <w:r>
              <w:rPr>
                <w:rFonts w:ascii="仿宋_GB2312" w:hAnsi="仿宋_GB2312" w:cs="仿宋_GB2312" w:eastAsia="仿宋_GB2312"/>
                <w:sz w:val="21"/>
              </w:rPr>
              <w:t>24小时内完成设备维护或更换，确保接收端设备的稳定运行。</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标的名称：2026年西安.渭南.铜川.咸阳.延安.榆林市入户预警试点建设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为针对解决山洪灾害预警的发而不达、叫而不应、备而不用的问题，构建了一套山洪灾害</w:t>
            </w:r>
            <w:r>
              <w:rPr>
                <w:rFonts w:ascii="仿宋_GB2312" w:hAnsi="仿宋_GB2312" w:cs="仿宋_GB2312" w:eastAsia="仿宋_GB2312"/>
                <w:sz w:val="21"/>
              </w:rPr>
              <w:t>“入户型叫应”预警系统，系统由叫应平台、呼叫端、接收端组成。在断网断电断路、深夜凌晨强降雨等极端情景下，村组责任人可使用呼叫端通过无线MESH自</w:t>
            </w:r>
            <w:r>
              <w:rPr>
                <w:rFonts w:ascii="仿宋_GB2312" w:hAnsi="仿宋_GB2312" w:cs="仿宋_GB2312" w:eastAsia="仿宋_GB2312"/>
                <w:sz w:val="21"/>
              </w:rPr>
              <w:t>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发布转</w:t>
            </w:r>
            <w:r>
              <w:rPr>
                <w:rFonts w:ascii="仿宋_GB2312" w:hAnsi="仿宋_GB2312" w:cs="仿宋_GB2312" w:eastAsia="仿宋_GB2312"/>
                <w:sz w:val="21"/>
              </w:rPr>
              <w:t>移撤离通知。受威胁群众通过接收端收听到上级通知后可通过一键确认的方式进行应答。</w:t>
            </w:r>
          </w:p>
          <w:p>
            <w:pPr>
              <w:pStyle w:val="null3"/>
              <w:jc w:val="both"/>
              <w:outlineLvl w:val="2"/>
            </w:pPr>
            <w:r>
              <w:rPr>
                <w:rFonts w:ascii="仿宋_GB2312" w:hAnsi="仿宋_GB2312" w:cs="仿宋_GB2312" w:eastAsia="仿宋_GB2312"/>
                <w:sz w:val="21"/>
                <w:b/>
              </w:rPr>
              <w:t>一、系统特点</w:t>
            </w:r>
          </w:p>
          <w:p>
            <w:pPr>
              <w:pStyle w:val="null3"/>
              <w:ind w:firstLine="420"/>
              <w:jc w:val="both"/>
            </w:pPr>
            <w:r>
              <w:rPr>
                <w:rFonts w:ascii="仿宋_GB2312" w:hAnsi="仿宋_GB2312" w:cs="仿宋_GB2312" w:eastAsia="仿宋_GB2312"/>
                <w:sz w:val="21"/>
              </w:rPr>
              <w:t>1、平台预警发布</w:t>
            </w:r>
          </w:p>
          <w:p>
            <w:pPr>
              <w:pStyle w:val="null3"/>
              <w:ind w:firstLine="420"/>
              <w:jc w:val="both"/>
            </w:pPr>
            <w:r>
              <w:rPr>
                <w:rFonts w:ascii="仿宋_GB2312" w:hAnsi="仿宋_GB2312" w:cs="仿宋_GB2312" w:eastAsia="仿宋_GB2312"/>
                <w:sz w:val="21"/>
              </w:rPr>
              <w:t>支持临近预报预警和实时监测预警向危险区群众直接发布，呼叫端接收到平台预警后，可快速转发至接收端通知到户。</w:t>
            </w:r>
          </w:p>
          <w:p>
            <w:pPr>
              <w:pStyle w:val="null3"/>
              <w:ind w:firstLine="420"/>
              <w:jc w:val="both"/>
            </w:pPr>
            <w:r>
              <w:rPr>
                <w:rFonts w:ascii="仿宋_GB2312" w:hAnsi="仿宋_GB2312" w:cs="仿宋_GB2312" w:eastAsia="仿宋_GB2312"/>
                <w:sz w:val="21"/>
              </w:rPr>
              <w:t>2、现地预警发布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1）现地定点预警发布</w:t>
            </w:r>
          </w:p>
          <w:p>
            <w:pPr>
              <w:pStyle w:val="null3"/>
              <w:ind w:firstLine="420"/>
              <w:jc w:val="both"/>
            </w:pPr>
            <w:r>
              <w:rPr>
                <w:rFonts w:ascii="仿宋_GB2312" w:hAnsi="仿宋_GB2312" w:cs="仿宋_GB2312" w:eastAsia="仿宋_GB2312"/>
                <w:sz w:val="21"/>
              </w:rPr>
              <w:t>村组责任人可对单个对象发布预警信息。在突发事件或灾害发生时，值班人员可以通过定点预警功能迅速与关键人员建立联系，发布预警信息。值班员在呼叫端操作界面，选择需要预警的单个对象，发布相应预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2）现地广播预警发布</w:t>
            </w:r>
          </w:p>
          <w:p>
            <w:pPr>
              <w:pStyle w:val="null3"/>
              <w:ind w:firstLine="420"/>
              <w:jc w:val="both"/>
            </w:pPr>
            <w:r>
              <w:rPr>
                <w:rFonts w:ascii="仿宋_GB2312" w:hAnsi="仿宋_GB2312" w:cs="仿宋_GB2312" w:eastAsia="仿宋_GB2312"/>
                <w:sz w:val="21"/>
              </w:rPr>
              <w:t>村组责任人通过呼叫端的预警呼叫按键操作，即可迅速启动应急响应流程，将相关预警信息和指令快速传递给系统中关联的全部用户。该功能具有快速性、高效性、便捷性和准确性等特点，能够在突发事件发生时迅速启动应急响应机制，减少人员伤亡和财产损失。</w:t>
            </w:r>
          </w:p>
          <w:p>
            <w:pPr>
              <w:pStyle w:val="null3"/>
              <w:ind w:firstLine="420"/>
              <w:jc w:val="both"/>
            </w:pPr>
            <w:r>
              <w:rPr>
                <w:rFonts w:ascii="仿宋_GB2312" w:hAnsi="仿宋_GB2312" w:cs="仿宋_GB2312" w:eastAsia="仿宋_GB2312"/>
                <w:sz w:val="21"/>
              </w:rPr>
              <w:t>3、快速预警响应</w:t>
            </w:r>
          </w:p>
          <w:p>
            <w:pPr>
              <w:pStyle w:val="null3"/>
              <w:ind w:firstLine="420"/>
              <w:jc w:val="both"/>
            </w:pPr>
            <w:r>
              <w:rPr>
                <w:rFonts w:ascii="仿宋_GB2312" w:hAnsi="仿宋_GB2312" w:cs="仿宋_GB2312" w:eastAsia="仿宋_GB2312"/>
                <w:sz w:val="21"/>
              </w:rPr>
              <w:t>受威胁群众收到接收端的声光预警信号后，可通过按键确认收到预警信息并采取避险转移措施。按键确认后即判断为受威胁群众完成预警响应，呼叫端将应答状态上传到平台，形成预警发布叫应的闭环。</w:t>
            </w:r>
          </w:p>
          <w:p>
            <w:pPr>
              <w:pStyle w:val="null3"/>
              <w:ind w:firstLine="420"/>
              <w:jc w:val="both"/>
            </w:pPr>
            <w:r>
              <w:rPr>
                <w:rFonts w:ascii="仿宋_GB2312" w:hAnsi="仿宋_GB2312" w:cs="仿宋_GB2312" w:eastAsia="仿宋_GB2312"/>
                <w:sz w:val="21"/>
              </w:rPr>
              <w:t>4、预警状态反馈</w:t>
            </w:r>
          </w:p>
          <w:p>
            <w:pPr>
              <w:pStyle w:val="null3"/>
              <w:ind w:firstLine="420"/>
              <w:jc w:val="both"/>
            </w:pPr>
            <w:r>
              <w:rPr>
                <w:rFonts w:ascii="仿宋_GB2312" w:hAnsi="仿宋_GB2312" w:cs="仿宋_GB2312" w:eastAsia="仿宋_GB2312"/>
                <w:sz w:val="21"/>
              </w:rPr>
              <w:t>值班人员可以通过平台软件、呼叫端随时了解到接收端的在线状态，对于离线设备通知恢复在线，保证汛期预警能有效发布。在有预警发布时，能清晰地知道哪些呼叫端已经发出预警，哪些接收端已经确认收到预警。</w:t>
            </w:r>
          </w:p>
          <w:p>
            <w:pPr>
              <w:pStyle w:val="null3"/>
              <w:ind w:firstLine="420"/>
              <w:jc w:val="both"/>
            </w:pPr>
            <w:r>
              <w:rPr>
                <w:rFonts w:ascii="仿宋_GB2312" w:hAnsi="仿宋_GB2312" w:cs="仿宋_GB2312" w:eastAsia="仿宋_GB2312"/>
                <w:sz w:val="21"/>
              </w:rPr>
              <w:t>5、预警记录留痕</w:t>
            </w:r>
          </w:p>
          <w:p>
            <w:pPr>
              <w:pStyle w:val="null3"/>
              <w:ind w:firstLine="420"/>
              <w:jc w:val="both"/>
            </w:pPr>
            <w:r>
              <w:rPr>
                <w:rFonts w:ascii="仿宋_GB2312" w:hAnsi="仿宋_GB2312" w:cs="仿宋_GB2312" w:eastAsia="仿宋_GB2312"/>
                <w:sz w:val="21"/>
              </w:rPr>
              <w:t>预警记录是对每一次预警操作进行详细记录的过程。包含预警发布时间、预警信息、叫应状态信息等。既能协助指挥人员分析决策，也为事后复盘分析提供依据。</w:t>
            </w:r>
          </w:p>
          <w:p>
            <w:pPr>
              <w:pStyle w:val="null3"/>
              <w:jc w:val="both"/>
              <w:outlineLvl w:val="2"/>
            </w:pPr>
            <w:r>
              <w:rPr>
                <w:rFonts w:ascii="仿宋_GB2312" w:hAnsi="仿宋_GB2312" w:cs="仿宋_GB2312" w:eastAsia="仿宋_GB2312"/>
                <w:sz w:val="21"/>
                <w:b/>
              </w:rPr>
              <w:t>二、布设范围</w:t>
            </w:r>
          </w:p>
          <w:p>
            <w:pPr>
              <w:pStyle w:val="null3"/>
              <w:ind w:firstLine="420"/>
              <w:jc w:val="both"/>
            </w:pPr>
            <w:r>
              <w:rPr>
                <w:rFonts w:ascii="仿宋_GB2312" w:hAnsi="仿宋_GB2312" w:cs="仿宋_GB2312" w:eastAsia="仿宋_GB2312"/>
                <w:sz w:val="21"/>
              </w:rPr>
              <w:t>目前，</w:t>
            </w:r>
            <w:r>
              <w:rPr>
                <w:rFonts w:ascii="仿宋_GB2312" w:hAnsi="仿宋_GB2312" w:cs="仿宋_GB2312" w:eastAsia="仿宋_GB2312"/>
                <w:sz w:val="21"/>
              </w:rPr>
              <w:t>西安、渭南、铜川、咸阳、延安、榆林六市共有</w:t>
            </w:r>
            <w:r>
              <w:rPr>
                <w:rFonts w:ascii="仿宋_GB2312" w:hAnsi="仿宋_GB2312" w:cs="仿宋_GB2312" w:eastAsia="仿宋_GB2312"/>
                <w:sz w:val="21"/>
              </w:rPr>
              <w:t>山洪灾害</w:t>
            </w:r>
            <w:r>
              <w:rPr>
                <w:rFonts w:ascii="仿宋_GB2312" w:hAnsi="仿宋_GB2312" w:cs="仿宋_GB2312" w:eastAsia="仿宋_GB2312"/>
                <w:sz w:val="21"/>
              </w:rPr>
              <w:t>极高危险区</w:t>
            </w:r>
            <w:r>
              <w:rPr>
                <w:rFonts w:ascii="仿宋_GB2312" w:hAnsi="仿宋_GB2312" w:cs="仿宋_GB2312" w:eastAsia="仿宋_GB2312"/>
                <w:sz w:val="21"/>
              </w:rPr>
              <w:t>83个，高危险区442个。</w:t>
            </w:r>
            <w:r>
              <w:rPr>
                <w:rFonts w:ascii="仿宋_GB2312" w:hAnsi="仿宋_GB2312" w:cs="仿宋_GB2312" w:eastAsia="仿宋_GB2312"/>
                <w:sz w:val="21"/>
              </w:rPr>
              <w:t>2026年我省在极高、高风险区配备不依赖公共通信网络的新型入户报警叫应设备，完善断网断电断路、深夜凌晨强降雨等极端情景下预警“叫应”措施。按照每个危险区布设1个防汛呼叫器、10个报警应答器的方式</w:t>
            </w:r>
            <w:r>
              <w:rPr>
                <w:rFonts w:ascii="仿宋_GB2312" w:hAnsi="仿宋_GB2312" w:cs="仿宋_GB2312" w:eastAsia="仿宋_GB2312"/>
                <w:sz w:val="21"/>
              </w:rPr>
              <w:t>（在同一个行政村存在部分危险区户数不足</w:t>
            </w:r>
            <w:r>
              <w:rPr>
                <w:rFonts w:ascii="仿宋_GB2312" w:hAnsi="仿宋_GB2312" w:cs="仿宋_GB2312" w:eastAsia="仿宋_GB2312"/>
                <w:sz w:val="21"/>
              </w:rPr>
              <w:t>10户或者部分超出10户情形时，可在多个危险区之间共用接收端设备）</w:t>
            </w:r>
            <w:r>
              <w:rPr>
                <w:rFonts w:ascii="仿宋_GB2312" w:hAnsi="仿宋_GB2312" w:cs="仿宋_GB2312" w:eastAsia="仿宋_GB2312"/>
                <w:sz w:val="21"/>
              </w:rPr>
              <w:t>，</w:t>
            </w:r>
            <w:r>
              <w:rPr>
                <w:rFonts w:ascii="仿宋_GB2312" w:hAnsi="仿宋_GB2312" w:cs="仿宋_GB2312" w:eastAsia="仿宋_GB2312"/>
                <w:sz w:val="21"/>
              </w:rPr>
              <w:t>为西安、渭南、铜川、咸阳、延安、榆林六市</w:t>
            </w:r>
            <w:r>
              <w:rPr>
                <w:rFonts w:ascii="仿宋_GB2312" w:hAnsi="仿宋_GB2312" w:cs="仿宋_GB2312" w:eastAsia="仿宋_GB2312"/>
                <w:sz w:val="21"/>
              </w:rPr>
              <w:t>525个极高、高风险区配备新型入户报警叫应设备。</w:t>
            </w:r>
          </w:p>
          <w:p>
            <w:pPr>
              <w:pStyle w:val="null3"/>
              <w:jc w:val="center"/>
              <w:outlineLvl w:val="2"/>
            </w:pPr>
            <w:r>
              <w:rPr>
                <w:rFonts w:ascii="仿宋_GB2312" w:hAnsi="仿宋_GB2312" w:cs="仿宋_GB2312" w:eastAsia="仿宋_GB2312"/>
                <w:sz w:val="21"/>
                <w:b/>
              </w:rPr>
              <w:t>本采购包工程量清单</w:t>
            </w:r>
          </w:p>
          <w:tbl>
            <w:tblPr>
              <w:tblBorders>
                <w:top w:val="none" w:color="000000" w:sz="4"/>
                <w:left w:val="none" w:color="000000" w:sz="4"/>
                <w:bottom w:val="none" w:color="000000" w:sz="4"/>
                <w:right w:val="none" w:color="000000" w:sz="4"/>
                <w:insideH w:val="none"/>
                <w:insideV w:val="none"/>
              </w:tblBorders>
            </w:tblPr>
            <w:tblGrid>
              <w:gridCol w:w="291"/>
              <w:gridCol w:w="1398"/>
              <w:gridCol w:w="415"/>
              <w:gridCol w:w="436"/>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建设内容</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西安市入户预警试点建设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渭南市入户预警试点建设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铜川市入户预警试点建设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咸阳市入户预警试点建设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延安市入户预警试点建设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榆林市入户预警试点建设</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防汛呼叫器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报警应答器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1180</w:t>
                  </w:r>
                </w:p>
              </w:tc>
            </w:tr>
          </w:tbl>
          <w:p>
            <w:pPr>
              <w:pStyle w:val="null3"/>
              <w:ind w:firstLine="480"/>
              <w:jc w:val="both"/>
              <w:outlineLvl w:val="2"/>
            </w:pPr>
            <w:r>
              <w:rPr>
                <w:rFonts w:ascii="仿宋_GB2312" w:hAnsi="仿宋_GB2312" w:cs="仿宋_GB2312" w:eastAsia="仿宋_GB2312"/>
                <w:sz w:val="21"/>
                <w:b/>
              </w:rPr>
              <w:t>三、主要设备功能参数</w:t>
            </w:r>
          </w:p>
          <w:p>
            <w:pPr>
              <w:pStyle w:val="null3"/>
              <w:ind w:firstLine="420"/>
              <w:jc w:val="both"/>
            </w:pPr>
            <w:r>
              <w:rPr>
                <w:rFonts w:ascii="仿宋_GB2312" w:hAnsi="仿宋_GB2312" w:cs="仿宋_GB2312" w:eastAsia="仿宋_GB2312"/>
                <w:sz w:val="21"/>
              </w:rPr>
              <w:t>3.1呼叫端</w:t>
            </w:r>
          </w:p>
          <w:p>
            <w:pPr>
              <w:pStyle w:val="null3"/>
              <w:ind w:firstLine="420"/>
              <w:jc w:val="both"/>
            </w:pPr>
            <w:r>
              <w:rPr>
                <w:rFonts w:ascii="仿宋_GB2312" w:hAnsi="仿宋_GB2312" w:cs="仿宋_GB2312" w:eastAsia="仿宋_GB2312"/>
                <w:sz w:val="21"/>
              </w:rPr>
              <w:t>1、主要功能</w:t>
            </w:r>
          </w:p>
          <w:p>
            <w:pPr>
              <w:pStyle w:val="null3"/>
              <w:numPr>
                <w:ilvl w:val="0"/>
                <w:numId w:val="1"/>
              </w:numPr>
              <w:jc w:val="both"/>
            </w:pPr>
            <w:r>
              <w:rPr>
                <w:rFonts w:ascii="仿宋_GB2312" w:hAnsi="仿宋_GB2312" w:cs="仿宋_GB2312" w:eastAsia="仿宋_GB2312"/>
                <w:sz w:val="21"/>
              </w:rPr>
              <w:t>语音呼叫：具有单向对接收端发布语音提醒的功能；</w:t>
            </w:r>
          </w:p>
          <w:p>
            <w:pPr>
              <w:pStyle w:val="null3"/>
              <w:numPr>
                <w:ilvl w:val="0"/>
                <w:numId w:val="1"/>
              </w:numPr>
              <w:jc w:val="both"/>
            </w:pPr>
            <w:r>
              <w:rPr>
                <w:rFonts w:ascii="仿宋_GB2312" w:hAnsi="仿宋_GB2312" w:cs="仿宋_GB2312" w:eastAsia="仿宋_GB2312"/>
                <w:sz w:val="21"/>
              </w:rPr>
              <w:t>定点预警：可对单个对象发布预警；</w:t>
            </w:r>
          </w:p>
          <w:p>
            <w:pPr>
              <w:pStyle w:val="null3"/>
              <w:numPr>
                <w:ilvl w:val="0"/>
                <w:numId w:val="1"/>
              </w:numPr>
              <w:jc w:val="both"/>
            </w:pPr>
            <w:r>
              <w:rPr>
                <w:rFonts w:ascii="仿宋_GB2312" w:hAnsi="仿宋_GB2312" w:cs="仿宋_GB2312" w:eastAsia="仿宋_GB2312"/>
                <w:sz w:val="21"/>
              </w:rPr>
              <w:t>广播预警：可对组网内所有成员发布预警；</w:t>
            </w:r>
          </w:p>
          <w:p>
            <w:pPr>
              <w:pStyle w:val="null3"/>
              <w:numPr>
                <w:ilvl w:val="0"/>
                <w:numId w:val="1"/>
              </w:numPr>
              <w:jc w:val="both"/>
            </w:pPr>
            <w:r>
              <w:rPr>
                <w:rFonts w:ascii="仿宋_GB2312" w:hAnsi="仿宋_GB2312" w:cs="仿宋_GB2312" w:eastAsia="仿宋_GB2312"/>
                <w:sz w:val="21"/>
              </w:rPr>
              <w:t>预警记录：对每一次预警操作记录预警时间、预警信息、设备状态信息；</w:t>
            </w:r>
          </w:p>
          <w:p>
            <w:pPr>
              <w:pStyle w:val="null3"/>
              <w:numPr>
                <w:ilvl w:val="0"/>
                <w:numId w:val="1"/>
              </w:numPr>
              <w:jc w:val="both"/>
            </w:pPr>
            <w:r>
              <w:rPr>
                <w:rFonts w:ascii="仿宋_GB2312" w:hAnsi="仿宋_GB2312" w:cs="仿宋_GB2312" w:eastAsia="仿宋_GB2312"/>
                <w:sz w:val="21"/>
              </w:rPr>
              <w:t>终端管理：可展示所接入接收端的在线、离线状态；</w:t>
            </w:r>
          </w:p>
          <w:p>
            <w:pPr>
              <w:pStyle w:val="null3"/>
              <w:numPr>
                <w:ilvl w:val="0"/>
                <w:numId w:val="1"/>
              </w:numPr>
              <w:jc w:val="both"/>
            </w:pPr>
            <w:r>
              <w:rPr>
                <w:rFonts w:ascii="仿宋_GB2312" w:hAnsi="仿宋_GB2312" w:cs="仿宋_GB2312" w:eastAsia="仿宋_GB2312"/>
                <w:sz w:val="21"/>
              </w:rPr>
              <w:t>权限控制：具有预警发布权限控制，可按需发送预警；</w:t>
            </w:r>
          </w:p>
          <w:p>
            <w:pPr>
              <w:pStyle w:val="null3"/>
              <w:numPr>
                <w:ilvl w:val="0"/>
                <w:numId w:val="1"/>
              </w:numPr>
              <w:jc w:val="both"/>
            </w:pPr>
            <w:r>
              <w:rPr>
                <w:rFonts w:ascii="仿宋_GB2312" w:hAnsi="仿宋_GB2312" w:cs="仿宋_GB2312" w:eastAsia="仿宋_GB2312"/>
                <w:sz w:val="21"/>
              </w:rPr>
              <w:t>备用电源：内置可充电备用电池，停电后可无缝切换。</w:t>
            </w:r>
          </w:p>
          <w:p>
            <w:pPr>
              <w:pStyle w:val="null3"/>
              <w:ind w:firstLine="420"/>
              <w:jc w:val="both"/>
            </w:pPr>
            <w:r>
              <w:rPr>
                <w:rFonts w:ascii="仿宋_GB2312" w:hAnsi="仿宋_GB2312" w:cs="仿宋_GB2312" w:eastAsia="仿宋_GB2312"/>
                <w:sz w:val="21"/>
              </w:rPr>
              <w:t>2、技术参数</w:t>
            </w:r>
          </w:p>
          <w:p>
            <w:pPr>
              <w:pStyle w:val="null3"/>
              <w:numPr>
                <w:ilvl w:val="0"/>
                <w:numId w:val="1"/>
              </w:numPr>
              <w:jc w:val="both"/>
            </w:pPr>
            <w:r>
              <w:rPr>
                <w:rFonts w:ascii="仿宋_GB2312" w:hAnsi="仿宋_GB2312" w:cs="仿宋_GB2312" w:eastAsia="仿宋_GB2312"/>
                <w:sz w:val="21"/>
              </w:rPr>
              <w:t>外接电源：</w:t>
            </w:r>
            <w:r>
              <w:rPr>
                <w:rFonts w:ascii="仿宋_GB2312" w:hAnsi="仿宋_GB2312" w:cs="仿宋_GB2312" w:eastAsia="仿宋_GB2312"/>
                <w:sz w:val="21"/>
              </w:rPr>
              <w:t>DC5V/2A或其他；</w:t>
            </w:r>
          </w:p>
          <w:p>
            <w:pPr>
              <w:pStyle w:val="null3"/>
              <w:numPr>
                <w:ilvl w:val="0"/>
                <w:numId w:val="1"/>
              </w:numPr>
              <w:jc w:val="both"/>
            </w:pPr>
            <w:r>
              <w:rPr>
                <w:rFonts w:ascii="仿宋_GB2312" w:hAnsi="仿宋_GB2312" w:cs="仿宋_GB2312" w:eastAsia="仿宋_GB2312"/>
                <w:sz w:val="21"/>
              </w:rPr>
              <w:t>公网通信：最低支持</w:t>
            </w:r>
            <w:r>
              <w:rPr>
                <w:rFonts w:ascii="仿宋_GB2312" w:hAnsi="仿宋_GB2312" w:cs="仿宋_GB2312" w:eastAsia="仿宋_GB2312"/>
                <w:sz w:val="21"/>
              </w:rPr>
              <w:t>4G全网通；</w:t>
            </w:r>
          </w:p>
          <w:p>
            <w:pPr>
              <w:pStyle w:val="null3"/>
              <w:numPr>
                <w:ilvl w:val="0"/>
                <w:numId w:val="1"/>
              </w:numPr>
              <w:jc w:val="both"/>
            </w:pPr>
            <w:r>
              <w:rPr>
                <w:rFonts w:ascii="仿宋_GB2312" w:hAnsi="仿宋_GB2312" w:cs="仿宋_GB2312" w:eastAsia="仿宋_GB2312"/>
                <w:sz w:val="21"/>
              </w:rPr>
              <w:t>应急通信：支持近地无线</w:t>
            </w:r>
            <w:r>
              <w:rPr>
                <w:rFonts w:ascii="仿宋_GB2312" w:hAnsi="仿宋_GB2312" w:cs="仿宋_GB2312" w:eastAsia="仿宋_GB2312"/>
                <w:sz w:val="21"/>
              </w:rPr>
              <w:t>MESH自组网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扬声器功率：</w:t>
            </w:r>
            <w:r>
              <w:rPr>
                <w:rFonts w:ascii="仿宋_GB2312" w:hAnsi="仿宋_GB2312" w:cs="仿宋_GB2312" w:eastAsia="仿宋_GB2312"/>
                <w:sz w:val="21"/>
              </w:rPr>
              <w:t>≥2W；</w:t>
            </w:r>
          </w:p>
          <w:p>
            <w:pPr>
              <w:pStyle w:val="null3"/>
              <w:numPr>
                <w:ilvl w:val="0"/>
                <w:numId w:val="1"/>
              </w:numPr>
              <w:jc w:val="both"/>
            </w:pPr>
            <w:r>
              <w:rPr>
                <w:rFonts w:ascii="仿宋_GB2312" w:hAnsi="仿宋_GB2312" w:cs="仿宋_GB2312" w:eastAsia="仿宋_GB2312"/>
                <w:sz w:val="21"/>
              </w:rPr>
              <w:t>内置电池：容量不小于</w:t>
            </w:r>
            <w:r>
              <w:rPr>
                <w:rFonts w:ascii="仿宋_GB2312" w:hAnsi="仿宋_GB2312" w:cs="仿宋_GB2312" w:eastAsia="仿宋_GB2312"/>
                <w:sz w:val="21"/>
              </w:rPr>
              <w:t>2000mAh.</w:t>
            </w:r>
          </w:p>
          <w:p>
            <w:pPr>
              <w:pStyle w:val="null3"/>
              <w:numPr>
                <w:ilvl w:val="0"/>
                <w:numId w:val="1"/>
              </w:numPr>
              <w:jc w:val="both"/>
            </w:pPr>
            <w:r>
              <w:rPr>
                <w:rFonts w:ascii="仿宋_GB2312" w:hAnsi="仿宋_GB2312" w:cs="仿宋_GB2312" w:eastAsia="仿宋_GB2312"/>
                <w:sz w:val="21"/>
              </w:rPr>
              <w:t>工作温度：</w:t>
            </w:r>
            <w:r>
              <w:rPr>
                <w:rFonts w:ascii="仿宋_GB2312" w:hAnsi="仿宋_GB2312" w:cs="仿宋_GB2312" w:eastAsia="仿宋_GB2312"/>
                <w:sz w:val="21"/>
              </w:rPr>
              <w:t>0~45℃；</w:t>
            </w:r>
          </w:p>
          <w:p>
            <w:pPr>
              <w:pStyle w:val="null3"/>
              <w:numPr>
                <w:ilvl w:val="0"/>
                <w:numId w:val="1"/>
              </w:numPr>
              <w:jc w:val="both"/>
            </w:pPr>
            <w:r>
              <w:rPr>
                <w:rFonts w:ascii="仿宋_GB2312" w:hAnsi="仿宋_GB2312" w:cs="仿宋_GB2312" w:eastAsia="仿宋_GB2312"/>
                <w:sz w:val="21"/>
              </w:rPr>
              <w:t>存储温度：</w:t>
            </w:r>
            <w:r>
              <w:rPr>
                <w:rFonts w:ascii="仿宋_GB2312" w:hAnsi="仿宋_GB2312" w:cs="仿宋_GB2312" w:eastAsia="仿宋_GB2312"/>
                <w:sz w:val="21"/>
              </w:rPr>
              <w:t>-20~60℃；</w:t>
            </w:r>
          </w:p>
          <w:p>
            <w:pPr>
              <w:pStyle w:val="null3"/>
              <w:numPr>
                <w:ilvl w:val="0"/>
                <w:numId w:val="1"/>
              </w:numPr>
              <w:jc w:val="both"/>
            </w:pPr>
            <w:r>
              <w:rPr>
                <w:rFonts w:ascii="仿宋_GB2312" w:hAnsi="仿宋_GB2312" w:cs="仿宋_GB2312" w:eastAsia="仿宋_GB2312"/>
                <w:sz w:val="21"/>
              </w:rPr>
              <w:t>质保年限：三年。</w:t>
            </w:r>
          </w:p>
          <w:p>
            <w:pPr>
              <w:pStyle w:val="null3"/>
              <w:ind w:firstLine="420"/>
              <w:jc w:val="both"/>
            </w:pPr>
            <w:r>
              <w:rPr>
                <w:rFonts w:ascii="仿宋_GB2312" w:hAnsi="仿宋_GB2312" w:cs="仿宋_GB2312" w:eastAsia="仿宋_GB2312"/>
                <w:sz w:val="21"/>
              </w:rPr>
              <w:t>3.2接收端</w:t>
            </w:r>
          </w:p>
          <w:p>
            <w:pPr>
              <w:pStyle w:val="null3"/>
              <w:ind w:firstLine="420"/>
              <w:jc w:val="both"/>
            </w:pPr>
            <w:r>
              <w:rPr>
                <w:rFonts w:ascii="仿宋_GB2312" w:hAnsi="仿宋_GB2312" w:cs="仿宋_GB2312" w:eastAsia="仿宋_GB2312"/>
                <w:sz w:val="21"/>
              </w:rPr>
              <w:t>1、主要功能</w:t>
            </w:r>
          </w:p>
          <w:p>
            <w:pPr>
              <w:pStyle w:val="null3"/>
              <w:numPr>
                <w:ilvl w:val="0"/>
                <w:numId w:val="1"/>
              </w:numPr>
              <w:jc w:val="both"/>
            </w:pPr>
            <w:r>
              <w:rPr>
                <w:rFonts w:ascii="仿宋_GB2312" w:hAnsi="仿宋_GB2312" w:cs="仿宋_GB2312" w:eastAsia="仿宋_GB2312"/>
                <w:sz w:val="21"/>
              </w:rPr>
              <w:t>外观形式：采用群众欢迎的形态，与日常生活相结合；</w:t>
            </w:r>
          </w:p>
          <w:p>
            <w:pPr>
              <w:pStyle w:val="null3"/>
              <w:numPr>
                <w:ilvl w:val="0"/>
                <w:numId w:val="1"/>
              </w:numPr>
              <w:jc w:val="both"/>
            </w:pPr>
            <w:r>
              <w:rPr>
                <w:rFonts w:ascii="仿宋_GB2312" w:hAnsi="仿宋_GB2312" w:cs="仿宋_GB2312" w:eastAsia="仿宋_GB2312"/>
                <w:sz w:val="21"/>
              </w:rPr>
              <w:t>声光报警：内置扬声器和报警指示灯，支持语音、警笛、闪光报警等；</w:t>
            </w:r>
          </w:p>
          <w:p>
            <w:pPr>
              <w:pStyle w:val="null3"/>
              <w:numPr>
                <w:ilvl w:val="0"/>
                <w:numId w:val="1"/>
              </w:numPr>
              <w:jc w:val="both"/>
            </w:pPr>
            <w:r>
              <w:rPr>
                <w:rFonts w:ascii="仿宋_GB2312" w:hAnsi="仿宋_GB2312" w:cs="仿宋_GB2312" w:eastAsia="仿宋_GB2312"/>
                <w:sz w:val="21"/>
              </w:rPr>
              <w:t>一键应答：具有报警、消警反馈叫应机制，支持一键报警确认和误报消除；</w:t>
            </w:r>
          </w:p>
          <w:p>
            <w:pPr>
              <w:pStyle w:val="null3"/>
              <w:numPr>
                <w:ilvl w:val="0"/>
                <w:numId w:val="1"/>
              </w:numPr>
              <w:jc w:val="both"/>
            </w:pPr>
            <w:r>
              <w:rPr>
                <w:rFonts w:ascii="仿宋_GB2312" w:hAnsi="仿宋_GB2312" w:cs="仿宋_GB2312" w:eastAsia="仿宋_GB2312"/>
                <w:sz w:val="21"/>
              </w:rPr>
              <w:t>紧急报警：支持接收呼叫端的紧急报警指令；</w:t>
            </w:r>
          </w:p>
          <w:p>
            <w:pPr>
              <w:pStyle w:val="null3"/>
              <w:numPr>
                <w:ilvl w:val="0"/>
                <w:numId w:val="1"/>
              </w:numPr>
              <w:jc w:val="both"/>
            </w:pPr>
            <w:r>
              <w:rPr>
                <w:rFonts w:ascii="仿宋_GB2312" w:hAnsi="仿宋_GB2312" w:cs="仿宋_GB2312" w:eastAsia="仿宋_GB2312"/>
                <w:sz w:val="21"/>
              </w:rPr>
              <w:t>备用电源：内置可充电备用电池，停电后可无缝切换。</w:t>
            </w:r>
          </w:p>
          <w:p>
            <w:pPr>
              <w:pStyle w:val="null3"/>
              <w:numPr>
                <w:ilvl w:val="0"/>
                <w:numId w:val="1"/>
              </w:numPr>
              <w:jc w:val="both"/>
            </w:pPr>
            <w:r>
              <w:rPr>
                <w:rFonts w:ascii="仿宋_GB2312" w:hAnsi="仿宋_GB2312" w:cs="仿宋_GB2312" w:eastAsia="仿宋_GB2312"/>
                <w:sz w:val="21"/>
              </w:rPr>
              <w:t>状态指示：具有报警灯闪光指示；</w:t>
            </w:r>
          </w:p>
          <w:p>
            <w:pPr>
              <w:pStyle w:val="null3"/>
              <w:numPr>
                <w:ilvl w:val="0"/>
                <w:numId w:val="1"/>
              </w:numPr>
              <w:jc w:val="both"/>
            </w:pPr>
            <w:r>
              <w:rPr>
                <w:rFonts w:ascii="仿宋_GB2312" w:hAnsi="仿宋_GB2312" w:cs="仿宋_GB2312" w:eastAsia="仿宋_GB2312"/>
                <w:sz w:val="21"/>
              </w:rPr>
              <w:t>安装方式：支持壁挂式、桌面式等多种安装方式。</w:t>
            </w:r>
          </w:p>
          <w:p>
            <w:pPr>
              <w:pStyle w:val="null3"/>
              <w:ind w:firstLine="420"/>
              <w:jc w:val="both"/>
            </w:pPr>
            <w:r>
              <w:rPr>
                <w:rFonts w:ascii="仿宋_GB2312" w:hAnsi="仿宋_GB2312" w:cs="仿宋_GB2312" w:eastAsia="仿宋_GB2312"/>
                <w:sz w:val="21"/>
              </w:rPr>
              <w:t>2、技术参数</w:t>
            </w:r>
          </w:p>
          <w:p>
            <w:pPr>
              <w:pStyle w:val="null3"/>
              <w:numPr>
                <w:ilvl w:val="0"/>
                <w:numId w:val="1"/>
              </w:numPr>
              <w:jc w:val="both"/>
            </w:pPr>
            <w:r>
              <w:rPr>
                <w:rFonts w:ascii="仿宋_GB2312" w:hAnsi="仿宋_GB2312" w:cs="仿宋_GB2312" w:eastAsia="仿宋_GB2312"/>
                <w:sz w:val="21"/>
              </w:rPr>
              <w:t>电源规格：</w:t>
            </w:r>
            <w:r>
              <w:rPr>
                <w:rFonts w:ascii="仿宋_GB2312" w:hAnsi="仿宋_GB2312" w:cs="仿宋_GB2312" w:eastAsia="仿宋_GB2312"/>
                <w:sz w:val="21"/>
              </w:rPr>
              <w:t>DC5V/2A或其他；</w:t>
            </w:r>
          </w:p>
          <w:p>
            <w:pPr>
              <w:pStyle w:val="null3"/>
              <w:numPr>
                <w:ilvl w:val="0"/>
                <w:numId w:val="1"/>
              </w:numPr>
              <w:jc w:val="both"/>
            </w:pPr>
            <w:r>
              <w:rPr>
                <w:rFonts w:ascii="仿宋_GB2312" w:hAnsi="仿宋_GB2312" w:cs="仿宋_GB2312" w:eastAsia="仿宋_GB2312"/>
                <w:sz w:val="21"/>
              </w:rPr>
              <w:t>内置电池：可充电电池，容量不小于</w:t>
            </w:r>
            <w:r>
              <w:rPr>
                <w:rFonts w:ascii="仿宋_GB2312" w:hAnsi="仿宋_GB2312" w:cs="仿宋_GB2312" w:eastAsia="仿宋_GB2312"/>
                <w:sz w:val="21"/>
              </w:rPr>
              <w:t>800mAh；</w:t>
            </w:r>
          </w:p>
          <w:p>
            <w:pPr>
              <w:pStyle w:val="null3"/>
              <w:numPr>
                <w:ilvl w:val="0"/>
                <w:numId w:val="1"/>
              </w:numPr>
              <w:jc w:val="both"/>
            </w:pPr>
            <w:r>
              <w:rPr>
                <w:rFonts w:ascii="仿宋_GB2312" w:hAnsi="仿宋_GB2312" w:cs="仿宋_GB2312" w:eastAsia="仿宋_GB2312"/>
                <w:sz w:val="21"/>
              </w:rPr>
              <w:t>通讯方式：支持近地无线</w:t>
            </w:r>
            <w:r>
              <w:rPr>
                <w:rFonts w:ascii="仿宋_GB2312" w:hAnsi="仿宋_GB2312" w:cs="仿宋_GB2312" w:eastAsia="仿宋_GB2312"/>
                <w:sz w:val="21"/>
              </w:rPr>
              <w:t>ME</w:t>
            </w:r>
            <w:r>
              <w:rPr>
                <w:rFonts w:ascii="仿宋_GB2312" w:hAnsi="仿宋_GB2312" w:cs="仿宋_GB2312" w:eastAsia="仿宋_GB2312"/>
                <w:sz w:val="21"/>
              </w:rPr>
              <w:t>SH自组网</w:t>
            </w:r>
            <w:r>
              <w:rPr>
                <w:rFonts w:ascii="仿宋_GB2312" w:hAnsi="仿宋_GB2312" w:cs="仿宋_GB2312" w:eastAsia="仿宋_GB2312"/>
                <w:sz w:val="21"/>
              </w:rPr>
              <w:t>或</w:t>
            </w:r>
            <w:r>
              <w:rPr>
                <w:rFonts w:ascii="仿宋_GB2312" w:hAnsi="仿宋_GB2312" w:cs="仿宋_GB2312" w:eastAsia="仿宋_GB2312"/>
                <w:sz w:val="21"/>
              </w:rPr>
              <w:t>LORA组网</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扬声器功率：</w:t>
            </w:r>
            <w:r>
              <w:rPr>
                <w:rFonts w:ascii="仿宋_GB2312" w:hAnsi="仿宋_GB2312" w:cs="仿宋_GB2312" w:eastAsia="仿宋_GB2312"/>
                <w:sz w:val="21"/>
              </w:rPr>
              <w:t>≥2W；</w:t>
            </w:r>
          </w:p>
          <w:p>
            <w:pPr>
              <w:pStyle w:val="null3"/>
              <w:numPr>
                <w:ilvl w:val="0"/>
                <w:numId w:val="1"/>
              </w:numPr>
              <w:jc w:val="both"/>
            </w:pPr>
            <w:r>
              <w:rPr>
                <w:rFonts w:ascii="仿宋_GB2312" w:hAnsi="仿宋_GB2312" w:cs="仿宋_GB2312" w:eastAsia="仿宋_GB2312"/>
                <w:sz w:val="21"/>
              </w:rPr>
              <w:t>工作温度：</w:t>
            </w:r>
            <w:r>
              <w:rPr>
                <w:rFonts w:ascii="仿宋_GB2312" w:hAnsi="仿宋_GB2312" w:cs="仿宋_GB2312" w:eastAsia="仿宋_GB2312"/>
                <w:sz w:val="21"/>
              </w:rPr>
              <w:t>0~45℃；</w:t>
            </w:r>
          </w:p>
          <w:p>
            <w:pPr>
              <w:pStyle w:val="null3"/>
              <w:numPr>
                <w:ilvl w:val="0"/>
                <w:numId w:val="1"/>
              </w:numPr>
              <w:jc w:val="both"/>
            </w:pPr>
            <w:r>
              <w:rPr>
                <w:rFonts w:ascii="仿宋_GB2312" w:hAnsi="仿宋_GB2312" w:cs="仿宋_GB2312" w:eastAsia="仿宋_GB2312"/>
                <w:sz w:val="21"/>
              </w:rPr>
              <w:t>存储温度：</w:t>
            </w:r>
            <w:r>
              <w:rPr>
                <w:rFonts w:ascii="仿宋_GB2312" w:hAnsi="仿宋_GB2312" w:cs="仿宋_GB2312" w:eastAsia="仿宋_GB2312"/>
                <w:sz w:val="21"/>
              </w:rPr>
              <w:t>-20~60℃；</w:t>
            </w:r>
          </w:p>
          <w:p>
            <w:pPr>
              <w:pStyle w:val="null3"/>
              <w:numPr>
                <w:ilvl w:val="0"/>
                <w:numId w:val="1"/>
              </w:numPr>
              <w:jc w:val="both"/>
            </w:pPr>
            <w:r>
              <w:rPr>
                <w:rFonts w:ascii="仿宋_GB2312" w:hAnsi="仿宋_GB2312" w:cs="仿宋_GB2312" w:eastAsia="仿宋_GB2312"/>
                <w:sz w:val="21"/>
              </w:rPr>
              <w:t>质保年限：三年。</w:t>
            </w:r>
          </w:p>
          <w:p>
            <w:pPr>
              <w:pStyle w:val="null3"/>
              <w:jc w:val="both"/>
              <w:outlineLvl w:val="2"/>
            </w:pPr>
            <w:r>
              <w:rPr>
                <w:rFonts w:ascii="仿宋_GB2312" w:hAnsi="仿宋_GB2312" w:cs="仿宋_GB2312" w:eastAsia="仿宋_GB2312"/>
                <w:sz w:val="21"/>
                <w:b/>
              </w:rPr>
              <w:t>四、设备安装调试要求</w:t>
            </w:r>
          </w:p>
          <w:p>
            <w:pPr>
              <w:pStyle w:val="null3"/>
              <w:ind w:firstLine="420"/>
              <w:jc w:val="both"/>
            </w:pPr>
            <w:r>
              <w:rPr>
                <w:rFonts w:ascii="仿宋_GB2312" w:hAnsi="仿宋_GB2312" w:cs="仿宋_GB2312" w:eastAsia="仿宋_GB2312"/>
                <w:sz w:val="21"/>
              </w:rPr>
              <w:t>4.1接收端设备安装要求</w:t>
            </w:r>
          </w:p>
          <w:p>
            <w:pPr>
              <w:pStyle w:val="null3"/>
              <w:ind w:firstLine="420"/>
              <w:jc w:val="both"/>
            </w:pPr>
            <w:r>
              <w:rPr>
                <w:rFonts w:ascii="仿宋_GB2312" w:hAnsi="仿宋_GB2312" w:cs="仿宋_GB2312" w:eastAsia="仿宋_GB2312"/>
                <w:sz w:val="21"/>
              </w:rPr>
              <w:t>接收端安装应符合下列规定：</w:t>
            </w:r>
          </w:p>
          <w:p>
            <w:pPr>
              <w:pStyle w:val="null3"/>
              <w:ind w:firstLine="420"/>
              <w:jc w:val="both"/>
            </w:pPr>
            <w:r>
              <w:rPr>
                <w:rFonts w:ascii="仿宋_GB2312" w:hAnsi="仿宋_GB2312" w:cs="仿宋_GB2312" w:eastAsia="仿宋_GB2312"/>
                <w:sz w:val="21"/>
              </w:rPr>
              <w:t>1、应选择适当的高度进行安装，便于保护对象观看和收听预警信号；</w:t>
            </w:r>
          </w:p>
          <w:p>
            <w:pPr>
              <w:pStyle w:val="null3"/>
              <w:ind w:firstLine="420"/>
              <w:jc w:val="both"/>
            </w:pPr>
            <w:r>
              <w:rPr>
                <w:rFonts w:ascii="仿宋_GB2312" w:hAnsi="仿宋_GB2312" w:cs="仿宋_GB2312" w:eastAsia="仿宋_GB2312"/>
                <w:sz w:val="21"/>
              </w:rPr>
              <w:t>2、应选择便于取电的位置进行安装，确保报警器供电；</w:t>
            </w:r>
          </w:p>
          <w:p>
            <w:pPr>
              <w:pStyle w:val="null3"/>
              <w:ind w:firstLine="420"/>
              <w:jc w:val="both"/>
            </w:pPr>
            <w:r>
              <w:rPr>
                <w:rFonts w:ascii="仿宋_GB2312" w:hAnsi="仿宋_GB2312" w:cs="仿宋_GB2312" w:eastAsia="仿宋_GB2312"/>
                <w:sz w:val="21"/>
              </w:rPr>
              <w:t>3、应选择网络信号较好的位置安装，确保通信正常；</w:t>
            </w:r>
          </w:p>
          <w:p>
            <w:pPr>
              <w:pStyle w:val="null3"/>
              <w:ind w:firstLine="420"/>
              <w:jc w:val="both"/>
            </w:pPr>
            <w:r>
              <w:rPr>
                <w:rFonts w:ascii="仿宋_GB2312" w:hAnsi="仿宋_GB2312" w:cs="仿宋_GB2312" w:eastAsia="仿宋_GB2312"/>
                <w:sz w:val="21"/>
              </w:rPr>
              <w:t>4、应在设备附近张贴使用须知，并对保护对象进行使用培训。</w:t>
            </w:r>
          </w:p>
          <w:p>
            <w:pPr>
              <w:pStyle w:val="null3"/>
              <w:ind w:firstLine="420"/>
              <w:jc w:val="both"/>
            </w:pPr>
            <w:r>
              <w:rPr>
                <w:rFonts w:ascii="仿宋_GB2312" w:hAnsi="仿宋_GB2312" w:cs="仿宋_GB2312" w:eastAsia="仿宋_GB2312"/>
                <w:sz w:val="21"/>
              </w:rPr>
              <w:t>4.2呼叫端设备安装要求</w:t>
            </w:r>
          </w:p>
          <w:p>
            <w:pPr>
              <w:pStyle w:val="null3"/>
              <w:ind w:firstLine="420"/>
              <w:jc w:val="both"/>
            </w:pPr>
            <w:r>
              <w:rPr>
                <w:rFonts w:ascii="仿宋_GB2312" w:hAnsi="仿宋_GB2312" w:cs="仿宋_GB2312" w:eastAsia="仿宋_GB2312"/>
                <w:sz w:val="21"/>
              </w:rPr>
              <w:t>呼叫端安装应符合下列规定：</w:t>
            </w:r>
          </w:p>
          <w:p>
            <w:pPr>
              <w:pStyle w:val="null3"/>
              <w:ind w:firstLine="420"/>
              <w:jc w:val="both"/>
            </w:pPr>
            <w:r>
              <w:rPr>
                <w:rFonts w:ascii="仿宋_GB2312" w:hAnsi="仿宋_GB2312" w:cs="仿宋_GB2312" w:eastAsia="仿宋_GB2312"/>
                <w:sz w:val="21"/>
              </w:rPr>
              <w:t>1、应在设备附近张贴使用须知，并对防汛责任人进行使用培训；</w:t>
            </w:r>
          </w:p>
          <w:p>
            <w:pPr>
              <w:pStyle w:val="null3"/>
              <w:ind w:firstLine="420"/>
              <w:jc w:val="both"/>
            </w:pPr>
            <w:r>
              <w:rPr>
                <w:rFonts w:ascii="仿宋_GB2312" w:hAnsi="仿宋_GB2312" w:cs="仿宋_GB2312" w:eastAsia="仿宋_GB2312"/>
                <w:sz w:val="21"/>
              </w:rPr>
              <w:t>2、应选择便于取电的位置进行安装，确保呼叫端供电；</w:t>
            </w:r>
          </w:p>
          <w:p>
            <w:pPr>
              <w:pStyle w:val="null3"/>
              <w:ind w:firstLine="420"/>
              <w:jc w:val="both"/>
            </w:pPr>
            <w:r>
              <w:rPr>
                <w:rFonts w:ascii="仿宋_GB2312" w:hAnsi="仿宋_GB2312" w:cs="仿宋_GB2312" w:eastAsia="仿宋_GB2312"/>
                <w:sz w:val="21"/>
              </w:rPr>
              <w:t>3、应选择网络信号较好的位置安装，确保通信正常。</w:t>
            </w:r>
          </w:p>
          <w:p>
            <w:pPr>
              <w:pStyle w:val="null3"/>
              <w:ind w:firstLine="420"/>
              <w:jc w:val="both"/>
            </w:pPr>
            <w:r>
              <w:rPr>
                <w:rFonts w:ascii="仿宋_GB2312" w:hAnsi="仿宋_GB2312" w:cs="仿宋_GB2312" w:eastAsia="仿宋_GB2312"/>
                <w:sz w:val="21"/>
              </w:rPr>
              <w:t>4.3设备组网要求</w:t>
            </w:r>
          </w:p>
          <w:p>
            <w:pPr>
              <w:pStyle w:val="null3"/>
              <w:ind w:firstLine="420"/>
              <w:jc w:val="both"/>
            </w:pPr>
            <w:r>
              <w:rPr>
                <w:rFonts w:ascii="仿宋_GB2312" w:hAnsi="仿宋_GB2312" w:cs="仿宋_GB2312" w:eastAsia="仿宋_GB2312"/>
                <w:sz w:val="21"/>
              </w:rPr>
              <w:t>新型入户型报警叫应设备的呼叫端与接收端需实现基于公网和自组网通信，设备安装部署后及运行维护期间需保持设备间组网状态，以支持在常规条件下以及在</w:t>
            </w:r>
            <w:r>
              <w:rPr>
                <w:rFonts w:ascii="仿宋_GB2312" w:hAnsi="仿宋_GB2312" w:cs="仿宋_GB2312" w:eastAsia="仿宋_GB2312"/>
                <w:sz w:val="21"/>
              </w:rPr>
              <w:t>“三断”条件下的自组网安装方式。</w:t>
            </w:r>
          </w:p>
          <w:p>
            <w:pPr>
              <w:pStyle w:val="null3"/>
              <w:ind w:firstLine="420"/>
              <w:jc w:val="both"/>
            </w:pPr>
            <w:r>
              <w:rPr>
                <w:rFonts w:ascii="仿宋_GB2312" w:hAnsi="仿宋_GB2312" w:cs="仿宋_GB2312" w:eastAsia="仿宋_GB2312"/>
                <w:sz w:val="21"/>
              </w:rPr>
              <w:t>4.4设备运维要求</w:t>
            </w:r>
          </w:p>
          <w:p>
            <w:pPr>
              <w:pStyle w:val="null3"/>
            </w:pPr>
            <w:r>
              <w:rPr>
                <w:rFonts w:ascii="仿宋_GB2312" w:hAnsi="仿宋_GB2312" w:cs="仿宋_GB2312" w:eastAsia="仿宋_GB2312"/>
                <w:sz w:val="21"/>
              </w:rPr>
              <w:t xml:space="preserve">  定期检查设备运行状态、信号状态、组网状态及电池电量等特征指标，对于存在问题的接收端设备，在</w:t>
            </w:r>
            <w:r>
              <w:rPr>
                <w:rFonts w:ascii="仿宋_GB2312" w:hAnsi="仿宋_GB2312" w:cs="仿宋_GB2312" w:eastAsia="仿宋_GB2312"/>
                <w:sz w:val="21"/>
              </w:rPr>
              <w:t>24小时内完成设备维护或更换，确保接收端设备的稳定运行。</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标的名称：2026年防治区面积和人口复核.小流域治理单元下垫面数据复核更新.危险区预警指标确定复核与站点关联.监测预报预警平台数智化提升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一、防治区面积和人口复核</w:t>
            </w:r>
          </w:p>
          <w:p>
            <w:pPr>
              <w:pStyle w:val="null3"/>
              <w:ind w:firstLine="420"/>
              <w:jc w:val="both"/>
            </w:pPr>
            <w:r>
              <w:rPr>
                <w:rFonts w:ascii="仿宋_GB2312" w:hAnsi="仿宋_GB2312" w:cs="仿宋_GB2312" w:eastAsia="仿宋_GB2312"/>
                <w:sz w:val="21"/>
              </w:rPr>
              <w:t>目前陕西省全省共划定</w:t>
            </w:r>
            <w:r>
              <w:rPr>
                <w:rFonts w:ascii="仿宋_GB2312" w:hAnsi="仿宋_GB2312" w:cs="仿宋_GB2312" w:eastAsia="仿宋_GB2312"/>
                <w:sz w:val="21"/>
              </w:rPr>
              <w:t>1348个小流域治理单元，已将小流域治理单元的防治区面积和人口等数据存入省山洪灾害数据库。2026年在全省范围内复核确定区内行政村或自然村的村庄类型（即防治村或非防治村），核实统计截至2025年12月31日防治区面积、防治村及其人口数量。</w:t>
            </w:r>
          </w:p>
          <w:p>
            <w:pPr>
              <w:pStyle w:val="null3"/>
              <w:jc w:val="both"/>
              <w:outlineLvl w:val="2"/>
            </w:pPr>
            <w:r>
              <w:rPr>
                <w:rFonts w:ascii="仿宋_GB2312" w:hAnsi="仿宋_GB2312" w:cs="仿宋_GB2312" w:eastAsia="仿宋_GB2312"/>
                <w:sz w:val="21"/>
                <w:b/>
              </w:rPr>
              <w:t>1.1防治区面积复核</w:t>
            </w:r>
          </w:p>
          <w:p>
            <w:pPr>
              <w:pStyle w:val="null3"/>
              <w:ind w:firstLine="420"/>
              <w:jc w:val="both"/>
            </w:pPr>
            <w:r>
              <w:rPr>
                <w:rFonts w:ascii="仿宋_GB2312" w:hAnsi="仿宋_GB2312" w:cs="仿宋_GB2312" w:eastAsia="仿宋_GB2312"/>
                <w:sz w:val="21"/>
              </w:rPr>
              <w:t>1、防治区指山丘区可能发生山洪灾害的区域和相应降雨汇流的区域，应当基于复核与更新后的小流域治理单元开展防治区面积复核。</w:t>
            </w:r>
          </w:p>
          <w:p>
            <w:pPr>
              <w:pStyle w:val="null3"/>
              <w:ind w:firstLine="420"/>
              <w:jc w:val="both"/>
            </w:pPr>
            <w:r>
              <w:rPr>
                <w:rFonts w:ascii="仿宋_GB2312" w:hAnsi="仿宋_GB2312" w:cs="仿宋_GB2312" w:eastAsia="仿宋_GB2312"/>
                <w:sz w:val="21"/>
              </w:rPr>
              <w:t>2、将复核后的小流域治理单元作为本行政区内的山洪灾害防治区范围，统计辖区内相应小流域治理单元面积。</w:t>
            </w:r>
          </w:p>
          <w:p>
            <w:pPr>
              <w:pStyle w:val="null3"/>
              <w:ind w:firstLine="420"/>
              <w:jc w:val="both"/>
            </w:pPr>
            <w:r>
              <w:rPr>
                <w:rFonts w:ascii="仿宋_GB2312" w:hAnsi="仿宋_GB2312" w:cs="仿宋_GB2312" w:eastAsia="仿宋_GB2312"/>
                <w:sz w:val="21"/>
              </w:rPr>
              <w:t>3、汇总所有小流域治理单元面积，形成本行政区的山洪灾害防治区面积。</w:t>
            </w:r>
          </w:p>
          <w:p>
            <w:pPr>
              <w:pStyle w:val="null3"/>
              <w:jc w:val="both"/>
              <w:outlineLvl w:val="2"/>
            </w:pPr>
            <w:r>
              <w:rPr>
                <w:rFonts w:ascii="仿宋_GB2312" w:hAnsi="仿宋_GB2312" w:cs="仿宋_GB2312" w:eastAsia="仿宋_GB2312"/>
                <w:sz w:val="21"/>
                <w:b/>
              </w:rPr>
              <w:t>1.2防治区人口复核与更新</w:t>
            </w:r>
          </w:p>
          <w:p>
            <w:pPr>
              <w:pStyle w:val="null3"/>
              <w:ind w:firstLine="420"/>
              <w:jc w:val="both"/>
            </w:pPr>
            <w:r>
              <w:rPr>
                <w:rFonts w:ascii="仿宋_GB2312" w:hAnsi="仿宋_GB2312" w:cs="仿宋_GB2312" w:eastAsia="仿宋_GB2312"/>
                <w:sz w:val="21"/>
              </w:rPr>
              <w:t>1、防治村确定。以小流域治理单元为单位，依据村落所处地理位置、历史山洪灾害情况、现状防洪能力、雨洪特征等因素，逐个行政村（或自然村）核对，确定是否属于山洪灾害防治村，以及是行政村（A型村）还是自然村（B型村）。</w:t>
            </w:r>
          </w:p>
          <w:p>
            <w:pPr>
              <w:pStyle w:val="null3"/>
              <w:ind w:firstLine="420"/>
              <w:jc w:val="both"/>
            </w:pPr>
            <w:r>
              <w:rPr>
                <w:rFonts w:ascii="仿宋_GB2312" w:hAnsi="仿宋_GB2312" w:cs="仿宋_GB2312" w:eastAsia="仿宋_GB2312"/>
                <w:sz w:val="21"/>
              </w:rPr>
              <w:t>防治村均为行政村，且有一个及以上的山洪灾害危险区。对划分为防治村、后续需纳入防治区人口复核与更新的对象，复核工作中应进一步细化到其辖区内的自然村、企事业单位、经济活动区等受山洪威胁的单元，以便后续开展相关对象的信息更新工作。这些单元应当满足以下几个条件之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1）位于沟道边上或沟口，可能受到溪河洪水上涨影响；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2）位于凹型坡面深槽线附近，在强降雨时可能因坡面流受到影响；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3）位于高位水体（如塘坝、冰湖，等）失事淹没范围内。</w:t>
            </w:r>
          </w:p>
          <w:p>
            <w:pPr>
              <w:pStyle w:val="null3"/>
              <w:ind w:firstLine="420"/>
              <w:jc w:val="both"/>
            </w:pPr>
            <w:r>
              <w:rPr>
                <w:rFonts w:ascii="仿宋_GB2312" w:hAnsi="仿宋_GB2312" w:cs="仿宋_GB2312" w:eastAsia="仿宋_GB2312"/>
                <w:sz w:val="21"/>
              </w:rPr>
              <w:t>2、防治村信息完善。对核实为山洪灾害防治村的防御对象，通过资料调阅、基层核实、现场调查等方式，统计形成每个防治村行政区划内的总人数、总户数、总房屋数、危险区个数、危险区人口、危险区户数、危险区房屋数等基础数据。</w:t>
            </w:r>
          </w:p>
          <w:p>
            <w:pPr>
              <w:pStyle w:val="null3"/>
              <w:spacing w:after="120"/>
              <w:ind w:left="420"/>
              <w:jc w:val="both"/>
            </w:pPr>
            <w:r>
              <w:rPr>
                <w:rFonts w:ascii="仿宋_GB2312" w:hAnsi="仿宋_GB2312" w:cs="仿宋_GB2312" w:eastAsia="仿宋_GB2312"/>
                <w:sz w:val="20"/>
              </w:rPr>
              <w:t>1.3成果要求</w:t>
            </w:r>
          </w:p>
          <w:p>
            <w:pPr>
              <w:pStyle w:val="null3"/>
              <w:spacing w:after="120"/>
              <w:ind w:left="420"/>
              <w:jc w:val="both"/>
            </w:pPr>
            <w:r>
              <w:rPr>
                <w:rFonts w:ascii="仿宋_GB2312" w:hAnsi="仿宋_GB2312" w:cs="仿宋_GB2312" w:eastAsia="仿宋_GB2312"/>
                <w:sz w:val="20"/>
              </w:rPr>
              <w:t>填写《山洪灾害风险调查与重点隐患排查技术要求（初稿）》表格相关内容：</w:t>
            </w:r>
          </w:p>
          <w:p>
            <w:pPr>
              <w:pStyle w:val="null3"/>
              <w:spacing w:after="120"/>
              <w:ind w:left="420"/>
              <w:jc w:val="both"/>
            </w:pPr>
            <w:r>
              <w:rPr>
                <w:rFonts w:ascii="仿宋_GB2312" w:hAnsi="仿宋_GB2312" w:cs="仿宋_GB2312" w:eastAsia="仿宋_GB2312"/>
                <w:sz w:val="20"/>
              </w:rPr>
              <w:t>（</w:t>
            </w:r>
            <w:r>
              <w:rPr>
                <w:rFonts w:ascii="仿宋_GB2312" w:hAnsi="仿宋_GB2312" w:cs="仿宋_GB2312" w:eastAsia="仿宋_GB2312"/>
                <w:sz w:val="20"/>
              </w:rPr>
              <w:t>1）“附表A-1防治区面积和人口复核清单”；</w:t>
            </w:r>
          </w:p>
          <w:p>
            <w:pPr>
              <w:pStyle w:val="null3"/>
              <w:spacing w:after="120"/>
              <w:ind w:left="420"/>
              <w:jc w:val="both"/>
            </w:pPr>
            <w:r>
              <w:rPr>
                <w:rFonts w:ascii="仿宋_GB2312" w:hAnsi="仿宋_GB2312" w:cs="仿宋_GB2312" w:eastAsia="仿宋_GB2312"/>
                <w:sz w:val="20"/>
              </w:rPr>
              <w:t>（</w:t>
            </w:r>
            <w:r>
              <w:rPr>
                <w:rFonts w:ascii="仿宋_GB2312" w:hAnsi="仿宋_GB2312" w:cs="仿宋_GB2312" w:eastAsia="仿宋_GB2312"/>
                <w:sz w:val="20"/>
              </w:rPr>
              <w:t>2）“附表A-2 山洪灾害防治村名录”。</w:t>
            </w:r>
          </w:p>
          <w:p>
            <w:pPr>
              <w:pStyle w:val="null3"/>
              <w:jc w:val="both"/>
              <w:outlineLvl w:val="2"/>
            </w:pPr>
            <w:r>
              <w:rPr>
                <w:rFonts w:ascii="仿宋_GB2312" w:hAnsi="仿宋_GB2312" w:cs="仿宋_GB2312" w:eastAsia="仿宋_GB2312"/>
                <w:sz w:val="21"/>
                <w:b/>
              </w:rPr>
              <w:t>二、小流域治理单元下垫面数据复核更新</w:t>
            </w:r>
          </w:p>
          <w:p>
            <w:pPr>
              <w:pStyle w:val="null3"/>
              <w:ind w:firstLine="420"/>
              <w:jc w:val="both"/>
            </w:pPr>
            <w:r>
              <w:rPr>
                <w:rFonts w:ascii="仿宋_GB2312" w:hAnsi="仿宋_GB2312" w:cs="仿宋_GB2312" w:eastAsia="仿宋_GB2312"/>
                <w:sz w:val="21"/>
              </w:rPr>
              <w:t>2026年对西安、宝鸡、安康、汉中、商洛的682个小流域治理单元开展下垫面数据更新。在共享应用行业部门或单位已有成果基础上，采用高分卫星遥感、无人机倾斜摄影、激光雷达等信息采集手段，获取山洪灾害防治区新近时相遥感影像和地形等数据，复核更新山丘区小流域河网、土地利用及植被类型、河床质等下垫面数据。</w:t>
            </w:r>
          </w:p>
          <w:p>
            <w:pPr>
              <w:pStyle w:val="null3"/>
              <w:ind w:firstLine="420"/>
              <w:jc w:val="both"/>
            </w:pPr>
            <w:r>
              <w:rPr>
                <w:rFonts w:ascii="仿宋_GB2312" w:hAnsi="仿宋_GB2312" w:cs="仿宋_GB2312" w:eastAsia="仿宋_GB2312"/>
                <w:sz w:val="21"/>
              </w:rPr>
              <w:t>1、优于2米空间分辨率正射影像数据（DOM）采集</w:t>
            </w:r>
          </w:p>
          <w:p>
            <w:pPr>
              <w:pStyle w:val="null3"/>
              <w:ind w:firstLine="420"/>
              <w:jc w:val="both"/>
            </w:pPr>
            <w:r>
              <w:rPr>
                <w:rFonts w:ascii="仿宋_GB2312" w:hAnsi="仿宋_GB2312" w:cs="仿宋_GB2312" w:eastAsia="仿宋_GB2312"/>
                <w:sz w:val="21"/>
              </w:rPr>
              <w:t>利用</w:t>
            </w:r>
            <w:r>
              <w:rPr>
                <w:rFonts w:ascii="仿宋_GB2312" w:hAnsi="仿宋_GB2312" w:cs="仿宋_GB2312" w:eastAsia="仿宋_GB2312"/>
                <w:sz w:val="21"/>
              </w:rPr>
              <w:t>2024年以后的高分一号、高分六号、资源三号、高分七号等卫星数据，采用自动化处理和人工干预相结合的方式进行正射影像图的生产加工，获取山洪灾害防治区优于2米空间分辨率光学卫星DOM数据，用于支撑山丘区小流域土地利用类型更新。</w:t>
            </w:r>
          </w:p>
          <w:p>
            <w:pPr>
              <w:pStyle w:val="null3"/>
              <w:ind w:firstLine="420"/>
              <w:jc w:val="both"/>
            </w:pPr>
            <w:r>
              <w:rPr>
                <w:rFonts w:ascii="仿宋_GB2312" w:hAnsi="仿宋_GB2312" w:cs="仿宋_GB2312" w:eastAsia="仿宋_GB2312"/>
                <w:sz w:val="21"/>
              </w:rPr>
              <w:t>2、小流域河网复核</w:t>
            </w:r>
          </w:p>
          <w:p>
            <w:pPr>
              <w:pStyle w:val="null3"/>
              <w:ind w:firstLine="420"/>
              <w:jc w:val="both"/>
            </w:pPr>
            <w:r>
              <w:rPr>
                <w:rFonts w:ascii="仿宋_GB2312" w:hAnsi="仿宋_GB2312" w:cs="仿宋_GB2312" w:eastAsia="仿宋_GB2312"/>
                <w:sz w:val="21"/>
              </w:rPr>
              <w:t>基于山洪灾害相关调查评价已有的小流域，依据上述优于</w:t>
            </w:r>
            <w:r>
              <w:rPr>
                <w:rFonts w:ascii="仿宋_GB2312" w:hAnsi="仿宋_GB2312" w:cs="仿宋_GB2312" w:eastAsia="仿宋_GB2312"/>
                <w:sz w:val="21"/>
              </w:rPr>
              <w:t>2米DOM、共享优于5米DEM，结合自然河流水系，复核更新小流域边界与河网水系。综合运用遥感解译与地形分析技术，并结合实地调查成果予以修正，确保河网连通性以及流域边界的科学性与完整性，提升山洪灾害风险模拟的空间精度与可靠性。具体包括：复核是否存在河流改道、汇流关系错误、小流域边界与河网拓扑关系不一致等问题。对于小流域边界与河网偏移问题，结合上述优于2米DOM，采用人机互动方式对小流域和河道进行纠偏；对于存在河流改道和汇流拓扑错误的问题，利用GIS水系提取技术修正当前错误的小流域、河道、河网拓扑等。</w:t>
            </w:r>
          </w:p>
          <w:p>
            <w:pPr>
              <w:pStyle w:val="null3"/>
              <w:ind w:firstLine="420"/>
              <w:jc w:val="both"/>
            </w:pPr>
            <w:r>
              <w:rPr>
                <w:rFonts w:ascii="仿宋_GB2312" w:hAnsi="仿宋_GB2312" w:cs="仿宋_GB2312" w:eastAsia="仿宋_GB2312"/>
                <w:sz w:val="21"/>
              </w:rPr>
              <w:t>3、土地利用遥感解译</w:t>
            </w:r>
          </w:p>
          <w:p>
            <w:pPr>
              <w:pStyle w:val="null3"/>
              <w:ind w:firstLine="420"/>
              <w:jc w:val="both"/>
            </w:pPr>
            <w:r>
              <w:rPr>
                <w:rFonts w:ascii="仿宋_GB2312" w:hAnsi="仿宋_GB2312" w:cs="仿宋_GB2312" w:eastAsia="仿宋_GB2312"/>
                <w:sz w:val="21"/>
              </w:rPr>
              <w:t>以小流域为单元，基于上述优于</w:t>
            </w:r>
            <w:r>
              <w:rPr>
                <w:rFonts w:ascii="仿宋_GB2312" w:hAnsi="仿宋_GB2312" w:cs="仿宋_GB2312" w:eastAsia="仿宋_GB2312"/>
                <w:sz w:val="21"/>
              </w:rPr>
              <w:t>2米空间分辨率光学卫星DOM数据，采用遥感解译软件自动分类与人工结合的方式，获取山丘区小流域土地利用类型(特别是居民地、交通等基础设施用地)、较大水体等下垫面数据，通过外业复核对成果进行修正。</w:t>
            </w:r>
          </w:p>
          <w:p>
            <w:pPr>
              <w:pStyle w:val="null3"/>
              <w:ind w:firstLine="420"/>
              <w:jc w:val="both"/>
            </w:pPr>
            <w:r>
              <w:rPr>
                <w:rFonts w:ascii="仿宋_GB2312" w:hAnsi="仿宋_GB2312" w:cs="仿宋_GB2312" w:eastAsia="仿宋_GB2312"/>
                <w:sz w:val="21"/>
              </w:rPr>
              <w:t>土地利用类型主要包括耕地、园地、林地、草地、交通运输用地、水域及水利设施用地、房屋建筑（区）、构筑物、人工堆掘地和其他土地。主要工作内容包括：数据分析及预处理、解译样本采集、土地利用及植被覆盖数据要素信息提取和核查、数据成果整合、质量检查、分流域裁切、成果整理等。对影像质量、时相较好的区域，或地表覆盖类型简单、成片地区，可采用深度学习的遥感智能识别模型进行自动解译后，由人工判读修改。对于影像质量差、时相为冬天、有云雾的影像，或地表覆盖类型复杂、破碎的地区，直接进行人工判读采集。</w:t>
            </w:r>
          </w:p>
          <w:p>
            <w:pPr>
              <w:pStyle w:val="null3"/>
              <w:ind w:firstLine="420"/>
              <w:jc w:val="both"/>
            </w:pPr>
            <w:r>
              <w:rPr>
                <w:rFonts w:ascii="仿宋_GB2312" w:hAnsi="仿宋_GB2312" w:cs="仿宋_GB2312" w:eastAsia="仿宋_GB2312"/>
                <w:sz w:val="21"/>
              </w:rPr>
              <w:t>基于上述优于</w:t>
            </w:r>
            <w:r>
              <w:rPr>
                <w:rFonts w:ascii="仿宋_GB2312" w:hAnsi="仿宋_GB2312" w:cs="仿宋_GB2312" w:eastAsia="仿宋_GB2312"/>
                <w:sz w:val="21"/>
              </w:rPr>
              <w:t>2米空间分辨率光学卫星DOM数据和共享优于5米空间分辨率DEM，获取小流域治理单元的小型水库、塘堰坝、尾矿库、冰湖等水体范围。</w:t>
            </w:r>
          </w:p>
          <w:p>
            <w:pPr>
              <w:pStyle w:val="null3"/>
              <w:ind w:firstLine="420"/>
              <w:jc w:val="both"/>
            </w:pPr>
            <w:r>
              <w:rPr>
                <w:rFonts w:ascii="仿宋_GB2312" w:hAnsi="仿宋_GB2312" w:cs="仿宋_GB2312" w:eastAsia="仿宋_GB2312"/>
                <w:sz w:val="21"/>
              </w:rPr>
              <w:t>4、植被类型</w:t>
            </w:r>
          </w:p>
          <w:p>
            <w:pPr>
              <w:pStyle w:val="null3"/>
              <w:ind w:firstLine="420"/>
              <w:jc w:val="both"/>
            </w:pPr>
            <w:r>
              <w:rPr>
                <w:rFonts w:ascii="仿宋_GB2312" w:hAnsi="仿宋_GB2312" w:cs="仿宋_GB2312" w:eastAsia="仿宋_GB2312"/>
                <w:sz w:val="21"/>
              </w:rPr>
              <w:t>利用近两年</w:t>
            </w:r>
            <w:r>
              <w:rPr>
                <w:rFonts w:ascii="仿宋_GB2312" w:hAnsi="仿宋_GB2312" w:cs="仿宋_GB2312" w:eastAsia="仿宋_GB2312"/>
                <w:sz w:val="21"/>
              </w:rPr>
              <w:t>MODIS的MCD12Q1土地覆盖产品，进行预处理，经过计算得到小流域治理单元250米空间分辨率的植被类型栅格文件。利用近两年MODIS归一化植被指数（NDVI）产品，进行预处理，在标识有云或质量不佳的区域范围内，选择2年内相同时段的MODISNDVI，进行最大值合成法处理，经过计算得到小流域治理单元汛期4月至10月，每月1期的250m空间分辨率的植被覆盖度。</w:t>
            </w:r>
          </w:p>
          <w:p>
            <w:pPr>
              <w:pStyle w:val="null3"/>
              <w:ind w:firstLine="420"/>
              <w:jc w:val="both"/>
            </w:pPr>
            <w:r>
              <w:rPr>
                <w:rFonts w:ascii="仿宋_GB2312" w:hAnsi="仿宋_GB2312" w:cs="仿宋_GB2312" w:eastAsia="仿宋_GB2312"/>
                <w:sz w:val="21"/>
              </w:rPr>
              <w:t>5、沟道补充</w:t>
            </w:r>
          </w:p>
          <w:p>
            <w:pPr>
              <w:pStyle w:val="null3"/>
              <w:ind w:firstLine="420"/>
              <w:jc w:val="both"/>
            </w:pPr>
            <w:r>
              <w:rPr>
                <w:rFonts w:ascii="仿宋_GB2312" w:hAnsi="仿宋_GB2312" w:cs="仿宋_GB2312" w:eastAsia="仿宋_GB2312"/>
                <w:sz w:val="21"/>
              </w:rPr>
              <w:t>根据更新防御对象流域面积的需要，依据上述优于</w:t>
            </w:r>
            <w:r>
              <w:rPr>
                <w:rFonts w:ascii="仿宋_GB2312" w:hAnsi="仿宋_GB2312" w:cs="仿宋_GB2312" w:eastAsia="仿宋_GB2312"/>
                <w:sz w:val="21"/>
              </w:rPr>
              <w:t>2米DOM、共享优于5米DEM，利用GIS水系提取技术和人机互动方式，对流域面积为1平方公里以上的沟道进行补充，并为沟道添加沟道编码、流域面积、沟道长度、沟道比降等属性信息。补充沟道的编码满足技术要求，并和2013年-2015年中央统一组织研制并下发的小流域及河网数据集在编码和拓扑关系上保持一致。基于上述小流域河网复核和沟道补充成果，运用GIS等手段，更新防御对象流域面积等属性，流域面积误差＜1平方公里。沟道编码采用小流域编码方法+支流码，位数为17位以《中国河流代码》（SL249-2012）为基础。在现有河段编码后面新增1位编码（先用0-9，再用A-Y），每位的取值为大写字母(A-Z)、小写字母(a-z)或数字(0-9)流域和河段采用同一编码，编码结构见图2.1，编码含义及取值见表2.1。</w:t>
            </w:r>
          </w:p>
          <w:p>
            <w:pPr>
              <w:pStyle w:val="null3"/>
              <w:jc w:val="center"/>
            </w:pPr>
            <w:r>
              <w:drawing>
                <wp:inline distT="0" distR="0" distB="0" distL="0">
                  <wp:extent cx="1621155" cy="41638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621155" cy="416380"/>
                          </a:xfrm>
                          <a:prstGeom prst="rect">
                            <a:avLst/>
                          </a:prstGeom>
                        </pic:spPr>
                      </pic:pic>
                    </a:graphicData>
                  </a:graphic>
                </wp:inline>
              </w:drawing>
            </w:r>
          </w:p>
          <w:p>
            <w:pPr>
              <w:pStyle w:val="null3"/>
              <w:jc w:val="center"/>
            </w:pPr>
            <w:r>
              <w:rPr>
                <w:rFonts w:ascii="仿宋_GB2312" w:hAnsi="仿宋_GB2312" w:cs="仿宋_GB2312" w:eastAsia="仿宋_GB2312"/>
              </w:rPr>
              <w:t>图</w:t>
            </w:r>
            <w:r>
              <w:rPr>
                <w:rFonts w:ascii="仿宋_GB2312" w:hAnsi="仿宋_GB2312" w:cs="仿宋_GB2312" w:eastAsia="仿宋_GB2312"/>
              </w:rPr>
              <w:t>2.1  小流域编码结构图</w:t>
            </w:r>
          </w:p>
          <w:p>
            <w:pPr>
              <w:pStyle w:val="null3"/>
              <w:jc w:val="center"/>
            </w:pPr>
            <w:r>
              <w:rPr>
                <w:rFonts w:ascii="仿宋_GB2312" w:hAnsi="仿宋_GB2312" w:cs="仿宋_GB2312" w:eastAsia="仿宋_GB2312"/>
              </w:rPr>
              <w:t>表</w:t>
            </w:r>
            <w:r>
              <w:rPr>
                <w:rFonts w:ascii="仿宋_GB2312" w:hAnsi="仿宋_GB2312" w:cs="仿宋_GB2312" w:eastAsia="仿宋_GB2312"/>
              </w:rPr>
              <w:t>2.1  河流代码含义</w:t>
            </w:r>
          </w:p>
          <w:tbl>
            <w:tblPr>
              <w:tblInd w:type="dxa" w:w="105"/>
              <w:tblBorders>
                <w:top w:val="none" w:color="000000" w:sz="4"/>
                <w:left w:val="none" w:color="000000" w:sz="4"/>
                <w:bottom w:val="none" w:color="000000" w:sz="4"/>
                <w:right w:val="none" w:color="000000" w:sz="4"/>
                <w:insideH w:val="none"/>
                <w:insideV w:val="none"/>
              </w:tblBorders>
            </w:tblPr>
            <w:tblGrid>
              <w:gridCol w:w="432"/>
              <w:gridCol w:w="1065"/>
              <w:gridCol w:w="1055"/>
            </w:tblGrid>
            <w:tr>
              <w:tc>
                <w:tcPr>
                  <w:tcW w:type="dxa" w:w="4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编码位</w:t>
                  </w:r>
                </w:p>
              </w:tc>
              <w:tc>
                <w:tcPr>
                  <w:tcW w:type="dxa" w:w="10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编码位含义</w:t>
                  </w:r>
                </w:p>
              </w:tc>
              <w:tc>
                <w:tcPr>
                  <w:tcW w:type="dxa" w:w="10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编码位取值</w:t>
                  </w:r>
                </w:p>
              </w:tc>
            </w:tr>
            <w:tr>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F</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该位为分类码，区分流域、河道、节点</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w:t>
                  </w:r>
                  <w:r>
                    <w:rPr>
                      <w:rFonts w:ascii="仿宋_GB2312" w:hAnsi="仿宋_GB2312" w:cs="仿宋_GB2312" w:eastAsia="仿宋_GB2312"/>
                      <w:sz w:val="21"/>
                    </w:rPr>
                    <w:t>：流域、</w:t>
                  </w:r>
                  <w:r>
                    <w:rPr>
                      <w:rFonts w:ascii="仿宋_GB2312" w:hAnsi="仿宋_GB2312" w:cs="仿宋_GB2312" w:eastAsia="仿宋_GB2312"/>
                      <w:sz w:val="21"/>
                    </w:rPr>
                    <w:t>A</w:t>
                  </w:r>
                  <w:r>
                    <w:rPr>
                      <w:rFonts w:ascii="仿宋_GB2312" w:hAnsi="仿宋_GB2312" w:cs="仿宋_GB2312" w:eastAsia="仿宋_GB2312"/>
                      <w:sz w:val="21"/>
                    </w:rPr>
                    <w:t>：河道、</w:t>
                  </w:r>
                  <w:r>
                    <w:rPr>
                      <w:rFonts w:ascii="仿宋_GB2312" w:hAnsi="仿宋_GB2312" w:cs="仿宋_GB2312" w:eastAsia="仿宋_GB2312"/>
                      <w:sz w:val="21"/>
                    </w:rPr>
                    <w:t>Q</w:t>
                  </w:r>
                  <w:r>
                    <w:rPr>
                      <w:rFonts w:ascii="仿宋_GB2312" w:hAnsi="仿宋_GB2312" w:cs="仿宋_GB2312" w:eastAsia="仿宋_GB2312"/>
                      <w:sz w:val="21"/>
                    </w:rPr>
                    <w:t>：节点</w:t>
                  </w:r>
                </w:p>
              </w:tc>
            </w:tr>
            <w:tr>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BTFFSS</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一级流域、二级流域、一级支流、二级支流编码</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同</w:t>
                  </w:r>
                  <w:r>
                    <w:rPr>
                      <w:rFonts w:ascii="仿宋_GB2312" w:hAnsi="仿宋_GB2312" w:cs="仿宋_GB2312" w:eastAsia="仿宋_GB2312"/>
                      <w:sz w:val="21"/>
                    </w:rPr>
                    <w:t>《</w:t>
                  </w:r>
                  <w:r>
                    <w:rPr>
                      <w:rFonts w:ascii="仿宋_GB2312" w:hAnsi="仿宋_GB2312" w:cs="仿宋_GB2312" w:eastAsia="仿宋_GB2312"/>
                      <w:sz w:val="21"/>
                    </w:rPr>
                    <w:t>中</w:t>
                  </w:r>
                  <w:r>
                    <w:rPr>
                      <w:rFonts w:ascii="仿宋_GB2312" w:hAnsi="仿宋_GB2312" w:cs="仿宋_GB2312" w:eastAsia="仿宋_GB2312"/>
                      <w:sz w:val="21"/>
                    </w:rPr>
                    <w:t>国</w:t>
                  </w:r>
                  <w:r>
                    <w:rPr>
                      <w:rFonts w:ascii="仿宋_GB2312" w:hAnsi="仿宋_GB2312" w:cs="仿宋_GB2312" w:eastAsia="仿宋_GB2312"/>
                      <w:sz w:val="21"/>
                    </w:rPr>
                    <w:t>河</w:t>
                  </w:r>
                  <w:r>
                    <w:rPr>
                      <w:rFonts w:ascii="仿宋_GB2312" w:hAnsi="仿宋_GB2312" w:cs="仿宋_GB2312" w:eastAsia="仿宋_GB2312"/>
                      <w:sz w:val="21"/>
                    </w:rPr>
                    <w:t>流</w:t>
                  </w:r>
                  <w:r>
                    <w:rPr>
                      <w:rFonts w:ascii="仿宋_GB2312" w:hAnsi="仿宋_GB2312" w:cs="仿宋_GB2312" w:eastAsia="仿宋_GB2312"/>
                      <w:sz w:val="21"/>
                    </w:rPr>
                    <w:t>代</w:t>
                  </w:r>
                  <w:r>
                    <w:rPr>
                      <w:rFonts w:ascii="仿宋_GB2312" w:hAnsi="仿宋_GB2312" w:cs="仿宋_GB2312" w:eastAsia="仿宋_GB2312"/>
                      <w:sz w:val="21"/>
                    </w:rPr>
                    <w:t>码</w:t>
                  </w:r>
                  <w:r>
                    <w:rPr>
                      <w:rFonts w:ascii="仿宋_GB2312" w:hAnsi="仿宋_GB2312" w:cs="仿宋_GB2312" w:eastAsia="仿宋_GB2312"/>
                      <w:sz w:val="21"/>
                    </w:rPr>
                    <w:t>》</w:t>
                  </w:r>
                  <w:r>
                    <w:rPr>
                      <w:rFonts w:ascii="仿宋_GB2312" w:hAnsi="仿宋_GB2312" w:cs="仿宋_GB2312" w:eastAsia="仿宋_GB2312"/>
                      <w:sz w:val="21"/>
                    </w:rPr>
                    <w:t>(SL249-2012)</w:t>
                  </w:r>
                </w:p>
              </w:tc>
            </w:tr>
            <w:tr>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H</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该段表示干流编码，默认为</w:t>
                  </w:r>
                  <w:r>
                    <w:rPr>
                      <w:rFonts w:ascii="仿宋_GB2312" w:hAnsi="仿宋_GB2312" w:cs="仿宋_GB2312" w:eastAsia="仿宋_GB2312"/>
                      <w:sz w:val="21"/>
                    </w:rPr>
                    <w:t xml:space="preserve">1 </w:t>
                  </w:r>
                  <w:r>
                    <w:rPr>
                      <w:rFonts w:ascii="仿宋_GB2312" w:hAnsi="仿宋_GB2312" w:cs="仿宋_GB2312" w:eastAsia="仿宋_GB2312"/>
                      <w:sz w:val="21"/>
                    </w:rPr>
                    <w:t>位</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数字</w:t>
                  </w:r>
                  <w:r>
                    <w:rPr>
                      <w:rFonts w:ascii="仿宋_GB2312" w:hAnsi="仿宋_GB2312" w:cs="仿宋_GB2312" w:eastAsia="仿宋_GB2312"/>
                      <w:sz w:val="21"/>
                    </w:rPr>
                    <w:t xml:space="preserve">(1-9) </w:t>
                  </w:r>
                  <w:r>
                    <w:rPr>
                      <w:rFonts w:ascii="仿宋_GB2312" w:hAnsi="仿宋_GB2312" w:cs="仿宋_GB2312" w:eastAsia="仿宋_GB2312"/>
                      <w:sz w:val="21"/>
                    </w:rPr>
                    <w:t>，大写字母</w:t>
                  </w:r>
                  <w:r>
                    <w:rPr>
                      <w:rFonts w:ascii="仿宋_GB2312" w:hAnsi="仿宋_GB2312" w:cs="仿宋_GB2312" w:eastAsia="仿宋_GB2312"/>
                      <w:sz w:val="21"/>
                    </w:rPr>
                    <w:t xml:space="preserve">(AZ) </w:t>
                  </w:r>
                  <w:r>
                    <w:rPr>
                      <w:rFonts w:ascii="仿宋_GB2312" w:hAnsi="仿宋_GB2312" w:cs="仿宋_GB2312" w:eastAsia="仿宋_GB2312"/>
                      <w:sz w:val="21"/>
                    </w:rPr>
                    <w:t>，小写字母</w:t>
                  </w:r>
                  <w:r>
                    <w:rPr>
                      <w:rFonts w:ascii="仿宋_GB2312" w:hAnsi="仿宋_GB2312" w:cs="仿宋_GB2312" w:eastAsia="仿宋_GB2312"/>
                      <w:sz w:val="21"/>
                    </w:rPr>
                    <w:t>(a-z)</w:t>
                  </w:r>
                </w:p>
              </w:tc>
            </w:tr>
            <w:tr>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XXXXXXXX</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该段表示干流以下支流编码，无支流时用</w:t>
                  </w:r>
                  <w:r>
                    <w:rPr>
                      <w:rFonts w:ascii="仿宋_GB2312" w:hAnsi="仿宋_GB2312" w:cs="仿宋_GB2312" w:eastAsia="仿宋_GB2312"/>
                      <w:sz w:val="21"/>
                    </w:rPr>
                    <w:t>0</w:t>
                  </w:r>
                  <w:r>
                    <w:rPr>
                      <w:rFonts w:ascii="仿宋_GB2312" w:hAnsi="仿宋_GB2312" w:cs="仿宋_GB2312" w:eastAsia="仿宋_GB2312"/>
                      <w:sz w:val="21"/>
                    </w:rPr>
                    <w:t>填充。下级干支流依此原则逐级编码。</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大写字母</w:t>
                  </w:r>
                  <w:r>
                    <w:rPr>
                      <w:rFonts w:ascii="仿宋_GB2312" w:hAnsi="仿宋_GB2312" w:cs="仿宋_GB2312" w:eastAsia="仿宋_GB2312"/>
                      <w:sz w:val="21"/>
                    </w:rPr>
                    <w:t xml:space="preserve">(A-Z) </w:t>
                  </w:r>
                  <w:r>
                    <w:rPr>
                      <w:rFonts w:ascii="仿宋_GB2312" w:hAnsi="仿宋_GB2312" w:cs="仿宋_GB2312" w:eastAsia="仿宋_GB2312"/>
                      <w:sz w:val="21"/>
                    </w:rPr>
                    <w:t>，小写字母</w:t>
                  </w:r>
                  <w:r>
                    <w:rPr>
                      <w:rFonts w:ascii="仿宋_GB2312" w:hAnsi="仿宋_GB2312" w:cs="仿宋_GB2312" w:eastAsia="仿宋_GB2312"/>
                      <w:sz w:val="21"/>
                    </w:rPr>
                    <w:t>(a-z)</w:t>
                  </w:r>
                </w:p>
              </w:tc>
            </w:tr>
            <w:tr>
              <w:tc>
                <w:tcPr>
                  <w:tcW w:type="dxa" w:w="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N</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小支流码，小流域</w:t>
                  </w:r>
                  <w:r>
                    <w:rPr>
                      <w:rFonts w:ascii="仿宋_GB2312" w:hAnsi="仿宋_GB2312" w:cs="仿宋_GB2312" w:eastAsia="仿宋_GB2312"/>
                      <w:sz w:val="21"/>
                    </w:rPr>
                    <w:t xml:space="preserve">16 </w:t>
                  </w:r>
                  <w:r>
                    <w:rPr>
                      <w:rFonts w:ascii="仿宋_GB2312" w:hAnsi="仿宋_GB2312" w:cs="仿宋_GB2312" w:eastAsia="仿宋_GB2312"/>
                      <w:sz w:val="21"/>
                    </w:rPr>
                    <w:t>位编码上的延伸码，</w:t>
                  </w:r>
                  <w:r>
                    <w:rPr>
                      <w:rFonts w:ascii="仿宋_GB2312" w:hAnsi="仿宋_GB2312" w:cs="仿宋_GB2312" w:eastAsia="仿宋_GB2312"/>
                      <w:sz w:val="21"/>
                    </w:rPr>
                    <w:t>1</w:t>
                  </w:r>
                  <w:r>
                    <w:rPr>
                      <w:rFonts w:ascii="仿宋_GB2312" w:hAnsi="仿宋_GB2312" w:cs="仿宋_GB2312" w:eastAsia="仿宋_GB2312"/>
                      <w:sz w:val="21"/>
                    </w:rPr>
                    <w:t>位</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数字</w:t>
                  </w:r>
                  <w:r>
                    <w:rPr>
                      <w:rFonts w:ascii="仿宋_GB2312" w:hAnsi="仿宋_GB2312" w:cs="仿宋_GB2312" w:eastAsia="仿宋_GB2312"/>
                      <w:sz w:val="21"/>
                    </w:rPr>
                    <w:t>(0-9</w:t>
                  </w:r>
                  <w:r>
                    <w:rPr>
                      <w:rFonts w:ascii="仿宋_GB2312" w:hAnsi="仿宋_GB2312" w:cs="仿宋_GB2312" w:eastAsia="仿宋_GB2312"/>
                      <w:sz w:val="21"/>
                    </w:rPr>
                    <w:t>，</w:t>
                  </w:r>
                  <w:r>
                    <w:rPr>
                      <w:rFonts w:ascii="仿宋_GB2312" w:hAnsi="仿宋_GB2312" w:cs="仿宋_GB2312" w:eastAsia="仿宋_GB2312"/>
                      <w:sz w:val="21"/>
                    </w:rPr>
                    <w:t xml:space="preserve">A-Y </w:t>
                  </w:r>
                  <w:r>
                    <w:rPr>
                      <w:rFonts w:ascii="仿宋_GB2312" w:hAnsi="仿宋_GB2312" w:cs="仿宋_GB2312" w:eastAsia="仿宋_GB2312"/>
                      <w:sz w:val="21"/>
                    </w:rPr>
                    <w:t>，或补位码</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w:t>
                  </w:r>
                </w:p>
              </w:tc>
            </w:tr>
          </w:tbl>
          <w:p>
            <w:pPr>
              <w:pStyle w:val="null3"/>
              <w:jc w:val="center"/>
            </w:pPr>
            <w:r>
              <w:rPr>
                <w:rFonts w:ascii="仿宋_GB2312" w:hAnsi="仿宋_GB2312" w:cs="仿宋_GB2312" w:eastAsia="仿宋_GB2312"/>
                <w:sz w:val="21"/>
              </w:rPr>
              <w:t>6、成果要求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1）“1个表格”</w:t>
            </w:r>
          </w:p>
          <w:p>
            <w:pPr>
              <w:pStyle w:val="null3"/>
              <w:ind w:firstLine="420"/>
              <w:jc w:val="both"/>
            </w:pPr>
            <w:r>
              <w:rPr>
                <w:rFonts w:ascii="仿宋_GB2312" w:hAnsi="仿宋_GB2312" w:cs="仿宋_GB2312" w:eastAsia="仿宋_GB2312"/>
                <w:sz w:val="21"/>
              </w:rPr>
              <w:t>记录河网信息变化、地类与植被信息变化的表格，应当记录前后的具体变化。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2）“1套数据”</w:t>
            </w:r>
          </w:p>
          <w:p>
            <w:pPr>
              <w:pStyle w:val="null3"/>
              <w:ind w:firstLine="420"/>
              <w:jc w:val="both"/>
            </w:pPr>
            <w:r>
              <w:rPr>
                <w:rFonts w:ascii="仿宋_GB2312" w:hAnsi="仿宋_GB2312" w:cs="仿宋_GB2312" w:eastAsia="仿宋_GB2312"/>
                <w:sz w:val="21"/>
              </w:rPr>
              <w:t>形成本阶段工作后的一套更新数据，包括：</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1）河网及河床质信息复核与补充后的*.shp文件；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2）地类与植被信息复核后的*.shp文件。</w:t>
            </w:r>
          </w:p>
          <w:p>
            <w:pPr>
              <w:pStyle w:val="null3"/>
              <w:ind w:firstLine="422"/>
              <w:jc w:val="both"/>
            </w:pPr>
            <w:r>
              <w:rPr>
                <w:rFonts w:ascii="仿宋_GB2312" w:hAnsi="仿宋_GB2312" w:cs="仿宋_GB2312" w:eastAsia="仿宋_GB2312"/>
                <w:sz w:val="21"/>
                <w:b/>
              </w:rPr>
              <w:t>三、危险区预警指标确定、复核与站点关联</w:t>
            </w:r>
          </w:p>
          <w:p>
            <w:pPr>
              <w:pStyle w:val="null3"/>
              <w:ind w:firstLine="420"/>
              <w:jc w:val="both"/>
            </w:pPr>
            <w:r>
              <w:rPr>
                <w:rFonts w:ascii="仿宋_GB2312" w:hAnsi="仿宋_GB2312" w:cs="仿宋_GB2312" w:eastAsia="仿宋_GB2312"/>
                <w:sz w:val="21"/>
              </w:rPr>
              <w:t>在延安、铜川两市</w:t>
            </w:r>
            <w:r>
              <w:rPr>
                <w:rFonts w:ascii="仿宋_GB2312" w:hAnsi="仿宋_GB2312" w:cs="仿宋_GB2312" w:eastAsia="仿宋_GB2312"/>
                <w:sz w:val="21"/>
              </w:rPr>
              <w:t>51个重点小流域范围内，新增调查防御对象（危险区等）需要分析确定预警指标，以往偏差较大的防御对象需要对已有预警指标进行复核和修正，还应加强防御对象（危险区等）与监测站点和风险隐患关联关系的相关分析。</w:t>
            </w:r>
          </w:p>
          <w:p>
            <w:pPr>
              <w:pStyle w:val="null3"/>
              <w:ind w:firstLine="420"/>
              <w:jc w:val="both"/>
            </w:pPr>
            <w:r>
              <w:rPr>
                <w:rFonts w:ascii="仿宋_GB2312" w:hAnsi="仿宋_GB2312" w:cs="仿宋_GB2312" w:eastAsia="仿宋_GB2312"/>
                <w:sz w:val="21"/>
              </w:rPr>
              <w:t>1、预警指标分析方法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1）雨量预警指标</w:t>
            </w:r>
          </w:p>
          <w:p>
            <w:pPr>
              <w:pStyle w:val="null3"/>
              <w:ind w:firstLine="420"/>
              <w:jc w:val="both"/>
            </w:pPr>
            <w:r>
              <w:rPr>
                <w:rFonts w:ascii="仿宋_GB2312" w:hAnsi="仿宋_GB2312" w:cs="仿宋_GB2312" w:eastAsia="仿宋_GB2312"/>
                <w:sz w:val="21"/>
              </w:rPr>
              <w:t>雨量预警指标分析包括预警时段确定、流域土壤含水量分析、临界流量计算、临界雨量推算、预警指标确定以及合理性分析等环节，各环节技术要点如下。</w:t>
            </w:r>
          </w:p>
          <w:p>
            <w:pPr>
              <w:pStyle w:val="null3"/>
              <w:ind w:firstLine="420"/>
              <w:jc w:val="both"/>
            </w:pPr>
            <w:r>
              <w:rPr>
                <w:rFonts w:ascii="仿宋_GB2312" w:hAnsi="仿宋_GB2312" w:cs="仿宋_GB2312" w:eastAsia="仿宋_GB2312"/>
                <w:sz w:val="21"/>
              </w:rPr>
              <w:t>1）预警时段确定</w:t>
            </w:r>
          </w:p>
          <w:p>
            <w:pPr>
              <w:pStyle w:val="null3"/>
              <w:ind w:firstLine="420"/>
              <w:jc w:val="both"/>
            </w:pPr>
            <w:r>
              <w:rPr>
                <w:rFonts w:ascii="仿宋_GB2312" w:hAnsi="仿宋_GB2312" w:cs="仿宋_GB2312" w:eastAsia="仿宋_GB2312"/>
                <w:sz w:val="21"/>
              </w:rPr>
              <w:t>原则和方法如下：</w:t>
            </w:r>
          </w:p>
          <w:p>
            <w:pPr>
              <w:pStyle w:val="null3"/>
              <w:ind w:firstLine="420"/>
              <w:jc w:val="both"/>
            </w:pPr>
            <w:r>
              <w:rPr>
                <w:rFonts w:ascii="仿宋_GB2312" w:hAnsi="仿宋_GB2312" w:cs="仿宋_GB2312" w:eastAsia="仿宋_GB2312"/>
                <w:sz w:val="21"/>
              </w:rPr>
              <w:t>①最长时段确定：流域汇流时间是非常重要预警时段，也是预警指标的最长时段。</w:t>
            </w:r>
          </w:p>
          <w:p>
            <w:pPr>
              <w:pStyle w:val="null3"/>
              <w:ind w:firstLine="420"/>
              <w:jc w:val="both"/>
            </w:pPr>
            <w:r>
              <w:rPr>
                <w:rFonts w:ascii="仿宋_GB2312" w:hAnsi="仿宋_GB2312" w:cs="仿宋_GB2312" w:eastAsia="仿宋_GB2312"/>
                <w:sz w:val="21"/>
              </w:rPr>
              <w:t>②典型时段确定：应根据防御对象所在地区暴雨特性、流域面积大小、平均比降、形状系数、下垫面情况等因素，确定比汇流时间小的短历时预警时段，如 0.5小时、1小时、3小时等。一般选取2-3个典型预警时段，北方干旱地区，由于暴雨强度大以及超渗产流突出等特性，最小预警时段可选为0.5小时。</w:t>
            </w:r>
          </w:p>
          <w:p>
            <w:pPr>
              <w:pStyle w:val="null3"/>
              <w:ind w:firstLine="420"/>
              <w:jc w:val="both"/>
            </w:pPr>
            <w:r>
              <w:rPr>
                <w:rFonts w:ascii="仿宋_GB2312" w:hAnsi="仿宋_GB2312" w:cs="仿宋_GB2312" w:eastAsia="仿宋_GB2312"/>
                <w:sz w:val="21"/>
              </w:rPr>
              <w:t>③综合确定预警时段：充分参考流域暴雨、下垫面特性以及历史山洪情况，综合分析沿河村落、集镇、城镇等防御对象所处河段的河谷形态、洪水上涨速率、转移时间及其影响人口等因素后，确定各防御对象的各个典型预警时段，从最小预警时段直至流域汇流时间。</w:t>
            </w:r>
          </w:p>
          <w:p>
            <w:pPr>
              <w:pStyle w:val="null3"/>
              <w:ind w:firstLine="420"/>
              <w:jc w:val="both"/>
            </w:pPr>
            <w:r>
              <w:rPr>
                <w:rFonts w:ascii="仿宋_GB2312" w:hAnsi="仿宋_GB2312" w:cs="仿宋_GB2312" w:eastAsia="仿宋_GB2312"/>
                <w:sz w:val="21"/>
              </w:rPr>
              <w:t>2）流域土壤含水量分析</w:t>
            </w:r>
          </w:p>
          <w:p>
            <w:pPr>
              <w:pStyle w:val="null3"/>
              <w:ind w:firstLine="420"/>
              <w:jc w:val="both"/>
            </w:pPr>
            <w:r>
              <w:rPr>
                <w:rFonts w:ascii="仿宋_GB2312" w:hAnsi="仿宋_GB2312" w:cs="仿宋_GB2312" w:eastAsia="仿宋_GB2312"/>
                <w:sz w:val="21"/>
              </w:rPr>
              <w:t>计算土壤含水量时，可直接采用水文部门的现有成果；若资料高度缺乏，可以采用前期降雨对流域土壤含水量进行估算，推荐采用流域最大蓄水量估算法。</w:t>
            </w:r>
          </w:p>
          <w:p>
            <w:pPr>
              <w:pStyle w:val="null3"/>
              <w:ind w:firstLine="420"/>
              <w:jc w:val="both"/>
            </w:pPr>
            <w:r>
              <w:rPr>
                <w:rFonts w:ascii="仿宋_GB2312" w:hAnsi="仿宋_GB2312" w:cs="仿宋_GB2312" w:eastAsia="仿宋_GB2312"/>
                <w:sz w:val="21"/>
              </w:rPr>
              <w:t>3）临界流量计算</w:t>
            </w:r>
          </w:p>
          <w:p>
            <w:pPr>
              <w:pStyle w:val="null3"/>
              <w:ind w:firstLine="420"/>
              <w:jc w:val="both"/>
            </w:pPr>
            <w:r>
              <w:rPr>
                <w:rFonts w:ascii="仿宋_GB2312" w:hAnsi="仿宋_GB2312" w:cs="仿宋_GB2312" w:eastAsia="仿宋_GB2312"/>
                <w:sz w:val="21"/>
              </w:rPr>
              <w:t>根据危险区现状防洪能力评估成果，将其对应频率的流量作为推算临界雨量的临界流量。</w:t>
            </w:r>
          </w:p>
          <w:p>
            <w:pPr>
              <w:pStyle w:val="null3"/>
              <w:ind w:firstLine="420"/>
              <w:jc w:val="both"/>
            </w:pPr>
            <w:r>
              <w:rPr>
                <w:rFonts w:ascii="仿宋_GB2312" w:hAnsi="仿宋_GB2312" w:cs="仿宋_GB2312" w:eastAsia="仿宋_GB2312"/>
                <w:sz w:val="21"/>
              </w:rPr>
              <w:t>4）临界雨量推算</w:t>
            </w:r>
          </w:p>
          <w:p>
            <w:pPr>
              <w:pStyle w:val="null3"/>
              <w:ind w:firstLine="420"/>
              <w:jc w:val="both"/>
            </w:pPr>
            <w:r>
              <w:rPr>
                <w:rFonts w:ascii="仿宋_GB2312" w:hAnsi="仿宋_GB2312" w:cs="仿宋_GB2312" w:eastAsia="仿宋_GB2312"/>
                <w:sz w:val="21"/>
              </w:rPr>
              <w:t>在确定预警时段、流域土壤含水量、临界流量的基础上，考虑流域土壤较干、一般以及较湿等情况，计算沿河村落、集镇、城镇等防御对象的临界雨量。</w:t>
            </w:r>
          </w:p>
          <w:p>
            <w:pPr>
              <w:pStyle w:val="null3"/>
              <w:ind w:firstLine="420"/>
              <w:jc w:val="both"/>
            </w:pPr>
            <w:r>
              <w:rPr>
                <w:rFonts w:ascii="仿宋_GB2312" w:hAnsi="仿宋_GB2312" w:cs="仿宋_GB2312" w:eastAsia="仿宋_GB2312"/>
                <w:sz w:val="21"/>
              </w:rPr>
              <w:t>5）预警指标确定</w:t>
            </w:r>
          </w:p>
          <w:p>
            <w:pPr>
              <w:pStyle w:val="null3"/>
              <w:ind w:firstLine="420"/>
              <w:jc w:val="both"/>
            </w:pPr>
            <w:r>
              <w:rPr>
                <w:rFonts w:ascii="仿宋_GB2312" w:hAnsi="仿宋_GB2312" w:cs="仿宋_GB2312" w:eastAsia="仿宋_GB2312"/>
                <w:sz w:val="21"/>
              </w:rPr>
              <w:t>①对于危险区与控制性测站单站关联情况，可以将临界雨量作为与其关联的危险区的预警指标；</w:t>
            </w:r>
          </w:p>
          <w:p>
            <w:pPr>
              <w:pStyle w:val="null3"/>
              <w:ind w:firstLine="420"/>
              <w:jc w:val="both"/>
            </w:pPr>
            <w:r>
              <w:rPr>
                <w:rFonts w:ascii="仿宋_GB2312" w:hAnsi="仿宋_GB2312" w:cs="仿宋_GB2312" w:eastAsia="仿宋_GB2312"/>
                <w:sz w:val="21"/>
              </w:rPr>
              <w:t>②对于测站多站关联情况，应以临界雨量值为基础，同时考虑所在区域危险区的现状防洪能力情况，综合确定雨量值，作为该区域的预警指标值。</w:t>
            </w:r>
          </w:p>
          <w:p>
            <w:pPr>
              <w:pStyle w:val="null3"/>
              <w:ind w:firstLine="420"/>
              <w:jc w:val="both"/>
            </w:pPr>
            <w:r>
              <w:rPr>
                <w:rFonts w:ascii="仿宋_GB2312" w:hAnsi="仿宋_GB2312" w:cs="仿宋_GB2312" w:eastAsia="仿宋_GB2312"/>
                <w:sz w:val="21"/>
              </w:rPr>
              <w:t>6）合理性分析</w:t>
            </w:r>
          </w:p>
          <w:p>
            <w:pPr>
              <w:pStyle w:val="null3"/>
              <w:ind w:firstLine="420"/>
              <w:jc w:val="both"/>
            </w:pPr>
            <w:r>
              <w:rPr>
                <w:rFonts w:ascii="仿宋_GB2312" w:hAnsi="仿宋_GB2312" w:cs="仿宋_GB2312" w:eastAsia="仿宋_GB2312"/>
                <w:sz w:val="21"/>
              </w:rPr>
              <w:t>对于新增调查的防御对象（危险区等）预警指标，采用实际资料对比法、多方法结果对比法、系统相似分析法进行合理性分析。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水位预警指标</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单一沟道情况。危险区上游具有可用水位监测信息时，根据预警对象控制断面成灾水位，推算上游可用水位站的相应水位，作为水位预警指标对下游危险区进行预警。</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多支流汇流情况。当控制断面上游有多条沟道汇入且均有可用水位监测信息时，应由监测预警系统实时计算各沟道流量，并推算演进至下游危险区控制断面处的流量，判断是否达到或超过成灾水位，进而确定是否预警和预警等级。</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时长要求。山洪从上游水位站演进至下游危险区等防御对象的时间不应小于</w:t>
            </w:r>
            <w:r>
              <w:rPr>
                <w:rFonts w:ascii="仿宋_GB2312" w:hAnsi="仿宋_GB2312" w:cs="仿宋_GB2312" w:eastAsia="仿宋_GB2312"/>
                <w:sz w:val="21"/>
              </w:rPr>
              <w:t>30分钟。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流量预警指标</w:t>
            </w:r>
          </w:p>
          <w:p>
            <w:pPr>
              <w:pStyle w:val="null3"/>
              <w:ind w:firstLine="420"/>
              <w:jc w:val="both"/>
            </w:pPr>
            <w:r>
              <w:rPr>
                <w:rFonts w:ascii="仿宋_GB2312" w:hAnsi="仿宋_GB2312" w:cs="仿宋_GB2312" w:eastAsia="仿宋_GB2312"/>
                <w:sz w:val="21"/>
              </w:rPr>
              <w:t>计算流量预警指标，据此判断是否发布山洪预警以及预警等级，形成实时、滚动的提示性预测预警，滚动预警时间间隔为</w:t>
            </w:r>
            <w:r>
              <w:rPr>
                <w:rFonts w:ascii="仿宋_GB2312" w:hAnsi="仿宋_GB2312" w:cs="仿宋_GB2312" w:eastAsia="仿宋_GB2312"/>
                <w:sz w:val="21"/>
              </w:rPr>
              <w:t>1h、3h和6h，各地可根据实际情况选择滚动时间间隔。</w:t>
            </w:r>
          </w:p>
          <w:p>
            <w:pPr>
              <w:pStyle w:val="null3"/>
              <w:ind w:firstLine="420"/>
              <w:jc w:val="both"/>
            </w:pPr>
            <w:r>
              <w:rPr>
                <w:rFonts w:ascii="仿宋_GB2312" w:hAnsi="仿宋_GB2312" w:cs="仿宋_GB2312" w:eastAsia="仿宋_GB2312"/>
                <w:sz w:val="21"/>
              </w:rPr>
              <w:t>2、预警指标复核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1）雨量预警指标复核</w:t>
            </w:r>
          </w:p>
          <w:p>
            <w:pPr>
              <w:pStyle w:val="null3"/>
              <w:ind w:firstLine="420"/>
              <w:jc w:val="both"/>
            </w:pPr>
            <w:r>
              <w:rPr>
                <w:rFonts w:ascii="仿宋_GB2312" w:hAnsi="仿宋_GB2312" w:cs="仿宋_GB2312" w:eastAsia="仿宋_GB2312"/>
                <w:sz w:val="21"/>
              </w:rPr>
              <w:t>运用近年（前期调查评价年度之后，下同）发生灾害事件或发出预警事件的雨洪资料，进行控制断面设置复核、水位</w:t>
            </w:r>
            <w:r>
              <w:rPr>
                <w:rFonts w:ascii="仿宋_GB2312" w:hAnsi="仿宋_GB2312" w:cs="仿宋_GB2312" w:eastAsia="仿宋_GB2312"/>
                <w:sz w:val="21"/>
              </w:rPr>
              <w:t>-流量关系复核、设计暴雨洪水计算方法适用性及相应参数合理性分析和临界雨量及预警指标复核。</w:t>
            </w:r>
          </w:p>
          <w:p>
            <w:pPr>
              <w:pStyle w:val="null3"/>
              <w:ind w:firstLine="420"/>
              <w:jc w:val="both"/>
            </w:pPr>
            <w:r>
              <w:rPr>
                <w:rFonts w:ascii="仿宋_GB2312" w:hAnsi="仿宋_GB2312" w:cs="仿宋_GB2312" w:eastAsia="仿宋_GB2312"/>
                <w:sz w:val="21"/>
              </w:rPr>
              <w:t>1）控制断面设置复核。内容包括控制断面是否在在危险区附近，所在河段是否较为顺直，是否明显受冲淤影响。</w:t>
            </w:r>
          </w:p>
          <w:p>
            <w:pPr>
              <w:pStyle w:val="null3"/>
              <w:ind w:firstLine="420"/>
              <w:jc w:val="both"/>
            </w:pPr>
            <w:r>
              <w:rPr>
                <w:rFonts w:ascii="仿宋_GB2312" w:hAnsi="仿宋_GB2312" w:cs="仿宋_GB2312" w:eastAsia="仿宋_GB2312"/>
                <w:sz w:val="21"/>
              </w:rPr>
              <w:t>2）水位-流量关系复核。利用近期洪水调查资料，通过洪水水面线比降和调查复核糙率，计算确定防御对象控制断面水位-流量关系。</w:t>
            </w:r>
          </w:p>
          <w:p>
            <w:pPr>
              <w:pStyle w:val="null3"/>
              <w:ind w:firstLine="420"/>
              <w:jc w:val="both"/>
            </w:pPr>
            <w:r>
              <w:rPr>
                <w:rFonts w:ascii="仿宋_GB2312" w:hAnsi="仿宋_GB2312" w:cs="仿宋_GB2312" w:eastAsia="仿宋_GB2312"/>
                <w:sz w:val="21"/>
              </w:rPr>
              <w:t>3）暴雨洪水计算方法适用性及参数合理性分析。根据近期场次洪水的降雨资料，检验暴雨洪水计算方法适用性及参数的合理性。</w:t>
            </w:r>
          </w:p>
          <w:p>
            <w:pPr>
              <w:pStyle w:val="null3"/>
              <w:ind w:firstLine="420"/>
              <w:jc w:val="both"/>
            </w:pPr>
            <w:r>
              <w:rPr>
                <w:rFonts w:ascii="仿宋_GB2312" w:hAnsi="仿宋_GB2312" w:cs="仿宋_GB2312" w:eastAsia="仿宋_GB2312"/>
                <w:sz w:val="21"/>
              </w:rPr>
              <w:t>4）临界雨量及预警指标复核。采集整理近年发生山洪或致灾事件中的降雨洪水过程和预警发布时间等数据，自预警发出时间开始，反查1h、2h、3h、6h等时段的雨量，并分析前期雨量情况，分析比较原临界雨量与致灾事件时段雨量之间的偏离情况，从而评估临界雨量和预警指标的合理性和调整方向，为指标调整提供依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2）水位预警指标复核</w:t>
            </w:r>
          </w:p>
          <w:p>
            <w:pPr>
              <w:pStyle w:val="null3"/>
              <w:ind w:firstLine="420"/>
              <w:jc w:val="both"/>
            </w:pPr>
            <w:r>
              <w:rPr>
                <w:rFonts w:ascii="仿宋_GB2312" w:hAnsi="仿宋_GB2312" w:cs="仿宋_GB2312" w:eastAsia="仿宋_GB2312"/>
                <w:sz w:val="21"/>
              </w:rPr>
              <w:t>根据近年发生的成灾洪水水位过程和成灾时间和较大洪水洪痕现场调查，进行水位预警指标复核。</w:t>
            </w:r>
          </w:p>
          <w:p>
            <w:pPr>
              <w:pStyle w:val="null3"/>
              <w:ind w:firstLine="420"/>
              <w:jc w:val="both"/>
            </w:pPr>
            <w:r>
              <w:rPr>
                <w:rFonts w:ascii="仿宋_GB2312" w:hAnsi="仿宋_GB2312" w:cs="仿宋_GB2312" w:eastAsia="仿宋_GB2312"/>
                <w:sz w:val="21"/>
              </w:rPr>
              <w:t>3、危险区-监测站点关联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1）雨量站关联</w:t>
            </w:r>
          </w:p>
          <w:p>
            <w:pPr>
              <w:pStyle w:val="null3"/>
              <w:ind w:firstLine="420"/>
              <w:jc w:val="both"/>
            </w:pPr>
            <w:r>
              <w:rPr>
                <w:rFonts w:ascii="仿宋_GB2312" w:hAnsi="仿宋_GB2312" w:cs="仿宋_GB2312" w:eastAsia="仿宋_GB2312"/>
                <w:sz w:val="21"/>
              </w:rPr>
              <w:t>考虑到部分流域雨量测站较少、甚至没有雨量站的实际情况，雨量站关联基本原则为：流域内雨量站、流域周边雨量站都可以关联；以小流域治理单元为单位，考虑每个危险区</w:t>
            </w:r>
            <w:r>
              <w:rPr>
                <w:rFonts w:ascii="仿宋_GB2312" w:hAnsi="仿宋_GB2312" w:cs="仿宋_GB2312" w:eastAsia="仿宋_GB2312"/>
                <w:sz w:val="21"/>
              </w:rPr>
              <w:t>/危险区片在监测站网的位置，对危险区现状测站关联方案的合理性进行分析，优化调整监测站网，确保每个危险区/危险区片都有监测站进行关联。</w:t>
            </w:r>
          </w:p>
          <w:p>
            <w:pPr>
              <w:pStyle w:val="null3"/>
              <w:ind w:firstLine="420"/>
              <w:jc w:val="both"/>
            </w:pPr>
            <w:r>
              <w:rPr>
                <w:rFonts w:ascii="仿宋_GB2312" w:hAnsi="仿宋_GB2312" w:cs="仿宋_GB2312" w:eastAsia="仿宋_GB2312"/>
                <w:sz w:val="21"/>
              </w:rPr>
              <w:t>1）单站关联模式</w:t>
            </w:r>
          </w:p>
          <w:p>
            <w:pPr>
              <w:pStyle w:val="null3"/>
              <w:ind w:firstLine="420"/>
              <w:jc w:val="both"/>
            </w:pPr>
            <w:r>
              <w:rPr>
                <w:rFonts w:ascii="仿宋_GB2312" w:hAnsi="仿宋_GB2312" w:cs="仿宋_GB2312" w:eastAsia="仿宋_GB2312"/>
                <w:sz w:val="21"/>
              </w:rPr>
              <w:t>对于危险区上游集雨面积较小</w:t>
            </w:r>
            <w:r>
              <w:rPr>
                <w:rFonts w:ascii="仿宋_GB2312" w:hAnsi="仿宋_GB2312" w:cs="仿宋_GB2312" w:eastAsia="仿宋_GB2312"/>
                <w:sz w:val="21"/>
              </w:rPr>
              <w:t>(&lt;10平方公里)且沟道水系单一的情况，可以按照同流域单站就近原则进行关联，具体如下：</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 xml:space="preserve"> </w:t>
            </w:r>
            <w:r>
              <w:rPr>
                <w:rFonts w:ascii="仿宋_GB2312" w:hAnsi="仿宋_GB2312" w:cs="仿宋_GB2312" w:eastAsia="仿宋_GB2312"/>
                <w:sz w:val="21"/>
              </w:rPr>
              <w:t>选择位于危险区</w:t>
            </w:r>
            <w:r>
              <w:rPr>
                <w:rFonts w:ascii="仿宋_GB2312" w:hAnsi="仿宋_GB2312" w:cs="仿宋_GB2312" w:eastAsia="仿宋_GB2312"/>
                <w:sz w:val="21"/>
              </w:rPr>
              <w:t>/危险区片附近（距离不超过1-2公里）或者上游本流域内的测站进行关联；</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 xml:space="preserve"> </w:t>
            </w:r>
            <w:r>
              <w:rPr>
                <w:rFonts w:ascii="仿宋_GB2312" w:hAnsi="仿宋_GB2312" w:cs="仿宋_GB2312" w:eastAsia="仿宋_GB2312"/>
                <w:sz w:val="21"/>
              </w:rPr>
              <w:t>若</w:t>
            </w:r>
            <w:r>
              <w:rPr>
                <w:rFonts w:ascii="仿宋_GB2312" w:hAnsi="仿宋_GB2312" w:cs="仿宋_GB2312" w:eastAsia="仿宋_GB2312"/>
                <w:sz w:val="21"/>
              </w:rPr>
              <w:t>①不符合，可选择位于危险区/危险区片下游的本流域测站或危险区/危险区片上游周边流域测站，距离一般不超过2-4公里（最大距离不宜超过10公里），其间地形尽量不要有较大变化。</w:t>
            </w:r>
          </w:p>
          <w:p>
            <w:pPr>
              <w:pStyle w:val="null3"/>
              <w:ind w:firstLine="420"/>
              <w:jc w:val="both"/>
            </w:pPr>
            <w:r>
              <w:rPr>
                <w:rFonts w:ascii="仿宋_GB2312" w:hAnsi="仿宋_GB2312" w:cs="仿宋_GB2312" w:eastAsia="仿宋_GB2312"/>
                <w:sz w:val="21"/>
              </w:rPr>
              <w:t>2）多站关联模式</w:t>
            </w:r>
          </w:p>
          <w:p>
            <w:pPr>
              <w:pStyle w:val="null3"/>
              <w:ind w:firstLine="420"/>
              <w:jc w:val="both"/>
            </w:pPr>
            <w:r>
              <w:rPr>
                <w:rFonts w:ascii="仿宋_GB2312" w:hAnsi="仿宋_GB2312" w:cs="仿宋_GB2312" w:eastAsia="仿宋_GB2312"/>
                <w:sz w:val="21"/>
              </w:rPr>
              <w:t>对于危险区</w:t>
            </w:r>
            <w:r>
              <w:rPr>
                <w:rFonts w:ascii="仿宋_GB2312" w:hAnsi="仿宋_GB2312" w:cs="仿宋_GB2312" w:eastAsia="仿宋_GB2312"/>
                <w:sz w:val="21"/>
              </w:rPr>
              <w:t>/危险区片上游集雨面积较大(≥10平方公里)的情况，如流域内站点数不满足单站关联站点的要求，可就近选取周边代表测站进行关联，采用代表测站按暴雨点面关系修正，或采用泰森多边形法、算术平均法等方法，计算流域内多站的面雨量，进而将面雨量与覆盖的危险区/危险区片进行关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2）水位站关联</w:t>
            </w:r>
          </w:p>
          <w:p>
            <w:pPr>
              <w:pStyle w:val="null3"/>
              <w:ind w:firstLine="420"/>
              <w:jc w:val="both"/>
            </w:pPr>
            <w:r>
              <w:rPr>
                <w:rFonts w:ascii="仿宋_GB2312" w:hAnsi="仿宋_GB2312" w:cs="仿宋_GB2312" w:eastAsia="仿宋_GB2312"/>
                <w:sz w:val="21"/>
              </w:rPr>
              <w:t>1）时间要求。对于采用水位预警的防御对象，山洪（重现期在5~20年一遇之间的中洪水）从上游关联水位站演进至下游预警对象的时间不应小于30分钟。基于洪水上涨趋势预警的防御对象，水位站实时水位上涨至预警水位时间和洪水演进时间之和不应小于30分钟。</w:t>
            </w:r>
          </w:p>
          <w:p>
            <w:pPr>
              <w:pStyle w:val="null3"/>
              <w:ind w:firstLine="420"/>
              <w:jc w:val="both"/>
            </w:pPr>
            <w:r>
              <w:rPr>
                <w:rFonts w:ascii="仿宋_GB2312" w:hAnsi="仿宋_GB2312" w:cs="仿宋_GB2312" w:eastAsia="仿宋_GB2312"/>
                <w:sz w:val="21"/>
              </w:rPr>
              <w:t>2）外洪影响关联。如有外洪影响的，还应当与外洪流量或者水位监测站点进行关联。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3）隐患预警关联</w:t>
            </w:r>
          </w:p>
          <w:p>
            <w:pPr>
              <w:pStyle w:val="null3"/>
              <w:ind w:firstLine="420"/>
              <w:jc w:val="both"/>
            </w:pPr>
            <w:r>
              <w:rPr>
                <w:rFonts w:ascii="仿宋_GB2312" w:hAnsi="仿宋_GB2312" w:cs="仿宋_GB2312" w:eastAsia="仿宋_GB2312"/>
                <w:sz w:val="21"/>
              </w:rPr>
              <w:t>若有全天候视频监测设备，在系统平台中应将监测设备与危险区</w:t>
            </w:r>
            <w:r>
              <w:rPr>
                <w:rFonts w:ascii="仿宋_GB2312" w:hAnsi="仿宋_GB2312" w:cs="仿宋_GB2312" w:eastAsia="仿宋_GB2312"/>
                <w:sz w:val="21"/>
              </w:rPr>
              <w:t>/危险区片进行关联，对隐患处的洪水水位、固体物源、堵塞情况、壅水溃决等情况进行实时监测和研判，决定是否对危险区/危险区片发出预警。</w:t>
            </w:r>
          </w:p>
          <w:p>
            <w:pPr>
              <w:pStyle w:val="null3"/>
              <w:ind w:firstLine="420"/>
              <w:jc w:val="both"/>
            </w:pPr>
            <w:r>
              <w:rPr>
                <w:rFonts w:ascii="仿宋_GB2312" w:hAnsi="仿宋_GB2312" w:cs="仿宋_GB2312" w:eastAsia="仿宋_GB2312"/>
                <w:sz w:val="21"/>
              </w:rPr>
              <w:t>4、成果要求</w:t>
            </w:r>
          </w:p>
          <w:p>
            <w:pPr>
              <w:pStyle w:val="null3"/>
              <w:ind w:firstLine="420"/>
              <w:jc w:val="both"/>
            </w:pPr>
            <w:r>
              <w:rPr>
                <w:rFonts w:ascii="仿宋_GB2312" w:hAnsi="仿宋_GB2312" w:cs="仿宋_GB2312" w:eastAsia="仿宋_GB2312"/>
                <w:sz w:val="21"/>
              </w:rPr>
              <w:t>完成</w:t>
            </w:r>
            <w:r>
              <w:rPr>
                <w:rFonts w:ascii="仿宋_GB2312" w:hAnsi="仿宋_GB2312" w:cs="仿宋_GB2312" w:eastAsia="仿宋_GB2312"/>
                <w:sz w:val="21"/>
              </w:rPr>
              <w:t>“附表B-2 危险区关联站点与预警指标表”。</w:t>
            </w:r>
          </w:p>
          <w:p>
            <w:pPr>
              <w:pStyle w:val="null3"/>
              <w:jc w:val="center"/>
              <w:outlineLvl w:val="2"/>
            </w:pPr>
            <w:r>
              <w:rPr>
                <w:rFonts w:ascii="仿宋_GB2312" w:hAnsi="仿宋_GB2312" w:cs="仿宋_GB2312" w:eastAsia="仿宋_GB2312"/>
                <w:sz w:val="21"/>
                <w:b/>
              </w:rPr>
              <w:t>四、监测预报预警平台数智化提升</w:t>
            </w:r>
          </w:p>
          <w:p>
            <w:pPr>
              <w:pStyle w:val="null3"/>
              <w:jc w:val="both"/>
              <w:outlineLvl w:val="2"/>
            </w:pPr>
            <w:r>
              <w:rPr>
                <w:rFonts w:ascii="仿宋_GB2312" w:hAnsi="仿宋_GB2312" w:cs="仿宋_GB2312" w:eastAsia="仿宋_GB2312"/>
                <w:sz w:val="21"/>
                <w:b/>
              </w:rPr>
              <w:t>4.1算据算法建设</w:t>
            </w:r>
          </w:p>
          <w:p>
            <w:pPr>
              <w:pStyle w:val="null3"/>
              <w:jc w:val="both"/>
              <w:outlineLvl w:val="2"/>
            </w:pPr>
            <w:r>
              <w:rPr>
                <w:rFonts w:ascii="仿宋_GB2312" w:hAnsi="仿宋_GB2312" w:cs="仿宋_GB2312" w:eastAsia="仿宋_GB2312"/>
                <w:sz w:val="21"/>
                <w:b/>
              </w:rPr>
              <w:t>4.1.1算据建设</w:t>
            </w:r>
          </w:p>
          <w:p>
            <w:pPr>
              <w:pStyle w:val="null3"/>
              <w:ind w:firstLine="420"/>
              <w:jc w:val="both"/>
            </w:pPr>
            <w:r>
              <w:rPr>
                <w:rFonts w:ascii="仿宋_GB2312" w:hAnsi="仿宋_GB2312" w:cs="仿宋_GB2312" w:eastAsia="仿宋_GB2312"/>
                <w:sz w:val="21"/>
              </w:rPr>
              <w:t>4.1.1.1数据治理及集成应用</w:t>
            </w:r>
          </w:p>
          <w:p>
            <w:pPr>
              <w:pStyle w:val="null3"/>
              <w:ind w:firstLine="420"/>
              <w:jc w:val="both"/>
            </w:pPr>
            <w:r>
              <w:rPr>
                <w:rFonts w:ascii="仿宋_GB2312" w:hAnsi="仿宋_GB2312" w:cs="仿宋_GB2312" w:eastAsia="仿宋_GB2312"/>
                <w:sz w:val="21"/>
              </w:rPr>
              <w:t>梳理集成全省已有的山洪灾害防御基础数据、调查评价成果数据、风险隐患调查数据、全国第一次自然灾害综合风险普查等数据，实时雨水情监测数据、降雨预报数据，气象部门共享的其它气象数据，更新集成</w:t>
            </w:r>
            <w:r>
              <w:rPr>
                <w:rFonts w:ascii="仿宋_GB2312" w:hAnsi="仿宋_GB2312" w:cs="仿宋_GB2312" w:eastAsia="仿宋_GB2312"/>
                <w:sz w:val="21"/>
              </w:rPr>
              <w:t>L1级基础地理信息数据。</w:t>
            </w:r>
          </w:p>
          <w:p>
            <w:pPr>
              <w:pStyle w:val="null3"/>
              <w:ind w:firstLine="420"/>
              <w:jc w:val="both"/>
            </w:pPr>
            <w:r>
              <w:rPr>
                <w:rFonts w:ascii="仿宋_GB2312" w:hAnsi="仿宋_GB2312" w:cs="仿宋_GB2312" w:eastAsia="仿宋_GB2312"/>
                <w:sz w:val="21"/>
              </w:rPr>
              <w:t>将延安、铜川两市</w:t>
            </w:r>
            <w:r>
              <w:rPr>
                <w:rFonts w:ascii="仿宋_GB2312" w:hAnsi="仿宋_GB2312" w:cs="仿宋_GB2312" w:eastAsia="仿宋_GB2312"/>
                <w:sz w:val="21"/>
              </w:rPr>
              <w:t>51个重点小流域范围内的新增防治对象风险隐患调查和沟道断面测量数据梳理集成至省级平台，结合51个小流域范围内山洪灾害事件，维护隐患点动态管理清单。隐患点数据需整合名称、位置、所属区县、隐患内容、涉及区域、影响人口、农田、责任人等内容。</w:t>
            </w:r>
          </w:p>
          <w:p>
            <w:pPr>
              <w:pStyle w:val="null3"/>
              <w:ind w:firstLine="420"/>
              <w:jc w:val="both"/>
            </w:pPr>
            <w:r>
              <w:rPr>
                <w:rFonts w:ascii="仿宋_GB2312" w:hAnsi="仿宋_GB2312" w:cs="仿宋_GB2312" w:eastAsia="仿宋_GB2312"/>
                <w:sz w:val="21"/>
              </w:rPr>
              <w:t>结合年度新增建设功能和数据建设内容补充相应数据库表结构。</w:t>
            </w:r>
          </w:p>
          <w:p>
            <w:pPr>
              <w:pStyle w:val="null3"/>
              <w:ind w:firstLine="420"/>
              <w:jc w:val="both"/>
            </w:pPr>
            <w:r>
              <w:rPr>
                <w:rFonts w:ascii="仿宋_GB2312" w:hAnsi="仿宋_GB2312" w:cs="仿宋_GB2312" w:eastAsia="仿宋_GB2312"/>
                <w:sz w:val="21"/>
              </w:rPr>
              <w:t>4.1.1.2气象短临预报数据购置</w:t>
            </w:r>
          </w:p>
          <w:p>
            <w:pPr>
              <w:pStyle w:val="null3"/>
              <w:ind w:firstLine="420"/>
              <w:jc w:val="both"/>
            </w:pPr>
            <w:r>
              <w:rPr>
                <w:rFonts w:ascii="仿宋_GB2312" w:hAnsi="仿宋_GB2312" w:cs="仿宋_GB2312" w:eastAsia="仿宋_GB2312"/>
                <w:sz w:val="21"/>
              </w:rPr>
              <w:t>综合考虑省级山洪灾害监测预警平台的使用情况和类似商业精准天气预报服务的满意度反馈，本次计划接入陕西地区未来</w:t>
            </w:r>
            <w:r>
              <w:rPr>
                <w:rFonts w:ascii="仿宋_GB2312" w:hAnsi="仿宋_GB2312" w:cs="仿宋_GB2312" w:eastAsia="仿宋_GB2312"/>
                <w:sz w:val="21"/>
              </w:rPr>
              <w:t>2小时的分钟级短临降雨预报网格数据服务，服务期为一年。具体数据要求如下：</w:t>
            </w:r>
          </w:p>
          <w:tbl>
            <w:tblPr>
              <w:tblBorders>
                <w:top w:val="none" w:color="000000" w:sz="4"/>
                <w:left w:val="none" w:color="000000" w:sz="4"/>
                <w:bottom w:val="none" w:color="000000" w:sz="4"/>
                <w:right w:val="none" w:color="000000" w:sz="4"/>
                <w:insideH w:val="none"/>
                <w:insideV w:val="none"/>
              </w:tblBorders>
            </w:tblPr>
            <w:tblGrid>
              <w:gridCol w:w="1040"/>
              <w:gridCol w:w="818"/>
              <w:gridCol w:w="695"/>
            </w:tblGrid>
            <w:tr>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数据类型</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描述</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交付方式</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分钟级短临降水预报网格数据</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要素：降水</w:t>
                  </w:r>
                </w:p>
                <w:p>
                  <w:pPr>
                    <w:pStyle w:val="null3"/>
                    <w:jc w:val="both"/>
                  </w:pPr>
                  <w:r>
                    <w:rPr>
                      <w:rFonts w:ascii="仿宋_GB2312" w:hAnsi="仿宋_GB2312" w:cs="仿宋_GB2312" w:eastAsia="仿宋_GB2312"/>
                      <w:sz w:val="21"/>
                    </w:rPr>
                    <w:t>空间分辨率：</w:t>
                  </w:r>
                  <w:r>
                    <w:rPr>
                      <w:rFonts w:ascii="仿宋_GB2312" w:hAnsi="仿宋_GB2312" w:cs="仿宋_GB2312" w:eastAsia="仿宋_GB2312"/>
                      <w:sz w:val="21"/>
                    </w:rPr>
                    <w:t>1km*1km</w:t>
                  </w:r>
                </w:p>
                <w:p>
                  <w:pPr>
                    <w:pStyle w:val="null3"/>
                    <w:jc w:val="both"/>
                  </w:pPr>
                  <w:r>
                    <w:rPr>
                      <w:rFonts w:ascii="仿宋_GB2312" w:hAnsi="仿宋_GB2312" w:cs="仿宋_GB2312" w:eastAsia="仿宋_GB2312"/>
                      <w:sz w:val="21"/>
                    </w:rPr>
                    <w:t>更新频率：</w:t>
                  </w:r>
                  <w:r>
                    <w:rPr>
                      <w:rFonts w:ascii="仿宋_GB2312" w:hAnsi="仿宋_GB2312" w:cs="仿宋_GB2312" w:eastAsia="仿宋_GB2312"/>
                      <w:sz w:val="21"/>
                    </w:rPr>
                    <w:t>5min</w:t>
                  </w:r>
                </w:p>
                <w:p>
                  <w:pPr>
                    <w:pStyle w:val="null3"/>
                    <w:jc w:val="both"/>
                  </w:pPr>
                  <w:r>
                    <w:rPr>
                      <w:rFonts w:ascii="仿宋_GB2312" w:hAnsi="仿宋_GB2312" w:cs="仿宋_GB2312" w:eastAsia="仿宋_GB2312"/>
                      <w:sz w:val="21"/>
                    </w:rPr>
                    <w:t>覆盖范围：陕西省</w:t>
                  </w:r>
                </w:p>
                <w:p>
                  <w:pPr>
                    <w:pStyle w:val="null3"/>
                    <w:jc w:val="both"/>
                  </w:pPr>
                  <w:r>
                    <w:rPr>
                      <w:rFonts w:ascii="仿宋_GB2312" w:hAnsi="仿宋_GB2312" w:cs="仿宋_GB2312" w:eastAsia="仿宋_GB2312"/>
                      <w:sz w:val="21"/>
                    </w:rPr>
                    <w:t>预报时长：</w:t>
                  </w:r>
                  <w:r>
                    <w:rPr>
                      <w:rFonts w:ascii="仿宋_GB2312" w:hAnsi="仿宋_GB2312" w:cs="仿宋_GB2312" w:eastAsia="仿宋_GB2312"/>
                      <w:sz w:val="21"/>
                    </w:rPr>
                    <w:t>2小时</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API文件接口；</w:t>
                  </w:r>
                </w:p>
                <w:p>
                  <w:pPr>
                    <w:pStyle w:val="null3"/>
                    <w:jc w:val="both"/>
                  </w:pPr>
                  <w:r>
                    <w:rPr>
                      <w:rFonts w:ascii="仿宋_GB2312" w:hAnsi="仿宋_GB2312" w:cs="仿宋_GB2312" w:eastAsia="仿宋_GB2312"/>
                      <w:sz w:val="21"/>
                    </w:rPr>
                    <w:t>格式为</w:t>
                  </w:r>
                  <w:r>
                    <w:rPr>
                      <w:rFonts w:ascii="仿宋_GB2312" w:hAnsi="仿宋_GB2312" w:cs="仿宋_GB2312" w:eastAsia="仿宋_GB2312"/>
                      <w:sz w:val="21"/>
                    </w:rPr>
                    <w:t>NPZ文件。</w:t>
                  </w:r>
                </w:p>
              </w:tc>
            </w:tr>
          </w:tbl>
          <w:p>
            <w:pPr>
              <w:pStyle w:val="null3"/>
              <w:jc w:val="center"/>
              <w:outlineLvl w:val="2"/>
            </w:pPr>
            <w:r>
              <w:rPr>
                <w:rFonts w:ascii="仿宋_GB2312" w:hAnsi="仿宋_GB2312" w:cs="仿宋_GB2312" w:eastAsia="仿宋_GB2312"/>
                <w:sz w:val="21"/>
                <w:b/>
              </w:rPr>
              <w:t>4.1.2算法优化</w:t>
            </w:r>
          </w:p>
          <w:p>
            <w:pPr>
              <w:pStyle w:val="null3"/>
              <w:ind w:firstLine="420"/>
              <w:jc w:val="both"/>
            </w:pPr>
            <w:r>
              <w:rPr>
                <w:rFonts w:ascii="仿宋_GB2312" w:hAnsi="仿宋_GB2312" w:cs="仿宋_GB2312" w:eastAsia="仿宋_GB2312"/>
                <w:sz w:val="21"/>
              </w:rPr>
              <w:t>4.1.2.1多源数据融合面雨量分析</w:t>
            </w:r>
          </w:p>
          <w:p>
            <w:pPr>
              <w:pStyle w:val="null3"/>
              <w:ind w:firstLine="420"/>
              <w:jc w:val="both"/>
            </w:pPr>
            <w:r>
              <w:rPr>
                <w:rFonts w:ascii="仿宋_GB2312" w:hAnsi="仿宋_GB2312" w:cs="仿宋_GB2312" w:eastAsia="仿宋_GB2312"/>
                <w:sz w:val="21"/>
              </w:rPr>
              <w:t>2022年-2025年，山洪项目累计建设测雨雷达5部，分别位于渭南华州区、西安市蓝田县、汉中市佛坪县、镇巴县、安康市汉滨区。本次针对前期山洪项目已建设的5部水利测雨雷达，基于各雷达建设使用至今监测数据，开展雷达基数据规范性与完整性分析、雷达基数据合理性分析与订正、雷达面雨量精度评估与优化工作，主要检验雷达基数据的规范性、完整性、合理性，分析反演面雨量、多源数据融合面雨量的准确性，面向山洪灾害预警实际，持续优化水利测雨雷达降雨反演算法、多源数据融合算法的参数，提升面雨量监测精度。后期新建测雨雷达应再建设期内开展一次水利测雨雷达基数据规范性与完整性分析、水利测雨雷达基数据合理性分析与订正、雷达面雨量精度评估与优化，确保雷达建设完成后一段时间内数据的规范性、完整性、合理性。</w:t>
            </w:r>
          </w:p>
          <w:p>
            <w:pPr>
              <w:pStyle w:val="null3"/>
              <w:ind w:firstLine="420"/>
              <w:jc w:val="both"/>
            </w:pPr>
            <w:r>
              <w:rPr>
                <w:rFonts w:ascii="仿宋_GB2312" w:hAnsi="仿宋_GB2312" w:cs="仿宋_GB2312" w:eastAsia="仿宋_GB2312"/>
                <w:sz w:val="21"/>
              </w:rPr>
              <w:t>1、水利测雨雷达基数据规范性与完整性分析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1）基数据规范性分析</w:t>
            </w:r>
          </w:p>
          <w:p>
            <w:pPr>
              <w:pStyle w:val="null3"/>
              <w:ind w:firstLine="420"/>
              <w:jc w:val="both"/>
            </w:pPr>
            <w:r>
              <w:rPr>
                <w:rFonts w:ascii="仿宋_GB2312" w:hAnsi="仿宋_GB2312" w:cs="仿宋_GB2312" w:eastAsia="仿宋_GB2312"/>
                <w:sz w:val="21"/>
              </w:rPr>
              <w:t>1）从水利测雨雷达应用软件或省级山洪灾害监测预报预警平台中选择连续不少于6小时的基数据，结合雷达基数据标准化格式要求制定数字化校验规则，编写自动化校验脚本，覆盖文件名、文件卷标、数据文件头、数据记录块数据结构等关键校验项，实现格式错误的自动识别与标记。</w:t>
            </w:r>
          </w:p>
          <w:p>
            <w:pPr>
              <w:pStyle w:val="null3"/>
              <w:ind w:firstLine="420"/>
              <w:jc w:val="both"/>
            </w:pPr>
            <w:r>
              <w:rPr>
                <w:rFonts w:ascii="仿宋_GB2312" w:hAnsi="仿宋_GB2312" w:cs="仿宋_GB2312" w:eastAsia="仿宋_GB2312"/>
                <w:sz w:val="21"/>
              </w:rPr>
              <w:t>2）对雷达数据进行批量校验，同时实现历史数据批量转换，支持按雷达型号、时间范围筛选数据，将基数据（含历史基数据）转换为标准格式。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2）基数据完整性分析</w:t>
            </w:r>
          </w:p>
          <w:p>
            <w:pPr>
              <w:pStyle w:val="null3"/>
              <w:ind w:firstLine="420"/>
              <w:jc w:val="both"/>
            </w:pPr>
            <w:r>
              <w:rPr>
                <w:rFonts w:ascii="仿宋_GB2312" w:hAnsi="仿宋_GB2312" w:cs="仿宋_GB2312" w:eastAsia="仿宋_GB2312"/>
                <w:sz w:val="21"/>
              </w:rPr>
              <w:t>1）选择测雨雷达基数据完整的一个汛期，对数据进行报率统计，按日、周、月、完整汛期四个尺度统计基数据实到文件个数，同时按照“相控阵型水利测雨雷达每≤1分钟产生一个基数据文件，机械型水利测雨雷达每≤5分钟产生一个基数据文件”的数据到报要求，计算每部雷达基数据到报率，生成可视化报表（折线图、柱状图）并识别到报率异常时段；</w:t>
            </w:r>
          </w:p>
          <w:p>
            <w:pPr>
              <w:pStyle w:val="null3"/>
              <w:ind w:firstLine="420"/>
              <w:jc w:val="both"/>
            </w:pPr>
            <w:r>
              <w:rPr>
                <w:rFonts w:ascii="仿宋_GB2312" w:hAnsi="仿宋_GB2312" w:cs="仿宋_GB2312" w:eastAsia="仿宋_GB2312"/>
                <w:sz w:val="21"/>
              </w:rPr>
              <w:t>2）选择不少于3场降雨过程，按照“相控阵型水利测雨雷达体扫≤1分钟、机械型水利测雨雷达体扫≤5分钟”的要求，判断基数据文件生成时间间隔是否超过体扫时间，若超过则判定为缺测。按照此方法进行缺测率分析，统计基数据文件缺测数量及缺测率。</w:t>
            </w:r>
          </w:p>
          <w:p>
            <w:pPr>
              <w:pStyle w:val="null3"/>
              <w:ind w:firstLine="420"/>
              <w:jc w:val="both"/>
            </w:pPr>
            <w:r>
              <w:rPr>
                <w:rFonts w:ascii="仿宋_GB2312" w:hAnsi="仿宋_GB2312" w:cs="仿宋_GB2312" w:eastAsia="仿宋_GB2312"/>
                <w:sz w:val="21"/>
              </w:rPr>
              <w:t>3）选择不少于3场降雨过程的雷达基数据，对每一个基数据文件，按照“每个仰角未经杂波抑制的回波面积是否为0”的要求逐仰角层判断是否存在数据缺测。按照“每个方位角未经杂波抑制的有效数据个数是否为0”的要求判断方位是否存在缺测。按照此方法统计基数据文件缺测数量及缺测率。</w:t>
            </w:r>
          </w:p>
          <w:p>
            <w:pPr>
              <w:pStyle w:val="null3"/>
              <w:ind w:firstLine="420"/>
              <w:jc w:val="both"/>
            </w:pPr>
            <w:r>
              <w:rPr>
                <w:rFonts w:ascii="仿宋_GB2312" w:hAnsi="仿宋_GB2312" w:cs="仿宋_GB2312" w:eastAsia="仿宋_GB2312"/>
                <w:sz w:val="21"/>
              </w:rPr>
              <w:t>4）选择不少于5场或能完全覆盖雷达有效观测范围的降雨过程，结合高精度地形数据，通过分析不同仰角、不同方位始终无回波的区域，判断地物阻挡盲区。</w:t>
            </w:r>
          </w:p>
          <w:p>
            <w:pPr>
              <w:pStyle w:val="null3"/>
              <w:ind w:firstLine="420"/>
              <w:jc w:val="both"/>
            </w:pPr>
            <w:r>
              <w:rPr>
                <w:rFonts w:ascii="仿宋_GB2312" w:hAnsi="仿宋_GB2312" w:cs="仿宋_GB2312" w:eastAsia="仿宋_GB2312"/>
                <w:sz w:val="21"/>
              </w:rPr>
              <w:t>5）选择不少于3场强降雨过程的雷达基数据，依据水利测雨雷达经现场标定的额定灵敏度及动态范围核心技术参数，核算0-45公里范围内不同探测距离节点处的最小可测回波强度值，与实测反射率因子对比，判断是否存在衰减盲区。同时，逐方位计算并捕捉衰减盲区形成前有效探测时段内差分相位φDP的累积变化量，同步量化计算累积反射率因子的动态特征参数，为衰减盲区自动识别算法的阈值设定、模型系数等关键参数提供可迭代优化依据与数据支撑流程。</w:t>
            </w:r>
          </w:p>
          <w:p>
            <w:pPr>
              <w:pStyle w:val="null3"/>
              <w:ind w:firstLine="420"/>
              <w:jc w:val="both"/>
            </w:pPr>
            <w:r>
              <w:rPr>
                <w:rFonts w:ascii="仿宋_GB2312" w:hAnsi="仿宋_GB2312" w:cs="仿宋_GB2312" w:eastAsia="仿宋_GB2312"/>
                <w:sz w:val="21"/>
              </w:rPr>
              <w:t>6）根据以上对到报率低、数据缺测、仰角缺测、方位缺测的数据完整性检查，分析数据完整性缺失的原因并提出优化建议；绘制单部水利测雨雷达实际运行阶段的探测遮挡分布图、组网式水利测雨雷达常态化运行期间的遮挡图，同步绘制成不同雨强梯度下的衰减盲区空间分布图，结合各类图表特征系统分析衰减盲区的触发条件与变化规律，针对性给出水利测雨雷达观测数据的可用性判定标准及场景化应用优化建议。</w:t>
            </w:r>
          </w:p>
          <w:p>
            <w:pPr>
              <w:pStyle w:val="null3"/>
              <w:ind w:firstLine="420"/>
              <w:jc w:val="both"/>
            </w:pPr>
            <w:r>
              <w:rPr>
                <w:rFonts w:ascii="仿宋_GB2312" w:hAnsi="仿宋_GB2312" w:cs="仿宋_GB2312" w:eastAsia="仿宋_GB2312"/>
                <w:sz w:val="21"/>
              </w:rPr>
              <w:t>2、水利测雨雷达基数据合理性分析与订正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1）反射率因子合理性分析及误差分析</w:t>
            </w:r>
          </w:p>
          <w:p>
            <w:pPr>
              <w:pStyle w:val="null3"/>
              <w:ind w:firstLine="420"/>
              <w:jc w:val="both"/>
            </w:pPr>
            <w:r>
              <w:rPr>
                <w:rFonts w:ascii="仿宋_GB2312" w:hAnsi="仿宋_GB2312" w:cs="仿宋_GB2312" w:eastAsia="仿宋_GB2312"/>
                <w:sz w:val="21"/>
              </w:rPr>
              <w:t>1）采用星载雷达、天气雷达回波数据及雨量站雨量监测数据开展分析。星载雷达回波数据通过公开渠道免费获取，优先选用行业认可的标准化数据集；天气雷达回波数据由气象部门共享；雨量站数据涵盖山洪项目建设的自动雨量站、多要素一体化监测站，以及现有水文共享的自动雨水情监测站，保障数据覆盖全面。</w:t>
            </w:r>
          </w:p>
          <w:p>
            <w:pPr>
              <w:pStyle w:val="null3"/>
              <w:ind w:firstLine="420"/>
              <w:jc w:val="both"/>
            </w:pPr>
            <w:r>
              <w:rPr>
                <w:rFonts w:ascii="仿宋_GB2312" w:hAnsi="仿宋_GB2312" w:cs="仿宋_GB2312" w:eastAsia="仿宋_GB2312"/>
                <w:sz w:val="21"/>
              </w:rPr>
              <w:t>2）利用星载雷达、天气雷达的三维回波或组合反射率因子进行对比时，需将两类雷达回波数据采用标准化插值方法，统一至水利测雨雷达的坐标系和空间分辨率，且严格控制时间匹配精度，机械型测雨雷达选取时间差±2.5分钟内数据，相控阵型测雨雷达选取时间差±0.5分钟内数据开展对比。</w:t>
            </w:r>
          </w:p>
          <w:p>
            <w:pPr>
              <w:pStyle w:val="null3"/>
              <w:ind w:firstLine="420"/>
              <w:jc w:val="both"/>
            </w:pPr>
            <w:r>
              <w:rPr>
                <w:rFonts w:ascii="仿宋_GB2312" w:hAnsi="仿宋_GB2312" w:cs="仿宋_GB2312" w:eastAsia="仿宋_GB2312"/>
                <w:sz w:val="21"/>
              </w:rPr>
              <w:t>3）结合雷达站周边地形地貌勘察结果，优先选择站址海拔以上1-2km区间内受地物影响最小的最低高度层，以星载雷达或天气雷达数据为参考基准，通过回波信号直接对比，系统分析水利测雨雷达的观测偏差与指向偏差。</w:t>
            </w:r>
          </w:p>
          <w:p>
            <w:pPr>
              <w:pStyle w:val="null3"/>
              <w:ind w:firstLine="420"/>
              <w:jc w:val="both"/>
            </w:pPr>
            <w:r>
              <w:rPr>
                <w:rFonts w:ascii="仿宋_GB2312" w:hAnsi="仿宋_GB2312" w:cs="仿宋_GB2312" w:eastAsia="仿宋_GB2312"/>
                <w:sz w:val="21"/>
              </w:rPr>
              <w:t>4）绘制星载雷达或天气雷达与水利测雨雷达的反射率因子对照图，天气雷达与水利测雨雷达反射率因子图统一采用组合反射率因子或等高平面图，坐标执行国家统一大地坐标系，色标遵循行业标准规范，研判分析反射率因子数据合理性。</w:t>
            </w:r>
          </w:p>
          <w:p>
            <w:pPr>
              <w:pStyle w:val="null3"/>
              <w:ind w:firstLine="420"/>
              <w:jc w:val="both"/>
            </w:pPr>
            <w:r>
              <w:rPr>
                <w:rFonts w:ascii="仿宋_GB2312" w:hAnsi="仿宋_GB2312" w:cs="仿宋_GB2312" w:eastAsia="仿宋_GB2312"/>
                <w:sz w:val="21"/>
              </w:rPr>
              <w:t>5）对水利测雨雷达的非降水回波滤除能力进行分析，针对单个时次的所有仰角数据，选取相关系数小于0.8，差分传播相移标准差大于15°对应距离库上对应的反射率因子作为非降水回波数据。将非降水回波数量除以总回波数量，得到单个时次非降水回波残留度。</w:t>
            </w:r>
          </w:p>
          <w:p>
            <w:pPr>
              <w:pStyle w:val="null3"/>
              <w:ind w:firstLine="420"/>
              <w:jc w:val="both"/>
            </w:pPr>
            <w:r>
              <w:rPr>
                <w:rFonts w:ascii="仿宋_GB2312" w:hAnsi="仿宋_GB2312" w:cs="仿宋_GB2312" w:eastAsia="仿宋_GB2312"/>
                <w:sz w:val="21"/>
              </w:rPr>
              <w:t>6）筛选不少于3场具有代表性的降雨过程，提取对应回波图或反演面雨量分布图，叠加同期雨量站监测数据，以雨量站实测数据为真值标准，对比分析回波空间分布的准确性与一致性。</w:t>
            </w:r>
          </w:p>
          <w:p>
            <w:pPr>
              <w:pStyle w:val="null3"/>
              <w:ind w:firstLine="420"/>
              <w:jc w:val="both"/>
            </w:pPr>
            <w:r>
              <w:rPr>
                <w:rFonts w:ascii="仿宋_GB2312" w:hAnsi="仿宋_GB2312" w:cs="仿宋_GB2312" w:eastAsia="仿宋_GB2312"/>
                <w:sz w:val="21"/>
              </w:rPr>
              <w:t>7）梳理观测偏差、指向偏差及回波异常的具体表现，分析地形遮挡、设备校准、信号干扰等成因，针对性提出可落地的优化建议。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2）衰减订正</w:t>
            </w:r>
          </w:p>
          <w:p>
            <w:pPr>
              <w:pStyle w:val="null3"/>
              <w:ind w:firstLine="420"/>
              <w:jc w:val="both"/>
            </w:pPr>
            <w:r>
              <w:rPr>
                <w:rFonts w:ascii="仿宋_GB2312" w:hAnsi="仿宋_GB2312" w:cs="仿宋_GB2312" w:eastAsia="仿宋_GB2312"/>
                <w:sz w:val="21"/>
              </w:rPr>
              <w:t>1）采用逐库订正、Z-PHI或机器学习等水利测雨雷达衰减订正算法，确保算法符合本地监测场景需求。</w:t>
            </w:r>
          </w:p>
          <w:p>
            <w:pPr>
              <w:pStyle w:val="null3"/>
              <w:ind w:firstLine="420"/>
              <w:jc w:val="both"/>
            </w:pPr>
            <w:r>
              <w:rPr>
                <w:rFonts w:ascii="仿宋_GB2312" w:hAnsi="仿宋_GB2312" w:cs="仿宋_GB2312" w:eastAsia="仿宋_GB2312"/>
                <w:sz w:val="21"/>
              </w:rPr>
              <w:t>2）分雨强等级对比分析衰减订正前后的雨强差异，以雨量站实测数据为基准，系统评估衰减订正结果的准确性，验证订正算法的实用效果。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3）KDP合理性分析</w:t>
            </w:r>
          </w:p>
          <w:p>
            <w:pPr>
              <w:pStyle w:val="null3"/>
              <w:ind w:firstLine="420"/>
              <w:jc w:val="both"/>
            </w:pPr>
            <w:r>
              <w:rPr>
                <w:rFonts w:ascii="仿宋_GB2312" w:hAnsi="仿宋_GB2312" w:cs="仿宋_GB2312" w:eastAsia="仿宋_GB2312"/>
                <w:sz w:val="21"/>
              </w:rPr>
              <w:t>1）选取中雨及以上量级降雨过程对应的水利测雨雷达基数据，开展差分传播相位率KDP的合理性校验。</w:t>
            </w:r>
          </w:p>
          <w:p>
            <w:pPr>
              <w:pStyle w:val="null3"/>
              <w:ind w:firstLine="420"/>
              <w:jc w:val="both"/>
            </w:pPr>
            <w:r>
              <w:rPr>
                <w:rFonts w:ascii="仿宋_GB2312" w:hAnsi="仿宋_GB2312" w:cs="仿宋_GB2312" w:eastAsia="仿宋_GB2312"/>
                <w:sz w:val="21"/>
              </w:rPr>
              <w:t>2）绘制不少于3场降雨过程的水利测雨雷达衰减订正后反射率因子图与差分传播相位率图，确保图表数据完整、标注规范。</w:t>
            </w:r>
          </w:p>
          <w:p>
            <w:pPr>
              <w:pStyle w:val="null3"/>
              <w:ind w:firstLine="420"/>
              <w:jc w:val="both"/>
            </w:pPr>
            <w:r>
              <w:rPr>
                <w:rFonts w:ascii="仿宋_GB2312" w:hAnsi="仿宋_GB2312" w:cs="仿宋_GB2312" w:eastAsia="仿宋_GB2312"/>
                <w:sz w:val="21"/>
              </w:rPr>
              <w:t>3）结合实测数据特征，分析长短脉冲拼接处KDP是否存在不连续现象；研判KDP数据是否存在条状或环状异常值；核查Z与KDP的对应关系，确认是否满足高Z值对应较大KDP值、低Z值对应较小KDP值的合理规律。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4）ZDR合理性分析</w:t>
            </w:r>
          </w:p>
          <w:p>
            <w:pPr>
              <w:pStyle w:val="null3"/>
              <w:ind w:firstLine="420"/>
              <w:jc w:val="both"/>
            </w:pPr>
            <w:r>
              <w:rPr>
                <w:rFonts w:ascii="仿宋_GB2312" w:hAnsi="仿宋_GB2312" w:cs="仿宋_GB2312" w:eastAsia="仿宋_GB2312"/>
                <w:sz w:val="21"/>
              </w:rPr>
              <w:t>1）选取小雨量级（雨强1-10mm/h）的降雨过程，重点分析水利测雨雷达差分反射率因子ZDR的合理性。</w:t>
            </w:r>
          </w:p>
          <w:p>
            <w:pPr>
              <w:pStyle w:val="null3"/>
              <w:ind w:firstLine="420"/>
              <w:jc w:val="both"/>
            </w:pPr>
            <w:r>
              <w:rPr>
                <w:rFonts w:ascii="仿宋_GB2312" w:hAnsi="仿宋_GB2312" w:cs="仿宋_GB2312" w:eastAsia="仿宋_GB2312"/>
                <w:sz w:val="21"/>
              </w:rPr>
              <w:t>2）绘制不少于3场降雨过程的水利测雨雷达衰减订正后反射率因子图与差分反射率因子图，保证图表时空匹配一致。</w:t>
            </w:r>
          </w:p>
          <w:p>
            <w:pPr>
              <w:pStyle w:val="null3"/>
              <w:ind w:firstLine="420"/>
              <w:jc w:val="both"/>
            </w:pPr>
            <w:r>
              <w:rPr>
                <w:rFonts w:ascii="仿宋_GB2312" w:hAnsi="仿宋_GB2312" w:cs="仿宋_GB2312" w:eastAsia="仿宋_GB2312"/>
                <w:sz w:val="21"/>
              </w:rPr>
              <w:t>3）通过图表对比，分析长短脉冲拼接处ZDR是否存在数据不连续问题。</w:t>
            </w:r>
          </w:p>
          <w:p>
            <w:pPr>
              <w:pStyle w:val="null3"/>
              <w:ind w:firstLine="420"/>
              <w:jc w:val="both"/>
            </w:pPr>
            <w:r>
              <w:rPr>
                <w:rFonts w:ascii="仿宋_GB2312" w:hAnsi="仿宋_GB2312" w:cs="仿宋_GB2312" w:eastAsia="仿宋_GB2312"/>
                <w:sz w:val="21"/>
              </w:rPr>
              <w:t>4）基于反射率因子图判断是否存在零度层亮带，若存在则按亮带内ZDR值大、亮带处和亮带外ZDR值小的原则判断数据合理性；采用网格化统计方法估算亮带处ZDR平均值，核查其是否处于0.2~0.3dB的合理范围。</w:t>
            </w:r>
          </w:p>
          <w:p>
            <w:pPr>
              <w:pStyle w:val="null3"/>
              <w:ind w:firstLine="420"/>
              <w:jc w:val="both"/>
            </w:pPr>
            <w:r>
              <w:rPr>
                <w:rFonts w:ascii="仿宋_GB2312" w:hAnsi="仿宋_GB2312" w:cs="仿宋_GB2312" w:eastAsia="仿宋_GB2312"/>
                <w:sz w:val="21"/>
              </w:rPr>
              <w:t>5）进一步应采用有观测重叠区域的水利测雨雷达进行差分反射率交叉验证，或采用理论计算结果进行验证。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5）相关系数合理性分析</w:t>
            </w:r>
          </w:p>
          <w:p>
            <w:pPr>
              <w:pStyle w:val="null3"/>
              <w:ind w:firstLine="420"/>
              <w:jc w:val="both"/>
            </w:pPr>
            <w:r>
              <w:rPr>
                <w:rFonts w:ascii="仿宋_GB2312" w:hAnsi="仿宋_GB2312" w:cs="仿宋_GB2312" w:eastAsia="仿宋_GB2312"/>
                <w:sz w:val="21"/>
              </w:rPr>
              <w:t>1）选取水利测雨雷达观测到大范围层状云降雨过程中雷达最高仰角的有效基数据，绘制反射率因子与相关系数对照图，检查长短脉冲拼接处相关系数是否存在不连续现象。</w:t>
            </w:r>
          </w:p>
          <w:p>
            <w:pPr>
              <w:pStyle w:val="null3"/>
              <w:ind w:firstLine="420"/>
              <w:jc w:val="both"/>
            </w:pPr>
            <w:r>
              <w:rPr>
                <w:rFonts w:ascii="仿宋_GB2312" w:hAnsi="仿宋_GB2312" w:cs="仿宋_GB2312" w:eastAsia="仿宋_GB2312"/>
                <w:sz w:val="21"/>
              </w:rPr>
              <w:t>2）基于反射率因子图识别零度层亮带，若存在则按亮带内相关系数低于0.9、亮带处和亮带外相关系数高于0.9（含0.9）的原则判断合理性，同步统计亮带内及亮带外相关系数均值辅助研判。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6）基数据优化</w:t>
            </w:r>
          </w:p>
          <w:p>
            <w:pPr>
              <w:pStyle w:val="null3"/>
              <w:ind w:firstLine="420"/>
              <w:jc w:val="both"/>
            </w:pPr>
            <w:r>
              <w:rPr>
                <w:rFonts w:ascii="仿宋_GB2312" w:hAnsi="仿宋_GB2312" w:cs="仿宋_GB2312" w:eastAsia="仿宋_GB2312"/>
                <w:sz w:val="21"/>
              </w:rPr>
              <w:t>按照上述分析方法，全面评估水利测雨雷达的观测能力与基数据质量，针对发现的问题，从软件算法和硬件两方面制定明确可操作的基数据优化方案。其中软件算法层面，重点完善基数据基本质量控制和高级质量控制算法，确保算法适配本地监测需求，切实提升数据质量管控实效。</w:t>
            </w:r>
          </w:p>
          <w:p>
            <w:pPr>
              <w:pStyle w:val="null3"/>
              <w:ind w:firstLine="420"/>
              <w:jc w:val="both"/>
            </w:pPr>
            <w:r>
              <w:rPr>
                <w:rFonts w:ascii="仿宋_GB2312" w:hAnsi="仿宋_GB2312" w:cs="仿宋_GB2312" w:eastAsia="仿宋_GB2312"/>
                <w:sz w:val="21"/>
              </w:rPr>
              <w:t>3、雷达面雨量精度评估与优化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1）雷达面雨量监测与预报产品精度评估</w:t>
            </w:r>
          </w:p>
          <w:p>
            <w:pPr>
              <w:pStyle w:val="null3"/>
              <w:ind w:firstLine="420"/>
              <w:jc w:val="both"/>
            </w:pPr>
            <w:r>
              <w:rPr>
                <w:rFonts w:ascii="仿宋_GB2312" w:hAnsi="仿宋_GB2312" w:cs="仿宋_GB2312" w:eastAsia="仿宋_GB2312"/>
                <w:sz w:val="21"/>
              </w:rPr>
              <w:t>以地面雨量站监测数据为基准，选取持续超</w:t>
            </w:r>
            <w:r>
              <w:rPr>
                <w:rFonts w:ascii="仿宋_GB2312" w:hAnsi="仿宋_GB2312" w:cs="仿宋_GB2312" w:eastAsia="仿宋_GB2312"/>
                <w:sz w:val="21"/>
              </w:rPr>
              <w:t>6小时的降雨过程，对水利测雨雷达反演面雨量监测产品开展精度评估；选取连续超6小时的预报时次，针对性评估未来1小时、2小时、3小时临近预报面雨量产品的精度，评估过程统一采用均方根误差、准确率、相关系数等指标，通过评估明确产品精度短板，为后续参数调整提供依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2）降雨估计关系适用性分析</w:t>
            </w:r>
          </w:p>
          <w:p>
            <w:pPr>
              <w:pStyle w:val="null3"/>
              <w:ind w:firstLine="420"/>
              <w:jc w:val="both"/>
            </w:pPr>
            <w:r>
              <w:rPr>
                <w:rFonts w:ascii="仿宋_GB2312" w:hAnsi="仿宋_GB2312" w:cs="仿宋_GB2312" w:eastAsia="仿宋_GB2312"/>
                <w:sz w:val="21"/>
              </w:rPr>
              <w:t>采用反射率因</w:t>
            </w:r>
            <w:r>
              <w:rPr>
                <w:rFonts w:ascii="仿宋_GB2312" w:hAnsi="仿宋_GB2312" w:cs="仿宋_GB2312" w:eastAsia="仿宋_GB2312"/>
                <w:sz w:val="21"/>
              </w:rPr>
              <w:t>Z与雨强 I、差分传播相位率KDP与雨强I两类降雨估计关系开展面雨量反演，结合水利测雨雷达面雨量监测产品的精度评估结果，立足本地降雨特征迭代优化两类关系式中的参数，形成适配单部水利测雨雷达的合理参数区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3）多源数据融合面雨量监测产品精度评估</w:t>
            </w:r>
          </w:p>
          <w:p>
            <w:pPr>
              <w:pStyle w:val="null3"/>
              <w:ind w:firstLine="420"/>
              <w:jc w:val="both"/>
            </w:pPr>
            <w:r>
              <w:rPr>
                <w:rFonts w:ascii="仿宋_GB2312" w:hAnsi="仿宋_GB2312" w:cs="仿宋_GB2312" w:eastAsia="仿宋_GB2312"/>
                <w:sz w:val="21"/>
              </w:rPr>
              <w:t>构建多源数据融合面雨量监测产品，基础融合产品需整合水利测雨雷达反演雨量与雨量站监测雨量，产品时间分辨率以数据源中最粗的为准、空间分辨率以数据源中最细的为准；</w:t>
            </w:r>
          </w:p>
          <w:p>
            <w:pPr>
              <w:pStyle w:val="null3"/>
              <w:ind w:firstLine="420"/>
              <w:jc w:val="both"/>
            </w:pPr>
            <w:r>
              <w:rPr>
                <w:rFonts w:ascii="仿宋_GB2312" w:hAnsi="仿宋_GB2312" w:cs="仿宋_GB2312" w:eastAsia="仿宋_GB2312"/>
                <w:sz w:val="21"/>
              </w:rPr>
              <w:t>参与融合的各类面雨量产品，按水利测雨雷达面雨量监测产品精度评估要求及方法完成质量评估，仅将质量良好的面雨量监测产品参与多源数据融合面雨量监测产品的生成。</w:t>
            </w:r>
          </w:p>
          <w:p>
            <w:pPr>
              <w:pStyle w:val="null3"/>
              <w:ind w:firstLine="420"/>
              <w:jc w:val="both"/>
            </w:pPr>
            <w:r>
              <w:rPr>
                <w:rFonts w:ascii="仿宋_GB2312" w:hAnsi="仿宋_GB2312" w:cs="仿宋_GB2312" w:eastAsia="仿宋_GB2312"/>
                <w:sz w:val="21"/>
              </w:rPr>
              <w:t>4、山洪灾害预警应用效果分析</w:t>
            </w:r>
          </w:p>
          <w:p>
            <w:pPr>
              <w:pStyle w:val="null3"/>
              <w:ind w:firstLine="420"/>
              <w:jc w:val="both"/>
            </w:pPr>
            <w:r>
              <w:rPr>
                <w:rFonts w:ascii="仿宋_GB2312" w:hAnsi="仿宋_GB2312" w:cs="仿宋_GB2312" w:eastAsia="仿宋_GB2312"/>
                <w:sz w:val="21"/>
              </w:rPr>
              <w:t>在开展多源数据融合面雨量的山洪灾害预警应用效果分析工作时，需选取不少于</w:t>
            </w:r>
            <w:r>
              <w:rPr>
                <w:rFonts w:ascii="仿宋_GB2312" w:hAnsi="仿宋_GB2312" w:cs="仿宋_GB2312" w:eastAsia="仿宋_GB2312"/>
                <w:sz w:val="21"/>
              </w:rPr>
              <w:t>3场产生山洪预警的暴雨场次作为研究样本，通过对比仅依靠雨量站监测雨量与多源数据融合面雨量两种模式下的预警应用差异，重点围绕预警对象、预警生成时间、预警等级及命中率、漏报率、空报率等核心指标开展量化分析，科学评估多源数据融合面雨量技术在山洪灾害预警工作中的实际应用效能。</w:t>
            </w:r>
          </w:p>
          <w:p>
            <w:pPr>
              <w:pStyle w:val="null3"/>
              <w:ind w:firstLine="420"/>
              <w:jc w:val="both"/>
            </w:pPr>
            <w:r>
              <w:rPr>
                <w:rFonts w:ascii="仿宋_GB2312" w:hAnsi="仿宋_GB2312" w:cs="仿宋_GB2312" w:eastAsia="仿宋_GB2312"/>
                <w:sz w:val="21"/>
              </w:rPr>
              <w:t>4.1.2.2预警模型优化升级及预警指标动态调整应用</w:t>
            </w:r>
          </w:p>
          <w:p>
            <w:pPr>
              <w:pStyle w:val="null3"/>
              <w:ind w:firstLine="420"/>
              <w:jc w:val="both"/>
            </w:pPr>
            <w:r>
              <w:rPr>
                <w:rFonts w:ascii="仿宋_GB2312" w:hAnsi="仿宋_GB2312" w:cs="仿宋_GB2312" w:eastAsia="仿宋_GB2312"/>
                <w:sz w:val="21"/>
              </w:rPr>
              <w:t>1、预警模型优化升级</w:t>
            </w:r>
          </w:p>
          <w:p>
            <w:pPr>
              <w:pStyle w:val="null3"/>
              <w:ind w:firstLine="420"/>
              <w:jc w:val="both"/>
            </w:pPr>
            <w:r>
              <w:rPr>
                <w:rFonts w:ascii="仿宋_GB2312" w:hAnsi="仿宋_GB2312" w:cs="仿宋_GB2312" w:eastAsia="仿宋_GB2312"/>
                <w:sz w:val="21"/>
              </w:rPr>
              <w:t>通过监测雨量异常分析、多阶段渐进式预警模型优化、暴雨山洪分析模型迭代和全省分布式水文模型检验率定和参数优化的调整进行优化升级，完成后将上述优化后模型集成至现有省级平台。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1）监测雨量异常分析</w:t>
            </w:r>
          </w:p>
          <w:p>
            <w:pPr>
              <w:pStyle w:val="null3"/>
              <w:ind w:firstLine="420"/>
              <w:jc w:val="both"/>
            </w:pPr>
            <w:r>
              <w:rPr>
                <w:rFonts w:ascii="仿宋_GB2312" w:hAnsi="仿宋_GB2312" w:cs="仿宋_GB2312" w:eastAsia="仿宋_GB2312"/>
                <w:sz w:val="21"/>
              </w:rPr>
              <w:t>监测雨量是山洪灾害预警的关键数据源，基于长期历史数据构建雨量异常识别模型，监控异常数据并分析成因，及时发现设备故障等问题或极端天气带来的误差，防止误导预警。通过基础模块检测（极值、时间一致性、空间一致性检验）对原始降雨数据进行初步筛查，标记潜在异常并由人工复核确认；随后利用机器学习模型（如随机森林、</w:t>
            </w:r>
            <w:r>
              <w:rPr>
                <w:rFonts w:ascii="仿宋_GB2312" w:hAnsi="仿宋_GB2312" w:cs="仿宋_GB2312" w:eastAsia="仿宋_GB2312"/>
                <w:sz w:val="21"/>
              </w:rPr>
              <w:t>SVM）对通过基础检验的数据进行深度分析，进一步区分异常与正常数据。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2）多阶段递进预警模型优化</w:t>
            </w:r>
          </w:p>
          <w:p>
            <w:pPr>
              <w:pStyle w:val="null3"/>
              <w:ind w:firstLine="420"/>
              <w:jc w:val="both"/>
            </w:pPr>
            <w:r>
              <w:rPr>
                <w:rFonts w:ascii="仿宋_GB2312" w:hAnsi="仿宋_GB2312" w:cs="仿宋_GB2312" w:eastAsia="仿宋_GB2312"/>
                <w:sz w:val="21"/>
              </w:rPr>
              <w:t>优化选择不同的水文模型算法以进行降雨、蒸散发、产流、汇流、河道演进、水库调蓄等主要水文过程的刻画，为山洪预报预警计算提供技术支撑和定量分析的依据。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3）全省分布式水文模型检验率定和参数优化调整</w:t>
            </w:r>
          </w:p>
          <w:p>
            <w:pPr>
              <w:pStyle w:val="null3"/>
              <w:ind w:firstLine="420"/>
              <w:jc w:val="both"/>
            </w:pPr>
            <w:r>
              <w:rPr>
                <w:rFonts w:ascii="仿宋_GB2312" w:hAnsi="仿宋_GB2312" w:cs="仿宋_GB2312" w:eastAsia="仿宋_GB2312"/>
                <w:sz w:val="21"/>
              </w:rPr>
              <w:t>运用降雨站、水文站、水位站实测场次雨洪资料，以洪峰误差和峰现时间误差为目标函数，筛选出数据质量较好的典型小流域，持续改进优化算法，基于优化算法结合人工优选方法对分布式水文模型进行参数率定和模型检验。结合聚类分析结果、典型小流域模型参数率定结果，综合确定模型集群的参数，并人工进行参数合理性分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4）预警平台集成应用</w:t>
            </w:r>
          </w:p>
          <w:p>
            <w:pPr>
              <w:pStyle w:val="null3"/>
              <w:ind w:firstLine="420"/>
              <w:jc w:val="both"/>
            </w:pPr>
            <w:r>
              <w:rPr>
                <w:rFonts w:ascii="仿宋_GB2312" w:hAnsi="仿宋_GB2312" w:cs="仿宋_GB2312" w:eastAsia="仿宋_GB2312"/>
                <w:sz w:val="21"/>
              </w:rPr>
              <w:t>将上述模型参数优化成果集成至现有省级山洪灾害监测预警平台，对比分析新旧模型预警效果，编制模型优化效果评估报告，并根据实际反馈进行微调。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5）结合本次调整后全省分布式水文模型复核全省现用于山洪灾害预警的预警指标，完善动态预警指标调整应用基础工作。</w:t>
            </w:r>
          </w:p>
          <w:p>
            <w:pPr>
              <w:pStyle w:val="null3"/>
              <w:ind w:firstLine="420"/>
              <w:jc w:val="both"/>
            </w:pPr>
            <w:r>
              <w:rPr>
                <w:rFonts w:ascii="仿宋_GB2312" w:hAnsi="仿宋_GB2312" w:cs="仿宋_GB2312" w:eastAsia="仿宋_GB2312"/>
                <w:sz w:val="21"/>
              </w:rPr>
              <w:t>2、预警指标动态调整应用</w:t>
            </w:r>
          </w:p>
          <w:p>
            <w:pPr>
              <w:pStyle w:val="null3"/>
              <w:ind w:firstLine="420"/>
              <w:jc w:val="both"/>
            </w:pPr>
            <w:r>
              <w:rPr>
                <w:rFonts w:ascii="仿宋_GB2312" w:hAnsi="仿宋_GB2312" w:cs="仿宋_GB2312" w:eastAsia="仿宋_GB2312"/>
                <w:sz w:val="21"/>
              </w:rPr>
              <w:t>根据前期项目建设成果，结合典型暴雨洪水过程和山洪灾害场次，考虑前期降雨和桥涵阻水壅水、泥石淤积等影响，按照科学合理、易于操作的原则，改进预警阈值动态调整分析方法，开展预警阈值动态调整应用。主要建设内容包括基础信息的收集处理；动态预警指标计算流程、动态预警指标计算结果的科学性和应用效果评估复核；通过预警效果评估、监测合理性分析、小流域山洪过程模拟分析等过程逐年对典型场次的动态预警阈值复核、预警指标动态调整应用成效评估及预警精准度分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1）基础信息收集整理</w:t>
            </w:r>
          </w:p>
          <w:p>
            <w:pPr>
              <w:pStyle w:val="null3"/>
              <w:ind w:firstLine="420"/>
              <w:jc w:val="both"/>
            </w:pPr>
            <w:r>
              <w:rPr>
                <w:rFonts w:ascii="仿宋_GB2312" w:hAnsi="仿宋_GB2312" w:cs="仿宋_GB2312" w:eastAsia="仿宋_GB2312"/>
                <w:sz w:val="21"/>
              </w:rPr>
              <w:t>收集近三年的基础信息数据，包括小流域数据、防灾对象信息及前期调查评价成果等。</w:t>
            </w:r>
          </w:p>
          <w:p>
            <w:pPr>
              <w:pStyle w:val="null3"/>
              <w:ind w:firstLine="420"/>
              <w:jc w:val="both"/>
            </w:pPr>
            <w:r>
              <w:rPr>
                <w:rFonts w:ascii="仿宋_GB2312" w:hAnsi="仿宋_GB2312" w:cs="仿宋_GB2312" w:eastAsia="仿宋_GB2312"/>
                <w:sz w:val="21"/>
              </w:rPr>
              <w:t>①灾害与受灾情况调查</w:t>
            </w:r>
          </w:p>
          <w:p>
            <w:pPr>
              <w:pStyle w:val="null3"/>
              <w:ind w:firstLine="420"/>
              <w:jc w:val="both"/>
            </w:pPr>
            <w:r>
              <w:rPr>
                <w:rFonts w:ascii="仿宋_GB2312" w:hAnsi="仿宋_GB2312" w:cs="仿宋_GB2312" w:eastAsia="仿宋_GB2312"/>
                <w:sz w:val="21"/>
              </w:rPr>
              <w:t>调查灾害发生的时间、地点及洪水变化情况，记录洪水出槽、上路时间及位置，并分析沿河淹没范围、洪痕高程以及人员转移情况。同时，评估河道的行洪能力，排查是否存在淤积、束窄等影响洪水流动的因素，以及下游潜在风险隐患，如下游顶托、桥梁阻水、涵洞堵塞等。</w:t>
            </w:r>
          </w:p>
          <w:p>
            <w:pPr>
              <w:pStyle w:val="null3"/>
              <w:ind w:firstLine="420"/>
              <w:jc w:val="both"/>
            </w:pPr>
            <w:r>
              <w:rPr>
                <w:rFonts w:ascii="仿宋_GB2312" w:hAnsi="仿宋_GB2312" w:cs="仿宋_GB2312" w:eastAsia="仿宋_GB2312"/>
                <w:sz w:val="21"/>
              </w:rPr>
              <w:t>②受灾村庄及小流域信息收集</w:t>
            </w:r>
          </w:p>
          <w:p>
            <w:pPr>
              <w:pStyle w:val="null3"/>
              <w:ind w:firstLine="420"/>
              <w:jc w:val="both"/>
            </w:pPr>
            <w:r>
              <w:rPr>
                <w:rFonts w:ascii="仿宋_GB2312" w:hAnsi="仿宋_GB2312" w:cs="仿宋_GB2312" w:eastAsia="仿宋_GB2312"/>
                <w:sz w:val="21"/>
              </w:rPr>
              <w:t>收集受灾村庄的地理信息，分析地势及高危山洪区。调查周边植被覆盖情况，评估山洪的孕灾环境，并统计常住人口数量。计算小流域集水面积、河流长度、河道比降等水文参数，掌握水流汇聚条件，并分析土壤湿度对山洪的影响。同时，收集历史山洪灾害的频率与强度，与当前灾害进行对比分析。</w:t>
            </w:r>
          </w:p>
          <w:p>
            <w:pPr>
              <w:pStyle w:val="null3"/>
              <w:ind w:firstLine="420"/>
              <w:jc w:val="both"/>
            </w:pPr>
            <w:r>
              <w:rPr>
                <w:rFonts w:ascii="仿宋_GB2312" w:hAnsi="仿宋_GB2312" w:cs="仿宋_GB2312" w:eastAsia="仿宋_GB2312"/>
                <w:sz w:val="21"/>
              </w:rPr>
              <w:t>③暴雨洪水及预警过程资料收集</w:t>
            </w:r>
          </w:p>
          <w:p>
            <w:pPr>
              <w:pStyle w:val="null3"/>
              <w:ind w:firstLine="420"/>
              <w:jc w:val="both"/>
            </w:pPr>
            <w:r>
              <w:rPr>
                <w:rFonts w:ascii="仿宋_GB2312" w:hAnsi="仿宋_GB2312" w:cs="仿宋_GB2312" w:eastAsia="仿宋_GB2312"/>
                <w:sz w:val="21"/>
              </w:rPr>
              <w:t>持续收集汛期时暴雨发生时段、降水量和降雨强度的逐时监测数据，分析暴雨的空间分布及气象雷达回波图，追踪降雨云团的移动与变化，评估强降雨的突发性与持续性。获取河流关键断面水文监测数据，统计洪峰流量、水位过程线，分析洪水的涨水与退水特征。在预警信息发布与响应方面，回溯各预警渠道的覆盖情况，调查灾后群众及基层组织的响应情况，包括转移行动的及时性与合理性、避险演练的效果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2）动态预警指标调整应用效果评估</w:t>
            </w:r>
          </w:p>
          <w:p>
            <w:pPr>
              <w:pStyle w:val="null3"/>
              <w:ind w:firstLine="420"/>
              <w:jc w:val="both"/>
            </w:pPr>
            <w:r>
              <w:rPr>
                <w:rFonts w:ascii="仿宋_GB2312" w:hAnsi="仿宋_GB2312" w:cs="仿宋_GB2312" w:eastAsia="仿宋_GB2312"/>
                <w:sz w:val="21"/>
              </w:rPr>
              <w:t>①精准度评估。统计基于动态预警指标的预警命中率、误报率和漏报率，并与现有预警指标的预警效果进行对比，综合评估动态预警指标的精准度。预警命中率越高表示预警越准确，误报率越低表示预警越可靠，漏报率越低表示敏感性越好。</w:t>
            </w:r>
          </w:p>
          <w:p>
            <w:pPr>
              <w:pStyle w:val="null3"/>
              <w:ind w:firstLine="420"/>
              <w:jc w:val="both"/>
            </w:pPr>
            <w:r>
              <w:rPr>
                <w:rFonts w:ascii="仿宋_GB2312" w:hAnsi="仿宋_GB2312" w:cs="仿宋_GB2312" w:eastAsia="仿宋_GB2312"/>
                <w:sz w:val="21"/>
              </w:rPr>
              <w:t>②预见期评估。统计基于动态预警指标的预警预见期，并与现有预警指标的预警效果进行对比，评估动态预警指标的预见期延长能力。</w:t>
            </w:r>
          </w:p>
          <w:p>
            <w:pPr>
              <w:pStyle w:val="null3"/>
              <w:ind w:firstLine="420"/>
              <w:jc w:val="both"/>
            </w:pPr>
            <w:r>
              <w:rPr>
                <w:rFonts w:ascii="仿宋_GB2312" w:hAnsi="仿宋_GB2312" w:cs="仿宋_GB2312" w:eastAsia="仿宋_GB2312"/>
                <w:sz w:val="21"/>
              </w:rPr>
              <w:t>③稳定性评估。统计动态预警指标分析软件模块运行的失效率，以及软件模块失效后监测预报预警平台预警的失效率，评估软件模块运行的稳定性。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3）动态预警指标调整分析方法适用性评估</w:t>
            </w:r>
          </w:p>
          <w:p>
            <w:pPr>
              <w:pStyle w:val="null3"/>
              <w:ind w:firstLine="420"/>
              <w:jc w:val="both"/>
            </w:pPr>
            <w:r>
              <w:rPr>
                <w:rFonts w:ascii="仿宋_GB2312" w:hAnsi="仿宋_GB2312" w:cs="仿宋_GB2312" w:eastAsia="仿宋_GB2312"/>
                <w:sz w:val="21"/>
              </w:rPr>
              <w:t>山洪灾害预警指标动态调整分析方法主要包括模型分析法和简化分析法。综合考虑流域特征、资料条件和技术能力等实际情况，因地制宜选择适用方法。</w:t>
            </w:r>
          </w:p>
          <w:p>
            <w:pPr>
              <w:pStyle w:val="null3"/>
              <w:ind w:firstLine="420"/>
              <w:jc w:val="both"/>
            </w:pPr>
            <w:r>
              <w:rPr>
                <w:rFonts w:ascii="仿宋_GB2312" w:hAnsi="仿宋_GB2312" w:cs="仿宋_GB2312" w:eastAsia="仿宋_GB2312"/>
                <w:sz w:val="21"/>
              </w:rPr>
              <w:t>①适宜模型分析法的区域</w:t>
            </w:r>
          </w:p>
          <w:p>
            <w:pPr>
              <w:pStyle w:val="null3"/>
              <w:ind w:firstLine="420"/>
              <w:jc w:val="both"/>
            </w:pPr>
            <w:r>
              <w:rPr>
                <w:rFonts w:ascii="仿宋_GB2312" w:hAnsi="仿宋_GB2312" w:cs="仿宋_GB2312" w:eastAsia="仿宋_GB2312"/>
                <w:sz w:val="21"/>
              </w:rPr>
              <w:t>模型分析法包括小流域土壤含水量模拟模型法和分布式水文模型法。结合本地区小流域墒情站实测土壤含水量资料或实测场次暴雨洪水资料，充分评估小流域土壤含水量模拟模型或流域分布式水文模型的模拟精度，若场次暴雨洪水过程中实测与模拟土壤含水量变化的线性相关性较强（如相关系数达到</w:t>
            </w:r>
            <w:r>
              <w:rPr>
                <w:rFonts w:ascii="仿宋_GB2312" w:hAnsi="仿宋_GB2312" w:cs="仿宋_GB2312" w:eastAsia="仿宋_GB2312"/>
                <w:sz w:val="21"/>
              </w:rPr>
              <w:t>0.60以上）或者洪峰流量及其出现时间模拟精度达到乙级（水文情报预报规范，GB/T22482—2008），表明构建的模型适用于本地区小流域土壤含水量分析或暴雨山洪模拟分析，经当地山洪灾害防治专家和水文专家论证后，可将该模型用于雨量预警指标动态调整分析。</w:t>
            </w:r>
          </w:p>
          <w:p>
            <w:pPr>
              <w:pStyle w:val="null3"/>
              <w:ind w:firstLine="420"/>
              <w:jc w:val="both"/>
            </w:pPr>
            <w:r>
              <w:rPr>
                <w:rFonts w:ascii="仿宋_GB2312" w:hAnsi="仿宋_GB2312" w:cs="仿宋_GB2312" w:eastAsia="仿宋_GB2312"/>
                <w:sz w:val="21"/>
              </w:rPr>
              <w:t>②适宜简化分析法的区域</w:t>
            </w:r>
          </w:p>
          <w:p>
            <w:pPr>
              <w:pStyle w:val="null3"/>
              <w:ind w:firstLine="420"/>
              <w:jc w:val="both"/>
            </w:pPr>
            <w:r>
              <w:rPr>
                <w:rFonts w:ascii="仿宋_GB2312" w:hAnsi="仿宋_GB2312" w:cs="仿宋_GB2312" w:eastAsia="仿宋_GB2312"/>
                <w:sz w:val="21"/>
              </w:rPr>
              <w:t>受资料和技术条件等限制，无法采用模型分析法的区域，可采用简化的土壤含水量分析方法，例如根据场次降雨过程，用于动态调整山洪灾害预警指标的阈值。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4）成果可视化查询与动态展示</w:t>
            </w:r>
          </w:p>
          <w:p>
            <w:pPr>
              <w:pStyle w:val="null3"/>
              <w:ind w:firstLine="420"/>
              <w:jc w:val="both"/>
            </w:pPr>
            <w:r>
              <w:rPr>
                <w:rFonts w:ascii="仿宋_GB2312" w:hAnsi="仿宋_GB2312" w:cs="仿宋_GB2312" w:eastAsia="仿宋_GB2312"/>
                <w:sz w:val="21"/>
              </w:rPr>
              <w:t>完善陕西省山洪灾害监测预报预警平台的动态预警指标分析软件模块，支持在平台界面查询任意防御对象雨量预警指标的阈值动态调整成果，以时间序列折线图或柱状图等动态图表形式，展示预警阈值随前期降雨过程或实时土壤含水量变化的调整过程，关联展示不同预警时段预警阈值对应的暴雨重现期，辅助判断预警阈值动态调整的合理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5）动态调整应用效果评估机制</w:t>
            </w:r>
          </w:p>
          <w:p>
            <w:pPr>
              <w:pStyle w:val="null3"/>
              <w:ind w:firstLine="420"/>
              <w:jc w:val="both"/>
            </w:pPr>
            <w:r>
              <w:rPr>
                <w:rFonts w:ascii="仿宋_GB2312" w:hAnsi="仿宋_GB2312" w:cs="仿宋_GB2312" w:eastAsia="仿宋_GB2312"/>
                <w:sz w:val="21"/>
              </w:rPr>
              <w:t>建立山洪灾害预警指标动态调整应用效果评估机制，持续检验率定动态预警指标，优化改进预警指标调整分析方法。</w:t>
            </w:r>
          </w:p>
          <w:p>
            <w:pPr>
              <w:pStyle w:val="null3"/>
              <w:ind w:firstLine="420"/>
              <w:jc w:val="both"/>
            </w:pPr>
            <w:r>
              <w:rPr>
                <w:rFonts w:ascii="仿宋_GB2312" w:hAnsi="仿宋_GB2312" w:cs="仿宋_GB2312" w:eastAsia="仿宋_GB2312"/>
                <w:sz w:val="21"/>
              </w:rPr>
              <w:t>4.1.2.3小流域简化洪水淹没预演模型构建</w:t>
            </w:r>
          </w:p>
          <w:p>
            <w:pPr>
              <w:pStyle w:val="null3"/>
              <w:ind w:firstLine="420"/>
              <w:jc w:val="both"/>
            </w:pPr>
            <w:r>
              <w:rPr>
                <w:rFonts w:ascii="仿宋_GB2312" w:hAnsi="仿宋_GB2312" w:cs="仿宋_GB2312" w:eastAsia="仿宋_GB2312"/>
                <w:sz w:val="21"/>
              </w:rPr>
              <w:t>针对延安、铜川两市</w:t>
            </w:r>
            <w:r>
              <w:rPr>
                <w:rFonts w:ascii="仿宋_GB2312" w:hAnsi="仿宋_GB2312" w:cs="仿宋_GB2312" w:eastAsia="仿宋_GB2312"/>
                <w:sz w:val="21"/>
              </w:rPr>
              <w:t>51个重点小流域治理单元内开发简化洪水淹没分析模型。以每个小流域单元山洪沟道的断面测量成果为基础，结合现场调查和遥感影像数据，采用水文学和水力学相结合的方法，逐个小流域单元、逐个重点防御村落和集镇，分析确定沿河沟道每个断面不同频率、不同量级暴雨山洪的洪峰流量并转化为水位，结合村落地形测量和风险隐患调查等数据，分析确定不同频率、不同量级暴雨山洪的淹没范围和需转移对象，实现基于水文学-水力学方法的小流域治理单元洪水淹没模型建模和平台集成应用，支撑重点小流域治理单元山洪灾害预演分析。</w:t>
            </w:r>
          </w:p>
          <w:p>
            <w:pPr>
              <w:pStyle w:val="null3"/>
              <w:ind w:firstLine="420"/>
              <w:jc w:val="both"/>
            </w:pPr>
            <w:r>
              <w:rPr>
                <w:rFonts w:ascii="仿宋_GB2312" w:hAnsi="仿宋_GB2312" w:cs="仿宋_GB2312" w:eastAsia="仿宋_GB2312"/>
                <w:sz w:val="21"/>
              </w:rPr>
              <w:t>1、基础数据收集整理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1）地形数据：重点小流域治理单元优于30m的DEM 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2）河道断面数据：整合河道断面测量数据并进行数据质量审核，进行断面类型分析及划分及特征参数提取：河道洪水型断面、滞留洪水型断面、封阻洪水型断面。</w:t>
            </w:r>
          </w:p>
          <w:p>
            <w:pPr>
              <w:pStyle w:val="null3"/>
              <w:ind w:firstLine="420"/>
              <w:jc w:val="both"/>
            </w:pPr>
            <w:r>
              <w:rPr>
                <w:rFonts w:ascii="仿宋_GB2312" w:hAnsi="仿宋_GB2312" w:cs="仿宋_GB2312" w:eastAsia="仿宋_GB2312"/>
                <w:sz w:val="21"/>
              </w:rPr>
              <w:t>河道洪水型断面，若分析对象控制断面、上游及下游断面均为相对规整的抛物线型或矩形等，过水面积基本一致，河断面堤（坡）顶特征点与主河道界限清晰，洪水水位流量关系稳定，可将此类分析评价对象划分为河道洪水型。</w:t>
            </w:r>
          </w:p>
          <w:p>
            <w:pPr>
              <w:pStyle w:val="null3"/>
              <w:ind w:firstLine="420"/>
              <w:jc w:val="both"/>
            </w:pPr>
            <w:r>
              <w:rPr>
                <w:rFonts w:ascii="仿宋_GB2312" w:hAnsi="仿宋_GB2312" w:cs="仿宋_GB2312" w:eastAsia="仿宋_GB2312"/>
                <w:sz w:val="21"/>
              </w:rPr>
              <w:t>滞留洪水型断面，若分析对象控制断面、上游及下游断面均为复合型断面，主河道过水面积明显小于两侧滩地，主河道与滩地地貌植被显著不同，水流流速差异较大，可将此类分析评价对象划分为滞留洪水型。</w:t>
            </w:r>
          </w:p>
          <w:p>
            <w:pPr>
              <w:pStyle w:val="null3"/>
              <w:ind w:firstLine="420"/>
              <w:jc w:val="both"/>
            </w:pPr>
            <w:r>
              <w:rPr>
                <w:rFonts w:ascii="仿宋_GB2312" w:hAnsi="仿宋_GB2312" w:cs="仿宋_GB2312" w:eastAsia="仿宋_GB2312"/>
                <w:sz w:val="21"/>
              </w:rPr>
              <w:t>封阻洪水型断面，若分析对象下游附近沟道缩窄或下游断面附近有路堤、桥梁、堰坝等明显的阻水建筑物时，下游断面的过水能力显著小于上游断面，可将此类分析评价对象划分为封阻洪水型。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3）设计暴雨：重点小流域治理单元的设计暴雨成果，包括 10min、1h、6h、24h等时段，5年、10年、20年、50年、100年等重现期下的雨量及时程分配。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4）设计洪水：重点小流域治理单元内精细河段的设计洪水成果，重现期与设计暴雨一致，河段的精细程度应与重要城集镇和规模较大沿河村落的范围相适应。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风险隐患：按照《山洪灾害补充调查评价技术要求（风险隐患调查与影响分析）（试行）》要求，汇集跨沟道路、桥涵和塘堰坝的调查数据，沟滩占地调查数据，多支齐汇和干流顶托调查数据，河道束窄、沟道急弯等调查数据。</w:t>
            </w:r>
          </w:p>
          <w:p>
            <w:pPr>
              <w:pStyle w:val="null3"/>
              <w:ind w:firstLine="420"/>
              <w:jc w:val="both"/>
            </w:pPr>
            <w:r>
              <w:rPr>
                <w:rFonts w:ascii="仿宋_GB2312" w:hAnsi="仿宋_GB2312" w:cs="仿宋_GB2312" w:eastAsia="仿宋_GB2312"/>
                <w:sz w:val="21"/>
              </w:rPr>
              <w:t>2、分布式水文模型改进</w:t>
            </w:r>
          </w:p>
          <w:p>
            <w:pPr>
              <w:pStyle w:val="null3"/>
              <w:ind w:firstLine="420"/>
              <w:jc w:val="both"/>
            </w:pPr>
            <w:r>
              <w:rPr>
                <w:rFonts w:ascii="仿宋_GB2312" w:hAnsi="仿宋_GB2312" w:cs="仿宋_GB2312" w:eastAsia="仿宋_GB2312"/>
                <w:sz w:val="21"/>
              </w:rPr>
              <w:t>按照重要城集镇和规模较大沿河村落的位置区域，评估已建分布式水文模型计算单元与拟建简化洪水淹没分析模型建模区域的位置关系；根据河道形态确定横断面测量位置，并根据横断面测量位置和风险隐患位置，进一步细化分布式水文模型计算单元，对分布式水文模型进行改进，以适应横断面和风险隐患位置处的流量分析，支持简化淹没分析模型计算。</w:t>
            </w:r>
          </w:p>
          <w:p>
            <w:pPr>
              <w:pStyle w:val="null3"/>
              <w:ind w:firstLine="420"/>
              <w:jc w:val="both"/>
            </w:pPr>
            <w:r>
              <w:rPr>
                <w:rFonts w:ascii="仿宋_GB2312" w:hAnsi="仿宋_GB2312" w:cs="仿宋_GB2312" w:eastAsia="仿宋_GB2312"/>
                <w:sz w:val="21"/>
              </w:rPr>
              <w:t>3、简化洪水淹没分析模型构建</w:t>
            </w:r>
          </w:p>
          <w:p>
            <w:pPr>
              <w:pStyle w:val="null3"/>
              <w:ind w:firstLine="420"/>
              <w:jc w:val="both"/>
            </w:pPr>
            <w:r>
              <w:rPr>
                <w:rFonts w:ascii="仿宋_GB2312" w:hAnsi="仿宋_GB2312" w:cs="仿宋_GB2312" w:eastAsia="仿宋_GB2312"/>
                <w:sz w:val="21"/>
              </w:rPr>
              <w:t>简化洪水淹没分析模型构建按资料准备与评估、断面划分、洪水计算、洪水淹没分析、淹没图绘制、成果入库</w:t>
            </w:r>
            <w:r>
              <w:rPr>
                <w:rFonts w:ascii="仿宋_GB2312" w:hAnsi="仿宋_GB2312" w:cs="仿宋_GB2312" w:eastAsia="仿宋_GB2312"/>
                <w:sz w:val="21"/>
              </w:rPr>
              <w:t>6 个阶段进行，针对延安、铜川不同区域，结合区域特点，开展模型构建、检验率定和分析计算工作。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1）资料准备与评估：根据分析需求收集流域及防灾对象基础数据和调查数据等直接数据和河道形状、底床材料等分析计算所需的间接信息，并进行数据的一致性、完整性、适用性评估。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2）断面划分：根据分析对象附近的河道情况，按照从上游到下游的顺序，沿河道进行断面划分，依据断面的实际情况，以河道为 单位评估分析河床发育特性和滩槽水流动相交换特点，赋予断面类型、断面分割模式及计算参数。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洪水计算：采用分布式水文模型，以村落为单元，以沿河村落、集镇和城镇附近的河道控制断面为计算节点，进行控制断面处的洪水计算，得到洪峰、洪量、上涨历时、洪水历时等洪水要素信息。基于历史数据对分布式水文模型进行检验率定，采用历史或本地区调查大洪水等资料，对洪水分析成果进行合理性分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洪水淹没分析：根据风险隐患调查结果提取路堤、桥梁、堰坝等明显的阻水建筑物特征参数，以洪水计算成果为输入条件，驱动计算简化洪水淹没计算模型，综合考虑断面类型、子断面计算参数和阻水特征参数，将洪峰流量转化为相应水位，获得保护对象的洪水淹没情况。采用历史洪水资料或本地区调查大洪水等资料，对模型参数进行率定，并对分析成果进行合理性分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5）淹没图绘制：基于洪水淹没分析成果，在工作底图上绘制洪水淹没图，包含基础信息、淹没范围、淹没水深、影响人口等信息。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6）成果入库：分析成果汇入省级山洪灾害监测预报预警平台，并能够在省级平台中展示应用，成果存入省级平台数据库，支持任意时段成果查询展示。</w:t>
            </w:r>
          </w:p>
          <w:p>
            <w:pPr>
              <w:pStyle w:val="null3"/>
              <w:ind w:firstLine="420"/>
              <w:jc w:val="both"/>
            </w:pPr>
            <w:r>
              <w:rPr>
                <w:rFonts w:ascii="仿宋_GB2312" w:hAnsi="仿宋_GB2312" w:cs="仿宋_GB2312" w:eastAsia="仿宋_GB2312"/>
                <w:sz w:val="21"/>
              </w:rPr>
              <w:t>4、简化洪水淹没分析模型集成</w:t>
            </w:r>
          </w:p>
          <w:p>
            <w:pPr>
              <w:pStyle w:val="null3"/>
              <w:ind w:firstLine="420"/>
              <w:jc w:val="both"/>
            </w:pPr>
            <w:r>
              <w:rPr>
                <w:rFonts w:ascii="仿宋_GB2312" w:hAnsi="仿宋_GB2312" w:cs="仿宋_GB2312" w:eastAsia="仿宋_GB2312"/>
                <w:sz w:val="21"/>
              </w:rPr>
              <w:t>以省级山洪灾害监测预报预警平台实测降雨、预报降雨、情景设置降雨为驱动，分布式水文模型精细河段流量实时计算结果为输入，简化模型的输出结果包括淹没范围过程、任意淹没地点的淹没水深过程。输出的数据格式支持</w:t>
            </w:r>
            <w:r>
              <w:rPr>
                <w:rFonts w:ascii="仿宋_GB2312" w:hAnsi="仿宋_GB2312" w:cs="仿宋_GB2312" w:eastAsia="仿宋_GB2312"/>
                <w:sz w:val="21"/>
              </w:rPr>
              <w:t>shp/geojson。计算时间需要在3s内完成。模型输出结果支持时序数据库存储并可快速调用在底图上播放渲染。可查看任意点的淹没水深。针对淹没结果可以分析受影像的人口、房屋、道路等信息并叠加到底图上展示。</w:t>
            </w:r>
          </w:p>
          <w:p>
            <w:pPr>
              <w:pStyle w:val="null3"/>
              <w:ind w:firstLine="420"/>
              <w:jc w:val="both"/>
              <w:outlineLvl w:val="2"/>
            </w:pPr>
            <w:r>
              <w:rPr>
                <w:rFonts w:ascii="仿宋_GB2312" w:hAnsi="仿宋_GB2312" w:cs="仿宋_GB2312" w:eastAsia="仿宋_GB2312"/>
                <w:sz w:val="21"/>
                <w:b/>
              </w:rPr>
              <w:t>4.2“四预”功能优化</w:t>
            </w:r>
          </w:p>
          <w:p>
            <w:pPr>
              <w:pStyle w:val="null3"/>
              <w:jc w:val="both"/>
              <w:outlineLvl w:val="2"/>
            </w:pPr>
            <w:r>
              <w:rPr>
                <w:rFonts w:ascii="仿宋_GB2312" w:hAnsi="仿宋_GB2312" w:cs="仿宋_GB2312" w:eastAsia="仿宋_GB2312"/>
                <w:sz w:val="21"/>
                <w:b/>
              </w:rPr>
              <w:t>4.2.1山洪灾害知识库和动态案例库构建</w:t>
            </w:r>
          </w:p>
          <w:p>
            <w:pPr>
              <w:pStyle w:val="null3"/>
              <w:ind w:firstLine="420"/>
              <w:jc w:val="both"/>
            </w:pPr>
            <w:r>
              <w:rPr>
                <w:rFonts w:ascii="仿宋_GB2312" w:hAnsi="仿宋_GB2312" w:cs="仿宋_GB2312" w:eastAsia="仿宋_GB2312"/>
                <w:sz w:val="21"/>
              </w:rPr>
              <w:t>1、山洪灾害知识库构建</w:t>
            </w:r>
          </w:p>
          <w:p>
            <w:pPr>
              <w:pStyle w:val="null3"/>
              <w:ind w:firstLine="420"/>
              <w:jc w:val="both"/>
            </w:pPr>
            <w:r>
              <w:rPr>
                <w:rFonts w:ascii="仿宋_GB2312" w:hAnsi="仿宋_GB2312" w:cs="仿宋_GB2312" w:eastAsia="仿宋_GB2312"/>
                <w:sz w:val="21"/>
              </w:rPr>
              <w:t>整合山洪灾害相关的基础理论、技术标准、政策规范、地理环境数据、水文气象参数等信息，形成结构化、可检索、可更新的知识库，为预警决策、模型优化、预案制定提供数据支撑。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1）数据来源梳理</w:t>
            </w:r>
          </w:p>
          <w:p>
            <w:pPr>
              <w:pStyle w:val="null3"/>
              <w:ind w:firstLine="420"/>
              <w:jc w:val="both"/>
            </w:pPr>
            <w:r>
              <w:rPr>
                <w:rFonts w:ascii="仿宋_GB2312" w:hAnsi="仿宋_GB2312" w:cs="仿宋_GB2312" w:eastAsia="仿宋_GB2312"/>
                <w:sz w:val="21"/>
              </w:rPr>
              <w:t>收集国家及省级山洪灾害防治相关法律法规、技术导则；整合气象部门的降雨阈值标准、水文部门的洪水演算参数、自然资源部门的地形地貌数据、水利部门的水利工程分布及运行数据；采集历史山洪灾害影响区域的基础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2）知识结构化处理</w:t>
            </w:r>
          </w:p>
          <w:p>
            <w:pPr>
              <w:pStyle w:val="null3"/>
              <w:ind w:firstLine="420"/>
              <w:jc w:val="both"/>
            </w:pPr>
            <w:r>
              <w:rPr>
                <w:rFonts w:ascii="仿宋_GB2312" w:hAnsi="仿宋_GB2312" w:cs="仿宋_GB2312" w:eastAsia="仿宋_GB2312"/>
                <w:sz w:val="21"/>
              </w:rPr>
              <w:t>将知识划分为基础理论类、技术标准类、政策法规类、地理环境类、水文气象类、工程设施类、风险评估类</w:t>
            </w:r>
            <w:r>
              <w:rPr>
                <w:rFonts w:ascii="仿宋_GB2312" w:hAnsi="仿宋_GB2312" w:cs="仿宋_GB2312" w:eastAsia="仿宋_GB2312"/>
                <w:sz w:val="21"/>
              </w:rPr>
              <w:t>7大类别，建立知识间的关联关系。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3）知识库管理系统开发</w:t>
            </w:r>
          </w:p>
          <w:p>
            <w:pPr>
              <w:pStyle w:val="null3"/>
              <w:ind w:firstLine="420"/>
              <w:jc w:val="both"/>
            </w:pPr>
            <w:r>
              <w:rPr>
                <w:rFonts w:ascii="仿宋_GB2312" w:hAnsi="仿宋_GB2312" w:cs="仿宋_GB2312" w:eastAsia="仿宋_GB2312"/>
                <w:sz w:val="21"/>
              </w:rPr>
              <w:t>开发集成知识录入、多级审核、双驱更新、智能检索、知识图谱关联展示等功能模块的专用系统，实现知识数据与动态案例库、风险图模块的深度联动与数据互通，为山洪灾害预警决策、应急处置、预案优化提供全维度知识支撑。</w:t>
            </w:r>
          </w:p>
          <w:p>
            <w:pPr>
              <w:pStyle w:val="null3"/>
              <w:ind w:firstLine="420"/>
              <w:jc w:val="both"/>
            </w:pPr>
            <w:r>
              <w:rPr>
                <w:rFonts w:ascii="仿宋_GB2312" w:hAnsi="仿宋_GB2312" w:cs="仿宋_GB2312" w:eastAsia="仿宋_GB2312"/>
                <w:sz w:val="21"/>
              </w:rPr>
              <w:t>2、动态案例库构建</w:t>
            </w:r>
          </w:p>
          <w:p>
            <w:pPr>
              <w:pStyle w:val="null3"/>
              <w:ind w:firstLine="420"/>
              <w:jc w:val="both"/>
            </w:pPr>
            <w:r>
              <w:rPr>
                <w:rFonts w:ascii="仿宋_GB2312" w:hAnsi="仿宋_GB2312" w:cs="仿宋_GB2312" w:eastAsia="仿宋_GB2312"/>
                <w:sz w:val="21"/>
              </w:rPr>
              <w:t>收集整理历史及新增山洪灾害案例的完整信息，建立包含灾害发生全过程数据的案例库，支持案例查询、统计分析、趋势研判，为预警模型优化和预案完善提供实证支撑。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1）案例数据采集</w:t>
            </w:r>
          </w:p>
          <w:p>
            <w:pPr>
              <w:pStyle w:val="null3"/>
              <w:ind w:firstLine="420"/>
              <w:jc w:val="both"/>
            </w:pPr>
            <w:r>
              <w:rPr>
                <w:rFonts w:ascii="仿宋_GB2312" w:hAnsi="仿宋_GB2312" w:cs="仿宋_GB2312" w:eastAsia="仿宋_GB2312"/>
                <w:sz w:val="21"/>
              </w:rPr>
              <w:t>涵盖省级行政区域内所有山洪灾害案例，包括已发生案例的补充完善和新增案例的实时录入；案例数据内容需包含基础信息、诱发因素、灾害过程、灾害影响、应对措施、案例总结等要素的山洪灾害案例。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2）案例动态更新机制</w:t>
            </w:r>
          </w:p>
          <w:p>
            <w:pPr>
              <w:pStyle w:val="null3"/>
              <w:ind w:firstLine="420"/>
              <w:jc w:val="both"/>
            </w:pPr>
            <w:r>
              <w:rPr>
                <w:rFonts w:ascii="仿宋_GB2312" w:hAnsi="仿宋_GB2312" w:cs="仿宋_GB2312" w:eastAsia="仿宋_GB2312"/>
                <w:sz w:val="21"/>
              </w:rPr>
              <w:t>建立</w:t>
            </w:r>
            <w:r>
              <w:rPr>
                <w:rFonts w:ascii="仿宋_GB2312" w:hAnsi="仿宋_GB2312" w:cs="仿宋_GB2312" w:eastAsia="仿宋_GB2312"/>
                <w:sz w:val="21"/>
              </w:rPr>
              <w:t>“省级-市级-县级”三级案例报送功能，支持对已入库案例信息的补充更新、标注记录；自动获取新增山洪灾害案例的关键数据，与人工填报数据交叉验证，确保案例数据的完整性和真实性。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3）案例分析功能开发</w:t>
            </w:r>
          </w:p>
          <w:p>
            <w:pPr>
              <w:pStyle w:val="null3"/>
              <w:ind w:firstLine="420"/>
              <w:jc w:val="both"/>
            </w:pPr>
            <w:r>
              <w:rPr>
                <w:rFonts w:ascii="仿宋_GB2312" w:hAnsi="仿宋_GB2312" w:cs="仿宋_GB2312" w:eastAsia="仿宋_GB2312"/>
                <w:sz w:val="21"/>
              </w:rPr>
              <w:t>开发案例查询、统计分析、趋势研判模块，支持按发生时间、行政区划、灾害等级、诱发因素等维度进行多条件组合查询；提供案例统计分析功能，可生成不同时期、不同区域山洪灾害发生频率、诱发因素占比、灾害影响程度等统计图表；支持案例趋势研判。</w:t>
            </w:r>
          </w:p>
          <w:p>
            <w:pPr>
              <w:pStyle w:val="null3"/>
              <w:ind w:firstLine="420"/>
              <w:jc w:val="both"/>
            </w:pPr>
            <w:r>
              <w:rPr>
                <w:rFonts w:ascii="仿宋_GB2312" w:hAnsi="仿宋_GB2312" w:cs="仿宋_GB2312" w:eastAsia="仿宋_GB2312"/>
                <w:sz w:val="21"/>
              </w:rPr>
              <w:t>3、风险图集成与动态显示</w:t>
            </w:r>
          </w:p>
          <w:p>
            <w:pPr>
              <w:pStyle w:val="null3"/>
              <w:ind w:firstLine="420"/>
              <w:jc w:val="both"/>
            </w:pPr>
            <w:r>
              <w:rPr>
                <w:rFonts w:ascii="仿宋_GB2312" w:hAnsi="仿宋_GB2312" w:cs="仿宋_GB2312" w:eastAsia="仿宋_GB2312"/>
                <w:sz w:val="21"/>
              </w:rPr>
              <w:t>整合不同类型、不同比例尺的山洪灾害风险图数据，实现风险图与知识库、案例库的关联集成，支持风险图的动态加载、分层显示、交互查询，直观呈现山洪灾害风险分布及关联信息。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1）风险图数据整合</w:t>
            </w:r>
          </w:p>
          <w:p>
            <w:pPr>
              <w:pStyle w:val="null3"/>
              <w:ind w:firstLine="420"/>
              <w:jc w:val="both"/>
            </w:pPr>
            <w:r>
              <w:rPr>
                <w:rFonts w:ascii="仿宋_GB2312" w:hAnsi="仿宋_GB2312" w:cs="仿宋_GB2312" w:eastAsia="仿宋_GB2312"/>
                <w:sz w:val="21"/>
              </w:rPr>
              <w:t>收集整合省、市、县的山洪灾害风险图数据，包括风险区划图、淹没范围图、危险区分布图、转移路线图、安置点分布图等；统一风险图数据格式为</w:t>
            </w:r>
            <w:r>
              <w:rPr>
                <w:rFonts w:ascii="仿宋_GB2312" w:hAnsi="仿宋_GB2312" w:cs="仿宋_GB2312" w:eastAsia="仿宋_GB2312"/>
                <w:sz w:val="21"/>
              </w:rPr>
              <w:t>GIS标准格式。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2）风险图与知识库、案例库关联</w:t>
            </w:r>
          </w:p>
          <w:p>
            <w:pPr>
              <w:pStyle w:val="null3"/>
              <w:ind w:firstLine="420"/>
              <w:jc w:val="both"/>
            </w:pPr>
            <w:r>
              <w:rPr>
                <w:rFonts w:ascii="仿宋_GB2312" w:hAnsi="仿宋_GB2312" w:cs="仿宋_GB2312" w:eastAsia="仿宋_GB2312"/>
                <w:sz w:val="21"/>
              </w:rPr>
              <w:t>建立风险图空间要素与知识、案例的关联映射；当用户点击风险图中的某一区域时，可自动显示该区域的风险等级、关联知识、历史案例等信息。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3）动态显示功能开发</w:t>
            </w:r>
          </w:p>
          <w:p>
            <w:pPr>
              <w:pStyle w:val="null3"/>
              <w:ind w:firstLine="420"/>
              <w:jc w:val="both"/>
            </w:pPr>
            <w:r>
              <w:rPr>
                <w:rFonts w:ascii="仿宋_GB2312" w:hAnsi="仿宋_GB2312" w:cs="仿宋_GB2312" w:eastAsia="仿宋_GB2312"/>
                <w:sz w:val="21"/>
              </w:rPr>
              <w:t>开发风险图动态显示模块，支持风险图的分层加载、缩放平移、图例切换，利用</w:t>
            </w:r>
            <w:r>
              <w:rPr>
                <w:rFonts w:ascii="仿宋_GB2312" w:hAnsi="仿宋_GB2312" w:cs="仿宋_GB2312" w:eastAsia="仿宋_GB2312"/>
                <w:sz w:val="21"/>
              </w:rPr>
              <w:t>GIS的空间分析功能，将洪水淹没范围、水深、流速等数据与地理底图进行融合，并将实时降雨量、河道水位等监测数据叠加到风险图上，实现风险图与实时监测数据的联动显示，直观呈现风险区域的实时态势。</w:t>
            </w:r>
          </w:p>
          <w:p>
            <w:pPr>
              <w:pStyle w:val="null3"/>
              <w:jc w:val="both"/>
              <w:outlineLvl w:val="2"/>
            </w:pPr>
            <w:r>
              <w:rPr>
                <w:rFonts w:ascii="仿宋_GB2312" w:hAnsi="仿宋_GB2312" w:cs="仿宋_GB2312" w:eastAsia="仿宋_GB2312"/>
                <w:sz w:val="21"/>
                <w:b/>
              </w:rPr>
              <w:t>4.2.2数字化预案生成</w:t>
            </w:r>
          </w:p>
          <w:p>
            <w:pPr>
              <w:pStyle w:val="null3"/>
              <w:ind w:firstLine="420"/>
              <w:jc w:val="both"/>
            </w:pPr>
            <w:r>
              <w:rPr>
                <w:rFonts w:ascii="仿宋_GB2312" w:hAnsi="仿宋_GB2312" w:cs="仿宋_GB2312" w:eastAsia="仿宋_GB2312"/>
                <w:sz w:val="21"/>
              </w:rPr>
              <w:t>以</w:t>
            </w:r>
            <w:r>
              <w:rPr>
                <w:rFonts w:ascii="仿宋_GB2312" w:hAnsi="仿宋_GB2312" w:cs="仿宋_GB2312" w:eastAsia="仿宋_GB2312"/>
                <w:sz w:val="21"/>
              </w:rPr>
              <w:t>“数字化-精准化-智能化”为核心，构建一套覆盖“降水输入-模型模拟-淹没范围研判-危险区人口定位-预警信息推送-人员转移管理”全链条的山洪灾害数字化预案体系。</w:t>
            </w:r>
          </w:p>
          <w:p>
            <w:pPr>
              <w:pStyle w:val="null3"/>
              <w:ind w:firstLine="420"/>
              <w:jc w:val="both"/>
            </w:pPr>
            <w:r>
              <w:rPr>
                <w:rFonts w:ascii="仿宋_GB2312" w:hAnsi="仿宋_GB2312" w:cs="仿宋_GB2312" w:eastAsia="仿宋_GB2312"/>
                <w:sz w:val="21"/>
              </w:rPr>
              <w:t>1、基础数据与模型体系构建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1）构建多源数据资源池：整理整合监测站点及基础数据，通过数据清洗与标准化处理形成统一的空间数据库与属性数据库；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2）情景模拟与参数校正：结合历史山洪灾害案例数据与近年实测降雨径流数据，对模型的糙率、汇流系数等参数进行调试，确保模型模拟精度。</w:t>
            </w:r>
          </w:p>
          <w:p>
            <w:pPr>
              <w:pStyle w:val="null3"/>
              <w:ind w:firstLine="420"/>
              <w:jc w:val="both"/>
            </w:pPr>
            <w:r>
              <w:rPr>
                <w:rFonts w:ascii="仿宋_GB2312" w:hAnsi="仿宋_GB2312" w:cs="仿宋_GB2312" w:eastAsia="仿宋_GB2312"/>
                <w:sz w:val="21"/>
              </w:rPr>
              <w:t>2、多情景降雨预演实施</w:t>
            </w:r>
          </w:p>
          <w:p>
            <w:pPr>
              <w:pStyle w:val="null3"/>
              <w:ind w:firstLine="420"/>
              <w:jc w:val="both"/>
            </w:pPr>
            <w:r>
              <w:rPr>
                <w:rFonts w:ascii="仿宋_GB2312" w:hAnsi="仿宋_GB2312" w:cs="仿宋_GB2312" w:eastAsia="仿宋_GB2312"/>
                <w:sz w:val="21"/>
              </w:rPr>
              <w:t>针对不同降雨情景的特性，制定差异化预演策略，为后续数字化预案预警转移建议提供精准依据。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自定义预演，结合区域内山洪灾害风险区划结果，预设“5年一遇、10年一遇、20年一遇、30年一遇、50年一遇、100年一遇”等标准降雨情景，设定工程隐患等工况条件，自定义降雨强度、历时等参数，通过预演模型完成全流程演进模拟，输出不同情景下的淹没范围、淹没深度、影响人口等精细化成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2）实时预演，依托实时监测站点数据，自动同步区域内逐小时降雨数据，当降雨强度达到预警阈值时，触发预演模型快速计算，实时更新淹没演进过程。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3）预报预演，对接2h/6h/12h/24h降雨预报数据，针对预报降雨量级≥50mm的情景，提前启动预演模型进行精细化预演，为提前部署转移工作预留时间窗口。</w:t>
            </w:r>
          </w:p>
          <w:p>
            <w:pPr>
              <w:pStyle w:val="null3"/>
              <w:ind w:firstLine="420"/>
              <w:jc w:val="both"/>
            </w:pPr>
            <w:r>
              <w:rPr>
                <w:rFonts w:ascii="仿宋_GB2312" w:hAnsi="仿宋_GB2312" w:cs="仿宋_GB2312" w:eastAsia="仿宋_GB2312"/>
                <w:sz w:val="21"/>
              </w:rPr>
              <w:t>3、危险区人口预警与转移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于调查得到的危险区内入户调查数据信息，将预演输出淹没范围与危险区内居民户进行空间关联，自动区分淹没区域内受威胁人口，同步区分不同淹没深度下的受威胁人员信息（水深≥3m，水深2-3m，水深1-2m，水深0.5-1m，水深≤0.5m），生成包含人员基本信息、所在村落、受淹没深度的靶向预警清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2）建立分级分类预警推送机制：结合模型模拟预演结果，按照“红、橙、黄、蓝”四级预警机制，通过“短信+APP推送”的方式，向受威胁区域内的危险区责任人推送预警信息。</w:t>
            </w:r>
          </w:p>
          <w:p>
            <w:pPr>
              <w:pStyle w:val="null3"/>
              <w:ind w:firstLine="420"/>
              <w:jc w:val="both"/>
            </w:pPr>
            <w:r>
              <w:rPr>
                <w:rFonts w:ascii="仿宋_GB2312" w:hAnsi="仿宋_GB2312" w:cs="仿宋_GB2312" w:eastAsia="仿宋_GB2312"/>
                <w:sz w:val="21"/>
              </w:rPr>
              <w:t>4、山洪平台数字化预案生成</w:t>
            </w:r>
          </w:p>
          <w:p>
            <w:pPr>
              <w:pStyle w:val="null3"/>
              <w:ind w:firstLine="420"/>
              <w:jc w:val="both"/>
            </w:pPr>
            <w:r>
              <w:rPr>
                <w:rFonts w:ascii="仿宋_GB2312" w:hAnsi="仿宋_GB2312" w:cs="仿宋_GB2312" w:eastAsia="仿宋_GB2312"/>
                <w:sz w:val="21"/>
              </w:rPr>
              <w:t>在山洪平台中构建集成</w:t>
            </w:r>
            <w:r>
              <w:rPr>
                <w:rFonts w:ascii="仿宋_GB2312" w:hAnsi="仿宋_GB2312" w:cs="仿宋_GB2312" w:eastAsia="仿宋_GB2312"/>
                <w:sz w:val="21"/>
              </w:rPr>
              <w:t>“预演场景基本信息、淹没范围地图显示、山洪灾害风险评估、责任制体系、避险转移名录、转移路线及安置点”于一体的数字化预案，实现“情景-危险区-时间-人口”为核心要素的联动匹配与可视化呈现。</w:t>
            </w:r>
          </w:p>
          <w:p>
            <w:pPr>
              <w:pStyle w:val="null3"/>
              <w:jc w:val="both"/>
              <w:outlineLvl w:val="2"/>
            </w:pPr>
            <w:r>
              <w:rPr>
                <w:rFonts w:ascii="仿宋_GB2312" w:hAnsi="仿宋_GB2312" w:cs="仿宋_GB2312" w:eastAsia="仿宋_GB2312"/>
                <w:sz w:val="21"/>
                <w:b/>
              </w:rPr>
              <w:t>4.2.3短信发送平台优化</w:t>
            </w:r>
          </w:p>
          <w:p>
            <w:pPr>
              <w:pStyle w:val="null3"/>
              <w:ind w:firstLine="420"/>
              <w:jc w:val="both"/>
            </w:pPr>
            <w:r>
              <w:rPr>
                <w:rFonts w:ascii="仿宋_GB2312" w:hAnsi="仿宋_GB2312" w:cs="仿宋_GB2312" w:eastAsia="仿宋_GB2312"/>
                <w:sz w:val="21"/>
              </w:rPr>
              <w:t>伴随着汛期内平台预警短信发送业务量的增加，现状山洪短信发送平台存在稳定性弱、发送速度受限较大、短信链接受拦截等问题。为提高山洪平台短信发送功能的稳定性，保障每条短信能及时送达，并有效跟进下属市县短信应答率，本年度将开展短信发送平台功能优化升级工作，拟替换原有直接与商业短信平台对接的方式，由省级平台直接与省内三大运营商（移动、电信、联通）的通信网关对接，提高发送的稳定性。</w:t>
            </w:r>
          </w:p>
          <w:p>
            <w:pPr>
              <w:pStyle w:val="null3"/>
              <w:ind w:firstLine="420"/>
              <w:jc w:val="both"/>
            </w:pPr>
            <w:r>
              <w:rPr>
                <w:rFonts w:ascii="仿宋_GB2312" w:hAnsi="仿宋_GB2312" w:cs="仿宋_GB2312" w:eastAsia="仿宋_GB2312"/>
                <w:sz w:val="21"/>
              </w:rPr>
              <w:t>1、功能改造要求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1）通过协议对接三大运营商</w:t>
            </w:r>
          </w:p>
          <w:p>
            <w:pPr>
              <w:pStyle w:val="null3"/>
              <w:ind w:firstLine="420"/>
              <w:jc w:val="both"/>
            </w:pPr>
            <w:r>
              <w:rPr>
                <w:rFonts w:ascii="仿宋_GB2312" w:hAnsi="仿宋_GB2312" w:cs="仿宋_GB2312" w:eastAsia="仿宋_GB2312"/>
                <w:sz w:val="21"/>
              </w:rPr>
              <w:t>改造原有短信功能，使用申请的通信短号，与三大运营商（移动、联通、电信）通信网关直接对接，</w:t>
            </w:r>
            <w:r>
              <w:rPr>
                <w:rFonts w:ascii="仿宋_GB2312" w:hAnsi="仿宋_GB2312" w:cs="仿宋_GB2312" w:eastAsia="仿宋_GB2312"/>
                <w:sz w:val="21"/>
              </w:rPr>
              <w:t>使用</w:t>
            </w:r>
            <w:r>
              <w:rPr>
                <w:rFonts w:ascii="仿宋_GB2312" w:hAnsi="仿宋_GB2312" w:cs="仿宋_GB2312" w:eastAsia="仿宋_GB2312"/>
                <w:sz w:val="21"/>
              </w:rPr>
              <w:t>CMPP、SGIP、SMGP运营商各自的通信协议进行对接从而实现短信发送功能。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2）根据手机号自动分配转发通道</w:t>
            </w:r>
          </w:p>
          <w:p>
            <w:pPr>
              <w:pStyle w:val="null3"/>
              <w:ind w:firstLine="420"/>
              <w:jc w:val="both"/>
            </w:pPr>
            <w:r>
              <w:rPr>
                <w:rFonts w:ascii="仿宋_GB2312" w:hAnsi="仿宋_GB2312" w:cs="仿宋_GB2312" w:eastAsia="仿宋_GB2312"/>
                <w:sz w:val="21"/>
              </w:rPr>
              <w:t>将预警责任人的手机号码自动分拣并分配至对应的运营商通道：通过号段，将接收到的手机号列表按运营商进行分组，为每个分组分配合适的运营商发送通道，同时针对携号转网号码，需要实现自动识别并及时转发送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3）长短信自动拆分与状态回执</w:t>
            </w:r>
          </w:p>
          <w:p>
            <w:pPr>
              <w:pStyle w:val="null3"/>
              <w:ind w:firstLine="420"/>
              <w:jc w:val="both"/>
            </w:pPr>
            <w:r>
              <w:rPr>
                <w:rFonts w:ascii="仿宋_GB2312" w:hAnsi="仿宋_GB2312" w:cs="仿宋_GB2312" w:eastAsia="仿宋_GB2312"/>
                <w:sz w:val="21"/>
              </w:rPr>
              <w:t>运营商对单条短信有字数限制，需要自动识别超过运营商单条限制的长短信进行拆分发送，同时需要接收运营商返回的短信发送状态报告（如成功、失败、等待、停机等）记录短信发送状态。</w:t>
            </w:r>
          </w:p>
          <w:p>
            <w:pPr>
              <w:pStyle w:val="null3"/>
              <w:ind w:firstLine="420"/>
              <w:jc w:val="both"/>
            </w:pPr>
            <w:r>
              <w:rPr>
                <w:rFonts w:ascii="仿宋_GB2312" w:hAnsi="仿宋_GB2312" w:cs="仿宋_GB2312" w:eastAsia="仿宋_GB2312"/>
                <w:sz w:val="21"/>
              </w:rPr>
              <w:t>2、性能安全要求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1）发送速率要求</w:t>
            </w:r>
          </w:p>
          <w:p>
            <w:pPr>
              <w:pStyle w:val="null3"/>
              <w:ind w:firstLine="420"/>
              <w:jc w:val="both"/>
            </w:pPr>
            <w:r>
              <w:rPr>
                <w:rFonts w:ascii="仿宋_GB2312" w:hAnsi="仿宋_GB2312" w:cs="仿宋_GB2312" w:eastAsia="仿宋_GB2312"/>
                <w:sz w:val="21"/>
              </w:rPr>
              <w:t>系统短信发送峰值速率不小于</w:t>
            </w:r>
            <w:r>
              <w:rPr>
                <w:rFonts w:ascii="仿宋_GB2312" w:hAnsi="仿宋_GB2312" w:cs="仿宋_GB2312" w:eastAsia="仿宋_GB2312"/>
                <w:sz w:val="21"/>
              </w:rPr>
              <w:t>200条/秒，平均发送速率不低于100条/秒，保证紧急预警信息能够快速发出。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2）系统容量要求</w:t>
            </w:r>
          </w:p>
          <w:p>
            <w:pPr>
              <w:pStyle w:val="null3"/>
              <w:ind w:firstLine="420"/>
              <w:jc w:val="both"/>
            </w:pPr>
            <w:r>
              <w:rPr>
                <w:rFonts w:ascii="仿宋_GB2312" w:hAnsi="仿宋_GB2312" w:cs="仿宋_GB2312" w:eastAsia="仿宋_GB2312"/>
                <w:sz w:val="21"/>
              </w:rPr>
              <w:t>需支持至少</w:t>
            </w:r>
            <w:r>
              <w:rPr>
                <w:rFonts w:ascii="仿宋_GB2312" w:hAnsi="仿宋_GB2312" w:cs="仿宋_GB2312" w:eastAsia="仿宋_GB2312"/>
                <w:sz w:val="21"/>
              </w:rPr>
              <w:t>100万条/日的发送能力，且在汛期等特殊时期可临时扩容至200万条/日，满足极端天气情况下大量发送需求。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3）响应时间要求</w:t>
            </w:r>
          </w:p>
          <w:p>
            <w:pPr>
              <w:pStyle w:val="null3"/>
              <w:ind w:firstLine="420"/>
              <w:jc w:val="both"/>
            </w:pPr>
            <w:r>
              <w:rPr>
                <w:rFonts w:ascii="仿宋_GB2312" w:hAnsi="仿宋_GB2312" w:cs="仿宋_GB2312" w:eastAsia="仿宋_GB2312"/>
                <w:sz w:val="21"/>
              </w:rPr>
              <w:t>发送响应时间不超过</w:t>
            </w:r>
            <w:r>
              <w:rPr>
                <w:rFonts w:ascii="仿宋_GB2312" w:hAnsi="仿宋_GB2312" w:cs="仿宋_GB2312" w:eastAsia="仿宋_GB2312"/>
                <w:sz w:val="21"/>
              </w:rPr>
              <w:t>3秒，大部分短信应在10秒内触达用户手机，紧急信息发送延迟不超过5秒。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4）稳定可靠性</w:t>
            </w:r>
          </w:p>
          <w:p>
            <w:pPr>
              <w:pStyle w:val="null3"/>
              <w:ind w:firstLine="420"/>
              <w:jc w:val="both"/>
            </w:pPr>
            <w:r>
              <w:rPr>
                <w:rFonts w:ascii="仿宋_GB2312" w:hAnsi="仿宋_GB2312" w:cs="仿宋_GB2312" w:eastAsia="仿宋_GB2312"/>
                <w:sz w:val="21"/>
              </w:rPr>
              <w:t>必须确保</w:t>
            </w:r>
            <w:r>
              <w:rPr>
                <w:rFonts w:ascii="仿宋_GB2312" w:hAnsi="仿宋_GB2312" w:cs="仿宋_GB2312" w:eastAsia="仿宋_GB2312"/>
                <w:sz w:val="21"/>
              </w:rPr>
              <w:t>7×24小时不间断稳定运行：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5）自动重发机制</w:t>
            </w:r>
          </w:p>
          <w:p>
            <w:pPr>
              <w:pStyle w:val="null3"/>
              <w:ind w:firstLine="420"/>
              <w:jc w:val="both"/>
            </w:pPr>
            <w:r>
              <w:rPr>
                <w:rFonts w:ascii="仿宋_GB2312" w:hAnsi="仿宋_GB2312" w:cs="仿宋_GB2312" w:eastAsia="仿宋_GB2312"/>
                <w:sz w:val="21"/>
              </w:rPr>
              <w:t>短信在没有正常发送的情况下，应有重发机制，发送失败的应有日志记录。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6）数据传输加密</w:t>
            </w:r>
          </w:p>
          <w:p>
            <w:pPr>
              <w:pStyle w:val="null3"/>
              <w:ind w:firstLine="420"/>
              <w:jc w:val="both"/>
            </w:pPr>
            <w:r>
              <w:rPr>
                <w:rFonts w:ascii="仿宋_GB2312" w:hAnsi="仿宋_GB2312" w:cs="仿宋_GB2312" w:eastAsia="仿宋_GB2312"/>
                <w:sz w:val="21"/>
              </w:rPr>
              <w:t>1）加密要求</w:t>
            </w:r>
          </w:p>
          <w:p>
            <w:pPr>
              <w:pStyle w:val="null3"/>
              <w:ind w:firstLine="420"/>
              <w:jc w:val="both"/>
            </w:pPr>
            <w:r>
              <w:rPr>
                <w:rFonts w:ascii="仿宋_GB2312" w:hAnsi="仿宋_GB2312" w:cs="仿宋_GB2312" w:eastAsia="仿宋_GB2312"/>
                <w:sz w:val="21"/>
              </w:rPr>
              <w:t>所有数据传输加密需兼顾安全性、合规性、性能与可维护性，具体要求如下：</w:t>
            </w:r>
          </w:p>
          <w:p>
            <w:pPr>
              <w:pStyle w:val="null3"/>
              <w:ind w:firstLine="420"/>
              <w:jc w:val="both"/>
            </w:pPr>
            <w:r>
              <w:rPr>
                <w:rFonts w:ascii="仿宋_GB2312" w:hAnsi="仿宋_GB2312" w:cs="仿宋_GB2312" w:eastAsia="仿宋_GB2312"/>
                <w:sz w:val="21"/>
              </w:rPr>
              <w:t>保护用户隐私：防止手机号、短信内容等敏感数据泄露。</w:t>
            </w:r>
          </w:p>
          <w:p>
            <w:pPr>
              <w:pStyle w:val="null3"/>
              <w:ind w:firstLine="420"/>
              <w:jc w:val="both"/>
            </w:pPr>
            <w:r>
              <w:rPr>
                <w:rFonts w:ascii="仿宋_GB2312" w:hAnsi="仿宋_GB2312" w:cs="仿宋_GB2312" w:eastAsia="仿宋_GB2312"/>
                <w:sz w:val="21"/>
              </w:rPr>
              <w:t>满足合规要求：符合《个人信息保护法》《网络安全法》《数据安全法》及</w:t>
            </w:r>
            <w:r>
              <w:rPr>
                <w:rFonts w:ascii="仿宋_GB2312" w:hAnsi="仿宋_GB2312" w:cs="仿宋_GB2312" w:eastAsia="仿宋_GB2312"/>
                <w:sz w:val="21"/>
              </w:rPr>
              <w:t>GDPR（如适用）等法规。</w:t>
            </w:r>
          </w:p>
          <w:p>
            <w:pPr>
              <w:pStyle w:val="null3"/>
              <w:ind w:firstLine="420"/>
              <w:jc w:val="both"/>
            </w:pPr>
            <w:r>
              <w:rPr>
                <w:rFonts w:ascii="仿宋_GB2312" w:hAnsi="仿宋_GB2312" w:cs="仿宋_GB2312" w:eastAsia="仿宋_GB2312"/>
                <w:sz w:val="21"/>
              </w:rPr>
              <w:t>端到端安全：从短信自动输入到服务端存储、传输全过程加密。</w:t>
            </w:r>
          </w:p>
          <w:p>
            <w:pPr>
              <w:pStyle w:val="null3"/>
              <w:ind w:firstLine="420"/>
              <w:jc w:val="both"/>
            </w:pPr>
            <w:r>
              <w:rPr>
                <w:rFonts w:ascii="仿宋_GB2312" w:hAnsi="仿宋_GB2312" w:cs="仿宋_GB2312" w:eastAsia="仿宋_GB2312"/>
                <w:sz w:val="21"/>
              </w:rPr>
              <w:t>密钥安全管理：采用安全的密钥生成、存储、轮换机制。</w:t>
            </w:r>
          </w:p>
          <w:p>
            <w:pPr>
              <w:pStyle w:val="null3"/>
              <w:ind w:firstLine="420"/>
              <w:jc w:val="both"/>
            </w:pPr>
            <w:r>
              <w:rPr>
                <w:rFonts w:ascii="仿宋_GB2312" w:hAnsi="仿宋_GB2312" w:cs="仿宋_GB2312" w:eastAsia="仿宋_GB2312"/>
                <w:sz w:val="21"/>
              </w:rPr>
              <w:t>不影响平台性能：加密</w:t>
            </w:r>
            <w:r>
              <w:rPr>
                <w:rFonts w:ascii="仿宋_GB2312" w:hAnsi="仿宋_GB2312" w:cs="仿宋_GB2312" w:eastAsia="仿宋_GB2312"/>
                <w:sz w:val="21"/>
              </w:rPr>
              <w:t>/解密操作高效，对高并发短信发送无显著延迟。</w:t>
            </w:r>
          </w:p>
          <w:p>
            <w:pPr>
              <w:pStyle w:val="null3"/>
              <w:ind w:firstLine="420"/>
              <w:jc w:val="both"/>
            </w:pPr>
            <w:r>
              <w:rPr>
                <w:rFonts w:ascii="仿宋_GB2312" w:hAnsi="仿宋_GB2312" w:cs="仿宋_GB2312" w:eastAsia="仿宋_GB2312"/>
                <w:sz w:val="21"/>
              </w:rPr>
              <w:t>2）加密范围</w:t>
            </w:r>
          </w:p>
          <w:tbl>
            <w:tblPr>
              <w:tblBorders>
                <w:top w:val="none" w:color="000000" w:sz="4"/>
                <w:left w:val="none" w:color="000000" w:sz="4"/>
                <w:bottom w:val="none" w:color="000000" w:sz="4"/>
                <w:right w:val="none" w:color="000000" w:sz="4"/>
                <w:insideH w:val="none"/>
                <w:insideV w:val="none"/>
              </w:tblBorders>
            </w:tblPr>
            <w:tblGrid>
              <w:gridCol w:w="610"/>
              <w:gridCol w:w="569"/>
              <w:gridCol w:w="136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数据类型</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是否加密</w:t>
                  </w:r>
                </w:p>
              </w:tc>
              <w:tc>
                <w:tcPr>
                  <w:tcW w:type="dxa" w:w="1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加密方式说明</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用户手机号</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国密</w:t>
                  </w:r>
                  <w:r>
                    <w:rPr>
                      <w:rFonts w:ascii="仿宋_GB2312" w:hAnsi="仿宋_GB2312" w:cs="仿宋_GB2312" w:eastAsia="仿宋_GB2312"/>
                      <w:sz w:val="21"/>
                    </w:rPr>
                    <w:t>SM2/SM4算法或国际通用AES256加密标准</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短信内容</w:t>
                  </w:r>
                </w:p>
                <w:p>
                  <w:pPr>
                    <w:pStyle w:val="null3"/>
                    <w:jc w:val="center"/>
                  </w:pPr>
                  <w:r>
                    <w:rPr>
                      <w:rFonts w:ascii="仿宋_GB2312" w:hAnsi="仿宋_GB2312" w:cs="仿宋_GB2312" w:eastAsia="仿宋_GB2312"/>
                      <w:sz w:val="21"/>
                    </w:rPr>
                    <w:t>（含模板变量）</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字段级加密（同上）</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API 请求/响应体</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SSL/TLS</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日志中的敏感信息</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r>
                    <w:rPr>
                      <w:rFonts w:ascii="仿宋_GB2312" w:hAnsi="仿宋_GB2312" w:cs="仿宋_GB2312" w:eastAsia="仿宋_GB2312"/>
                      <w:sz w:val="21"/>
                    </w:rPr>
                    <w:t>/脱敏</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不记录明文手机号</w:t>
                  </w:r>
                  <w:r>
                    <w:rPr>
                      <w:rFonts w:ascii="仿宋_GB2312" w:hAnsi="仿宋_GB2312" w:cs="仿宋_GB2312" w:eastAsia="仿宋_GB2312"/>
                      <w:sz w:val="21"/>
                    </w:rPr>
                    <w:t>/内容，或使用掩码</w:t>
                  </w:r>
                </w:p>
                <w:p>
                  <w:pPr>
                    <w:pStyle w:val="null3"/>
                    <w:jc w:val="center"/>
                  </w:pPr>
                  <w:r>
                    <w:rPr>
                      <w:rFonts w:ascii="仿宋_GB2312" w:hAnsi="仿宋_GB2312" w:cs="仿宋_GB2312" w:eastAsia="仿宋_GB2312"/>
                      <w:sz w:val="21"/>
                    </w:rPr>
                    <w:t>（如</w:t>
                  </w:r>
                  <w:r>
                    <w:rPr>
                      <w:rFonts w:ascii="仿宋_GB2312" w:hAnsi="仿宋_GB2312" w:cs="仿宋_GB2312" w:eastAsia="仿宋_GB2312"/>
                      <w:sz w:val="21"/>
                    </w:rPr>
                    <w:t>1381234）</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数据库存储</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应用层加密（非透明数据加密</w:t>
                  </w:r>
                  <w:r>
                    <w:rPr>
                      <w:rFonts w:ascii="仿宋_GB2312" w:hAnsi="仿宋_GB2312" w:cs="仿宋_GB2312" w:eastAsia="仿宋_GB2312"/>
                      <w:sz w:val="21"/>
                    </w:rPr>
                    <w:t>TDE）</w:t>
                  </w:r>
                </w:p>
              </w:tc>
            </w:tr>
          </w:tbl>
          <w:p>
            <w:pPr>
              <w:pStyle w:val="null3"/>
              <w:ind w:firstLine="420"/>
              <w:jc w:val="both"/>
            </w:pPr>
            <w:r>
              <w:rPr>
                <w:rFonts w:ascii="仿宋_GB2312" w:hAnsi="仿宋_GB2312" w:cs="仿宋_GB2312" w:eastAsia="仿宋_GB2312"/>
                <w:sz w:val="21"/>
              </w:rPr>
              <w:t>3）加密技术</w:t>
            </w:r>
          </w:p>
          <w:p>
            <w:pPr>
              <w:pStyle w:val="null3"/>
              <w:ind w:firstLine="420"/>
              <w:jc w:val="both"/>
            </w:pPr>
            <w:r>
              <w:rPr>
                <w:rFonts w:ascii="仿宋_GB2312" w:hAnsi="仿宋_GB2312" w:cs="仿宋_GB2312" w:eastAsia="仿宋_GB2312"/>
                <w:sz w:val="21"/>
              </w:rPr>
              <w:t>可采用国密</w:t>
            </w:r>
            <w:r>
              <w:rPr>
                <w:rFonts w:ascii="仿宋_GB2312" w:hAnsi="仿宋_GB2312" w:cs="仿宋_GB2312" w:eastAsia="仿宋_GB2312"/>
                <w:sz w:val="21"/>
              </w:rPr>
              <w:t>SM2/SM4算法或国际通用AES256加密标准、对称加密算法，所有 API 接口强制使用HTTPS，户端 SDK 与服务端通信启用证书绑定，防中间人攻击，以确保传输安全。</w:t>
            </w:r>
          </w:p>
          <w:p>
            <w:pPr>
              <w:pStyle w:val="null3"/>
              <w:ind w:firstLine="420"/>
              <w:jc w:val="both"/>
            </w:pPr>
            <w:r>
              <w:rPr>
                <w:rFonts w:ascii="仿宋_GB2312" w:hAnsi="仿宋_GB2312" w:cs="仿宋_GB2312" w:eastAsia="仿宋_GB2312"/>
                <w:sz w:val="21"/>
              </w:rPr>
              <w:t>4）日志与监控</w:t>
            </w:r>
          </w:p>
          <w:p>
            <w:pPr>
              <w:pStyle w:val="null3"/>
              <w:ind w:firstLine="420"/>
              <w:jc w:val="both"/>
            </w:pPr>
            <w:r>
              <w:rPr>
                <w:rFonts w:ascii="仿宋_GB2312" w:hAnsi="仿宋_GB2312" w:cs="仿宋_GB2312" w:eastAsia="仿宋_GB2312"/>
                <w:sz w:val="21"/>
              </w:rPr>
              <w:t>禁止在应用日志、错误堆栈、监控指标中记录手机号或短信内容明文。</w:t>
            </w:r>
          </w:p>
          <w:p>
            <w:pPr>
              <w:pStyle w:val="null3"/>
              <w:ind w:firstLine="420"/>
              <w:jc w:val="both"/>
            </w:pPr>
            <w:r>
              <w:rPr>
                <w:rFonts w:ascii="仿宋_GB2312" w:hAnsi="仿宋_GB2312" w:cs="仿宋_GB2312" w:eastAsia="仿宋_GB2312"/>
                <w:sz w:val="21"/>
              </w:rPr>
              <w:t>使用结构化日志，敏感字段统一标记，日志收集管道自动脱敏。</w:t>
            </w:r>
          </w:p>
          <w:p>
            <w:pPr>
              <w:pStyle w:val="null3"/>
              <w:ind w:firstLine="420"/>
              <w:jc w:val="both"/>
            </w:pPr>
            <w:r>
              <w:rPr>
                <w:rFonts w:ascii="仿宋_GB2312" w:hAnsi="仿宋_GB2312" w:cs="仿宋_GB2312" w:eastAsia="仿宋_GB2312"/>
                <w:sz w:val="21"/>
              </w:rPr>
              <w:t>建议部署</w:t>
            </w:r>
            <w:r>
              <w:rPr>
                <w:rFonts w:ascii="仿宋_GB2312" w:hAnsi="仿宋_GB2312" w:cs="仿宋_GB2312" w:eastAsia="仿宋_GB2312"/>
                <w:sz w:val="21"/>
              </w:rPr>
              <w:t>DLP（数据防泄漏）系统监控异常数据访问。</w:t>
            </w:r>
          </w:p>
          <w:p>
            <w:pPr>
              <w:pStyle w:val="null3"/>
              <w:ind w:firstLine="420"/>
              <w:jc w:val="both"/>
            </w:pPr>
            <w:r>
              <w:rPr>
                <w:rFonts w:ascii="仿宋_GB2312" w:hAnsi="仿宋_GB2312" w:cs="仿宋_GB2312" w:eastAsia="仿宋_GB2312"/>
                <w:sz w:val="21"/>
              </w:rPr>
              <w:t>5）合规性检验</w:t>
            </w:r>
          </w:p>
          <w:p>
            <w:pPr>
              <w:pStyle w:val="null3"/>
              <w:ind w:firstLine="420"/>
              <w:jc w:val="both"/>
            </w:pPr>
            <w:r>
              <w:rPr>
                <w:rFonts w:ascii="仿宋_GB2312" w:hAnsi="仿宋_GB2312" w:cs="仿宋_GB2312" w:eastAsia="仿宋_GB2312"/>
                <w:sz w:val="21"/>
              </w:rPr>
              <w:t>应定期进行渗透测试与代码安全审计，检验数据加密传输的可靠性和合规性。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7）数据存储安全</w:t>
            </w:r>
          </w:p>
          <w:p>
            <w:pPr>
              <w:pStyle w:val="null3"/>
              <w:ind w:firstLine="420"/>
              <w:jc w:val="both"/>
            </w:pPr>
            <w:r>
              <w:rPr>
                <w:rFonts w:ascii="仿宋_GB2312" w:hAnsi="仿宋_GB2312" w:cs="仿宋_GB2312" w:eastAsia="仿宋_GB2312"/>
                <w:sz w:val="21"/>
              </w:rPr>
              <w:t>敏感数据（如用户手机号码、发送内容）必须进行加密存储，即使数据库被非法访问，也无法直接获取明文信息。</w:t>
            </w:r>
          </w:p>
          <w:p>
            <w:pPr>
              <w:pStyle w:val="null3"/>
              <w:jc w:val="center"/>
              <w:outlineLvl w:val="2"/>
            </w:pPr>
            <w:r>
              <w:rPr>
                <w:rFonts w:ascii="仿宋_GB2312" w:hAnsi="仿宋_GB2312" w:cs="仿宋_GB2312" w:eastAsia="仿宋_GB2312"/>
                <w:sz w:val="21"/>
                <w:b/>
              </w:rPr>
              <w:t>4.3安全体系建设</w:t>
            </w:r>
          </w:p>
          <w:p>
            <w:pPr>
              <w:pStyle w:val="null3"/>
              <w:ind w:firstLine="420"/>
              <w:jc w:val="both"/>
            </w:pPr>
            <w:r>
              <w:rPr>
                <w:rFonts w:ascii="仿宋_GB2312" w:hAnsi="仿宋_GB2312" w:cs="仿宋_GB2312" w:eastAsia="仿宋_GB2312"/>
                <w:sz w:val="21"/>
              </w:rPr>
              <w:t>2026年对省级监测预警平台开展信息安全等级测评。</w:t>
            </w:r>
          </w:p>
          <w:p>
            <w:pPr>
              <w:pStyle w:val="null3"/>
            </w:pPr>
            <w:r>
              <w:rPr>
                <w:rFonts w:ascii="仿宋_GB2312" w:hAnsi="仿宋_GB2312" w:cs="仿宋_GB2312" w:eastAsia="仿宋_GB2312"/>
                <w:sz w:val="21"/>
              </w:rPr>
              <w:t>由于本年度对省级平台开展了功能扩充建设，本年度将对该系统开展三级等保测评工作。</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标的名称：2026年危险区基础信息更新及危险区信息集成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一、</w:t>
            </w:r>
            <w:r>
              <w:rPr>
                <w:rFonts w:ascii="仿宋_GB2312" w:hAnsi="仿宋_GB2312" w:cs="仿宋_GB2312" w:eastAsia="仿宋_GB2312"/>
                <w:sz w:val="21"/>
                <w:b/>
              </w:rPr>
              <w:t>危险区基础信息更新</w:t>
            </w:r>
          </w:p>
          <w:p>
            <w:pPr>
              <w:pStyle w:val="null3"/>
              <w:ind w:firstLine="420"/>
              <w:jc w:val="both"/>
            </w:pPr>
            <w:r>
              <w:rPr>
                <w:rFonts w:ascii="仿宋_GB2312" w:hAnsi="仿宋_GB2312" w:cs="仿宋_GB2312" w:eastAsia="仿宋_GB2312"/>
                <w:sz w:val="21"/>
              </w:rPr>
              <w:t>在全省</w:t>
            </w:r>
            <w:r>
              <w:rPr>
                <w:rFonts w:ascii="仿宋_GB2312" w:hAnsi="仿宋_GB2312" w:cs="仿宋_GB2312" w:eastAsia="仿宋_GB2312"/>
                <w:sz w:val="21"/>
              </w:rPr>
              <w:t>10267个危险区内，内外业结合，进一步更新防御对象，如城集镇、村落、景区、企业单位、事业单位、厂矿以及其他类型等，更新内容包括防御对象名录、居民户、人口及宅基地高程等。</w:t>
            </w:r>
          </w:p>
          <w:p>
            <w:pPr>
              <w:pStyle w:val="null3"/>
              <w:ind w:firstLine="420"/>
              <w:jc w:val="both"/>
            </w:pPr>
            <w:r>
              <w:rPr>
                <w:rFonts w:ascii="仿宋_GB2312" w:hAnsi="仿宋_GB2312" w:cs="仿宋_GB2312" w:eastAsia="仿宋_GB2312"/>
                <w:sz w:val="21"/>
              </w:rPr>
              <w:t>1、防治村名录核对</w:t>
            </w:r>
          </w:p>
          <w:p>
            <w:pPr>
              <w:pStyle w:val="null3"/>
              <w:ind w:firstLine="420"/>
              <w:jc w:val="both"/>
            </w:pPr>
            <w:r>
              <w:rPr>
                <w:rFonts w:ascii="仿宋_GB2312" w:hAnsi="仿宋_GB2312" w:cs="仿宋_GB2312" w:eastAsia="仿宋_GB2312"/>
                <w:sz w:val="21"/>
              </w:rPr>
              <w:t>针对现有防御对象及基本信息，与当地相关责任人核对已有防治村名录，重点是区分行政村（</w:t>
            </w:r>
            <w:r>
              <w:rPr>
                <w:rFonts w:ascii="仿宋_GB2312" w:hAnsi="仿宋_GB2312" w:cs="仿宋_GB2312" w:eastAsia="仿宋_GB2312"/>
                <w:sz w:val="21"/>
              </w:rPr>
              <w:t>A型村）及自然村（B型村），以及其行政隶属对应关系，补充和修订人口、户数等关键信息。</w:t>
            </w:r>
          </w:p>
          <w:p>
            <w:pPr>
              <w:pStyle w:val="null3"/>
              <w:ind w:firstLine="420"/>
              <w:jc w:val="both"/>
            </w:pPr>
            <w:r>
              <w:rPr>
                <w:rFonts w:ascii="仿宋_GB2312" w:hAnsi="仿宋_GB2312" w:cs="仿宋_GB2312" w:eastAsia="仿宋_GB2312"/>
                <w:sz w:val="21"/>
              </w:rPr>
              <w:t>2、其他防御对象核对</w:t>
            </w:r>
          </w:p>
          <w:p>
            <w:pPr>
              <w:pStyle w:val="null3"/>
              <w:ind w:firstLine="420"/>
              <w:jc w:val="both"/>
            </w:pPr>
            <w:r>
              <w:rPr>
                <w:rFonts w:ascii="仿宋_GB2312" w:hAnsi="仿宋_GB2312" w:cs="仿宋_GB2312" w:eastAsia="仿宋_GB2312"/>
                <w:sz w:val="21"/>
              </w:rPr>
              <w:t>以现有防御对象基本信息为基础，与当地相关责任人核对受山洪灾害威胁的城镇、集镇、村落、景区、事业、企业、厂矿以及其他对象的信息，并根据核对情况，补充和修订相应成果。</w:t>
            </w:r>
          </w:p>
          <w:p>
            <w:pPr>
              <w:pStyle w:val="null3"/>
              <w:ind w:firstLine="420"/>
              <w:jc w:val="both"/>
            </w:pPr>
            <w:r>
              <w:rPr>
                <w:rFonts w:ascii="仿宋_GB2312" w:hAnsi="仿宋_GB2312" w:cs="仿宋_GB2312" w:eastAsia="仿宋_GB2312"/>
                <w:sz w:val="21"/>
              </w:rPr>
              <w:t>3、危险区名录复核与更新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1）危险区清单编制与自检。基于已有山洪灾害调查评价成果中已有危险区信息，以已划定的小流域治理单元为单位，编制流域单元的危险区初步清单，</w:t>
            </w:r>
            <w:r>
              <w:rPr>
                <w:rFonts w:ascii="仿宋_GB2312" w:hAnsi="仿宋_GB2312" w:cs="仿宋_GB2312" w:eastAsia="仿宋_GB2312"/>
                <w:sz w:val="21"/>
              </w:rPr>
              <w:t>，</w:t>
            </w:r>
            <w:r>
              <w:rPr>
                <w:rFonts w:ascii="仿宋_GB2312" w:hAnsi="仿宋_GB2312" w:cs="仿宋_GB2312" w:eastAsia="仿宋_GB2312"/>
                <w:sz w:val="21"/>
              </w:rPr>
              <w:t>并检查居民户数、人口数、房屋数、转移路线、临时安置点</w:t>
            </w:r>
            <w:r>
              <w:rPr>
                <w:rFonts w:ascii="仿宋_GB2312" w:hAnsi="仿宋_GB2312" w:cs="仿宋_GB2312" w:eastAsia="仿宋_GB2312"/>
                <w:sz w:val="21"/>
              </w:rPr>
              <w:t>等数据</w:t>
            </w:r>
            <w:r>
              <w:rPr>
                <w:rFonts w:ascii="仿宋_GB2312" w:hAnsi="仿宋_GB2312" w:cs="仿宋_GB2312" w:eastAsia="仿宋_GB2312"/>
                <w:sz w:val="21"/>
              </w:rPr>
              <w:t>。</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2）与当地相关责任人核对及修正危险区信息。内容包括：1）细化城镇、集镇、村落与企事业单位等具体防御对象中受山洪灾害威胁区域；2）将危险区片核实和划分为与责任人对应的危险区；3）核对并修正居民户、人口数量等信息；4）核对和修正转移路线和临时安置点；5）确认控制断面的最佳位置。</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3）危险区基础数据更新。在核对及修正的基础上，对危险区数据进行更新，具体包括：1）按照居民户尽量集中成片的原则，勾给危险区图斑，如有必要，修正转移路线和临时安置点数据；2）针对危险区风险调查与评估需求，对需要补充开展测绘的地点进一步优化。</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4）危险区数据后续补充完善。通过后续山洪灾害风险调查与评估、危险区重点隐患排查与评估，进一步补充完善危险区基础数据，如不同时段典型频率设计雨量、设计洪水洪峰、淹没范围、可能的风险隐患及其影响等。</w:t>
            </w:r>
          </w:p>
          <w:p>
            <w:pPr>
              <w:pStyle w:val="null3"/>
              <w:jc w:val="both"/>
              <w:outlineLvl w:val="2"/>
            </w:pPr>
            <w:r>
              <w:rPr>
                <w:rFonts w:ascii="仿宋_GB2312" w:hAnsi="仿宋_GB2312" w:cs="仿宋_GB2312" w:eastAsia="仿宋_GB2312"/>
                <w:sz w:val="21"/>
                <w:b/>
              </w:rPr>
              <w:t>4、成果要求</w:t>
            </w:r>
          </w:p>
          <w:p>
            <w:pPr>
              <w:pStyle w:val="null3"/>
              <w:jc w:val="both"/>
              <w:outlineLvl w:val="2"/>
            </w:pPr>
            <w:r>
              <w:rPr>
                <w:rFonts w:ascii="仿宋_GB2312" w:hAnsi="仿宋_GB2312" w:cs="仿宋_GB2312" w:eastAsia="仿宋_GB2312"/>
                <w:sz w:val="21"/>
                <w:b/>
              </w:rPr>
              <w:t>填写《山洪灾害风险调查与重点隐患排查技术要求（初稿）》表格相关内容：</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1）填写“附表A-2 山洪灾害防治村名录”的相关内容；</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2）填写“附表A-3 山洪灾害防御对象名录”的相关内容；</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3）填写“附表B-1 危险区基本信息表”中的相关内容；</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4）形成更新后的防治村、其他防御对象以及危险区等山洪灾害防御基础地理数据；</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5）对需要补充开展测绘、危险区确认等工作的防御对象进行备注，增强后续工作的针对性；</w:t>
            </w:r>
          </w:p>
          <w:p>
            <w:pPr>
              <w:pStyle w:val="null3"/>
              <w:jc w:val="both"/>
              <w:outlineLvl w:val="2"/>
            </w:pPr>
            <w:r>
              <w:rPr>
                <w:rFonts w:ascii="仿宋_GB2312" w:hAnsi="仿宋_GB2312" w:cs="仿宋_GB2312" w:eastAsia="仿宋_GB2312"/>
                <w:sz w:val="21"/>
                <w:b/>
              </w:rPr>
              <w:t>（</w:t>
            </w:r>
            <w:r>
              <w:rPr>
                <w:rFonts w:ascii="仿宋_GB2312" w:hAnsi="仿宋_GB2312" w:cs="仿宋_GB2312" w:eastAsia="仿宋_GB2312"/>
                <w:sz w:val="21"/>
                <w:b/>
              </w:rPr>
              <w:t>6）更新对接信息，形成“对接工作成果图”。</w:t>
            </w:r>
          </w:p>
          <w:p>
            <w:pPr>
              <w:pStyle w:val="null3"/>
              <w:jc w:val="both"/>
              <w:outlineLvl w:val="2"/>
            </w:pPr>
            <w:r>
              <w:rPr>
                <w:rFonts w:ascii="仿宋_GB2312" w:hAnsi="仿宋_GB2312" w:cs="仿宋_GB2312" w:eastAsia="仿宋_GB2312"/>
                <w:sz w:val="21"/>
                <w:b/>
              </w:rPr>
              <w:t>二、</w:t>
            </w:r>
            <w:r>
              <w:rPr>
                <w:rFonts w:ascii="仿宋_GB2312" w:hAnsi="仿宋_GB2312" w:cs="仿宋_GB2312" w:eastAsia="仿宋_GB2312"/>
                <w:sz w:val="21"/>
                <w:b/>
              </w:rPr>
              <w:t>危险区信息集成</w:t>
            </w:r>
          </w:p>
          <w:p>
            <w:pPr>
              <w:pStyle w:val="null3"/>
              <w:ind w:firstLine="420"/>
              <w:jc w:val="both"/>
            </w:pPr>
            <w:r>
              <w:rPr>
                <w:rFonts w:ascii="仿宋_GB2312" w:hAnsi="仿宋_GB2312" w:cs="仿宋_GB2312" w:eastAsia="仿宋_GB2312"/>
                <w:sz w:val="21"/>
              </w:rPr>
              <w:t>在</w:t>
            </w:r>
            <w:r>
              <w:rPr>
                <w:rFonts w:ascii="仿宋_GB2312" w:hAnsi="仿宋_GB2312" w:cs="仿宋_GB2312" w:eastAsia="仿宋_GB2312"/>
                <w:sz w:val="21"/>
              </w:rPr>
              <w:t>2024-2026年开展小流域治理的303个小流域内开展危险区信息集成工作。</w:t>
            </w:r>
          </w:p>
          <w:p>
            <w:pPr>
              <w:pStyle w:val="null3"/>
              <w:ind w:firstLine="420"/>
              <w:jc w:val="both"/>
            </w:pPr>
            <w:r>
              <w:rPr>
                <w:rFonts w:ascii="仿宋_GB2312" w:hAnsi="仿宋_GB2312" w:cs="仿宋_GB2312" w:eastAsia="仿宋_GB2312"/>
                <w:sz w:val="21"/>
              </w:rPr>
              <w:t>1、危险区清单编制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1）山洪防御基础地理数据整理</w:t>
            </w:r>
          </w:p>
          <w:p>
            <w:pPr>
              <w:pStyle w:val="null3"/>
              <w:ind w:firstLine="420"/>
              <w:jc w:val="both"/>
            </w:pPr>
            <w:r>
              <w:rPr>
                <w:rFonts w:ascii="仿宋_GB2312" w:hAnsi="仿宋_GB2312" w:cs="仿宋_GB2312" w:eastAsia="仿宋_GB2312"/>
                <w:sz w:val="21"/>
              </w:rPr>
              <w:t>1）对比分析防御对象初核、危险区调查以及风险隐患排查成果，对危险区空间数据及属性信息进行整理。</w:t>
            </w:r>
          </w:p>
          <w:p>
            <w:pPr>
              <w:pStyle w:val="null3"/>
              <w:ind w:firstLine="420"/>
              <w:jc w:val="both"/>
            </w:pPr>
            <w:r>
              <w:rPr>
                <w:rFonts w:ascii="仿宋_GB2312" w:hAnsi="仿宋_GB2312" w:cs="仿宋_GB2312" w:eastAsia="仿宋_GB2312"/>
                <w:sz w:val="21"/>
              </w:rPr>
              <w:t>2）危险区及其相关空间数据，包括危险区分布数据、预警关联测站、转移路线、临时安置点、典型频率洪水淹没范围、风险隐患等信息的数据。</w:t>
            </w:r>
          </w:p>
          <w:p>
            <w:pPr>
              <w:pStyle w:val="null3"/>
              <w:ind w:firstLine="420"/>
              <w:jc w:val="both"/>
            </w:pPr>
            <w:r>
              <w:rPr>
                <w:rFonts w:ascii="仿宋_GB2312" w:hAnsi="仿宋_GB2312" w:cs="仿宋_GB2312" w:eastAsia="仿宋_GB2312"/>
                <w:sz w:val="21"/>
              </w:rPr>
              <w:t>3）检查各类空间数据坐标系与投影系是否符合要求，属性字段是完整，是否做到了应填尽填，内容是否合乎逻辑。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2）危险区基本信息表编制</w:t>
            </w:r>
          </w:p>
          <w:p>
            <w:pPr>
              <w:pStyle w:val="null3"/>
              <w:ind w:firstLine="420"/>
              <w:jc w:val="both"/>
            </w:pPr>
            <w:r>
              <w:rPr>
                <w:rFonts w:ascii="仿宋_GB2312" w:hAnsi="仿宋_GB2312" w:cs="仿宋_GB2312" w:eastAsia="仿宋_GB2312"/>
                <w:sz w:val="21"/>
              </w:rPr>
              <w:t>结合危险区空间数据及属性信息整理成果，检查完善</w:t>
            </w:r>
            <w:r>
              <w:rPr>
                <w:rFonts w:ascii="仿宋_GB2312" w:hAnsi="仿宋_GB2312" w:cs="仿宋_GB2312" w:eastAsia="仿宋_GB2312"/>
                <w:sz w:val="21"/>
              </w:rPr>
              <w:t>B表所有内容，即危险区基本信息表、入户详查信息、关联站点与预警指标、风险隐患及防范措施。</w:t>
            </w:r>
          </w:p>
          <w:p>
            <w:pPr>
              <w:pStyle w:val="null3"/>
              <w:ind w:firstLine="420"/>
              <w:jc w:val="both"/>
            </w:pPr>
            <w:r>
              <w:rPr>
                <w:rFonts w:ascii="仿宋_GB2312" w:hAnsi="仿宋_GB2312" w:cs="仿宋_GB2312" w:eastAsia="仿宋_GB2312"/>
                <w:sz w:val="21"/>
              </w:rPr>
              <w:t>2、危险区防御图绘制</w:t>
            </w:r>
          </w:p>
          <w:p>
            <w:pPr>
              <w:pStyle w:val="null3"/>
              <w:ind w:firstLine="420"/>
              <w:jc w:val="both"/>
            </w:pPr>
            <w:r>
              <w:rPr>
                <w:rFonts w:ascii="仿宋_GB2312" w:hAnsi="仿宋_GB2312" w:cs="仿宋_GB2312" w:eastAsia="仿宋_GB2312"/>
                <w:sz w:val="21"/>
              </w:rPr>
              <w:t>山洪灾害防御图是基层组织及群众掌握当地山洪危险来源、预判山洪风险、明晰转移避险路线的基础性图件。绘制危险区防御图时，可参考国家山洪灾害小流域划分成果，采用地理信息技术，以危险区为单位进行绘制，主图以危险区为主体，以鹰眼图形式体现危险区在流域中的地理位置，提供影响该危险区的山洪来源、潜在隐患、主要防御措施等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1）基础信息</w:t>
            </w:r>
          </w:p>
          <w:p>
            <w:pPr>
              <w:pStyle w:val="null3"/>
              <w:ind w:firstLine="420"/>
              <w:jc w:val="both"/>
            </w:pPr>
            <w:r>
              <w:rPr>
                <w:rFonts w:ascii="仿宋_GB2312" w:hAnsi="仿宋_GB2312" w:cs="仿宋_GB2312" w:eastAsia="仿宋_GB2312"/>
                <w:sz w:val="21"/>
              </w:rPr>
              <w:t>1）危险区基本情况：遥感底图、行政区划、危险区范围、控制断面、河流流向以及危险区在流域中的空间位置等。</w:t>
            </w:r>
          </w:p>
          <w:p>
            <w:pPr>
              <w:pStyle w:val="null3"/>
              <w:ind w:firstLine="420"/>
              <w:jc w:val="both"/>
            </w:pPr>
            <w:r>
              <w:rPr>
                <w:rFonts w:ascii="仿宋_GB2312" w:hAnsi="仿宋_GB2312" w:cs="仿宋_GB2312" w:eastAsia="仿宋_GB2312"/>
                <w:sz w:val="21"/>
              </w:rPr>
              <w:t>2）危险区特殊对象：养老院、幼儿园、医院、学校、宾馆等企事业单位和老孕残幼等特殊人群。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2）主要信息</w:t>
            </w:r>
          </w:p>
          <w:p>
            <w:pPr>
              <w:pStyle w:val="null3"/>
              <w:ind w:firstLine="420"/>
              <w:jc w:val="both"/>
            </w:pPr>
            <w:r>
              <w:rPr>
                <w:rFonts w:ascii="仿宋_GB2312" w:hAnsi="仿宋_GB2312" w:cs="仿宋_GB2312" w:eastAsia="仿宋_GB2312"/>
                <w:sz w:val="21"/>
              </w:rPr>
              <w:t>1）山洪危险来源信息</w:t>
            </w:r>
          </w:p>
          <w:p>
            <w:pPr>
              <w:pStyle w:val="null3"/>
              <w:ind w:firstLine="420"/>
              <w:jc w:val="both"/>
            </w:pPr>
            <w:r>
              <w:rPr>
                <w:rFonts w:ascii="仿宋_GB2312" w:hAnsi="仿宋_GB2312" w:cs="仿宋_GB2312" w:eastAsia="仿宋_GB2312"/>
                <w:sz w:val="21"/>
              </w:rPr>
              <w:t>①暴雨洪水：典型频率设计暴雨、设计洪水，水位到达危险区标志性地点的洪水频率；同时标注相应频率1h、3h、6h和24h的设计雨量。</w:t>
            </w:r>
          </w:p>
          <w:p>
            <w:pPr>
              <w:pStyle w:val="null3"/>
              <w:ind w:firstLine="420"/>
              <w:jc w:val="both"/>
            </w:pPr>
            <w:r>
              <w:rPr>
                <w:rFonts w:ascii="仿宋_GB2312" w:hAnsi="仿宋_GB2312" w:cs="仿宋_GB2312" w:eastAsia="仿宋_GB2312"/>
                <w:sz w:val="21"/>
              </w:rPr>
              <w:t>②风险隐患：可能加大危险区山洪灾害影响范围或加重灾害程度的跨沟道路、桥涵等涉水构筑物、塘(堰)坝、临河滑坡体等风险隐患的位置。</w:t>
            </w:r>
          </w:p>
          <w:p>
            <w:pPr>
              <w:pStyle w:val="null3"/>
              <w:ind w:firstLine="420"/>
              <w:jc w:val="both"/>
            </w:pPr>
            <w:r>
              <w:rPr>
                <w:rFonts w:ascii="仿宋_GB2312" w:hAnsi="仿宋_GB2312" w:cs="仿宋_GB2312" w:eastAsia="仿宋_GB2312"/>
                <w:sz w:val="21"/>
              </w:rPr>
              <w:t>2）山洪危害范围信息</w:t>
            </w:r>
          </w:p>
          <w:p>
            <w:pPr>
              <w:pStyle w:val="null3"/>
              <w:ind w:firstLine="420"/>
              <w:jc w:val="both"/>
            </w:pPr>
            <w:r>
              <w:rPr>
                <w:rFonts w:ascii="仿宋_GB2312" w:hAnsi="仿宋_GB2312" w:cs="仿宋_GB2312" w:eastAsia="仿宋_GB2312"/>
                <w:sz w:val="21"/>
              </w:rPr>
              <w:t>隐患影响范围：考虑大洪水情景下，跨沟道路、桥涵等涉水构筑物、塘堰坝、临河滑坡体失事等极端情况下的淹没范围。</w:t>
            </w:r>
          </w:p>
          <w:p>
            <w:pPr>
              <w:pStyle w:val="null3"/>
              <w:ind w:firstLine="420"/>
              <w:jc w:val="both"/>
            </w:pPr>
            <w:r>
              <w:rPr>
                <w:rFonts w:ascii="仿宋_GB2312" w:hAnsi="仿宋_GB2312" w:cs="仿宋_GB2312" w:eastAsia="仿宋_GB2312"/>
                <w:sz w:val="21"/>
              </w:rPr>
              <w:t>3）山洪灾害防御设施信息</w:t>
            </w:r>
          </w:p>
          <w:p>
            <w:pPr>
              <w:pStyle w:val="null3"/>
              <w:ind w:firstLine="420"/>
              <w:jc w:val="both"/>
            </w:pPr>
            <w:r>
              <w:rPr>
                <w:rFonts w:ascii="仿宋_GB2312" w:hAnsi="仿宋_GB2312" w:cs="仿宋_GB2312" w:eastAsia="仿宋_GB2312"/>
                <w:sz w:val="21"/>
              </w:rPr>
              <w:t>包括与危险区关联的各种监测预警设施（雨量站、水位站、预警广播、中心呼叫站等），标注监测设备的空间分布及其预警指标、预警方式等信息。</w:t>
            </w:r>
          </w:p>
          <w:p>
            <w:pPr>
              <w:pStyle w:val="null3"/>
              <w:ind w:firstLine="420"/>
              <w:jc w:val="both"/>
            </w:pPr>
            <w:r>
              <w:rPr>
                <w:rFonts w:ascii="仿宋_GB2312" w:hAnsi="仿宋_GB2312" w:cs="仿宋_GB2312" w:eastAsia="仿宋_GB2312"/>
                <w:sz w:val="21"/>
              </w:rPr>
              <w:t>4）山洪灾害转移避险信息</w:t>
            </w:r>
          </w:p>
          <w:p>
            <w:pPr>
              <w:pStyle w:val="null3"/>
              <w:ind w:firstLine="420"/>
              <w:jc w:val="both"/>
            </w:pPr>
            <w:r>
              <w:rPr>
                <w:rFonts w:ascii="仿宋_GB2312" w:hAnsi="仿宋_GB2312" w:cs="仿宋_GB2312" w:eastAsia="仿宋_GB2312"/>
                <w:sz w:val="21"/>
              </w:rPr>
              <w:t>含避险转移路线、临时安置点等，应标注转移路线长度、临时安置点名称与容纳人数等信息。</w:t>
            </w:r>
          </w:p>
          <w:p>
            <w:pPr>
              <w:pStyle w:val="null3"/>
              <w:ind w:firstLine="420"/>
              <w:jc w:val="both"/>
            </w:pPr>
            <w:r>
              <w:rPr>
                <w:rFonts w:ascii="仿宋_GB2312" w:hAnsi="仿宋_GB2312" w:cs="仿宋_GB2312" w:eastAsia="仿宋_GB2312"/>
                <w:sz w:val="21"/>
              </w:rPr>
              <w:t>5）防御组织管理信息</w:t>
            </w:r>
          </w:p>
          <w:p>
            <w:pPr>
              <w:pStyle w:val="null3"/>
              <w:ind w:firstLine="420"/>
              <w:jc w:val="both"/>
            </w:pPr>
            <w:r>
              <w:rPr>
                <w:rFonts w:ascii="仿宋_GB2312" w:hAnsi="仿宋_GB2312" w:cs="仿宋_GB2312" w:eastAsia="仿宋_GB2312"/>
                <w:sz w:val="21"/>
              </w:rPr>
              <w:t>含所在危险区内人员数、防御责任人及联系方式，险情上报单位与电话等联系方式。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3）辅助信息</w:t>
            </w:r>
          </w:p>
          <w:p>
            <w:pPr>
              <w:pStyle w:val="null3"/>
              <w:ind w:firstLine="420"/>
              <w:jc w:val="both"/>
            </w:pPr>
            <w:r>
              <w:rPr>
                <w:rFonts w:ascii="仿宋_GB2312" w:hAnsi="仿宋_GB2312" w:cs="仿宋_GB2312" w:eastAsia="仿宋_GB2312"/>
                <w:sz w:val="21"/>
              </w:rPr>
              <w:t>编制单位、编制时间，以及图名、图例、比例尺、指北针等。</w:t>
            </w:r>
          </w:p>
          <w:p>
            <w:pPr>
              <w:pStyle w:val="null3"/>
              <w:jc w:val="both"/>
              <w:outlineLvl w:val="2"/>
            </w:pPr>
            <w:r>
              <w:rPr>
                <w:rFonts w:ascii="仿宋_GB2312" w:hAnsi="仿宋_GB2312" w:cs="仿宋_GB2312" w:eastAsia="仿宋_GB2312"/>
                <w:sz w:val="21"/>
                <w:b/>
              </w:rPr>
              <w:t>3、成果要求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完成</w:t>
            </w:r>
            <w:r>
              <w:rPr>
                <w:rFonts w:ascii="仿宋_GB2312" w:hAnsi="仿宋_GB2312" w:cs="仿宋_GB2312" w:eastAsia="仿宋_GB2312"/>
                <w:sz w:val="21"/>
              </w:rPr>
              <w:t>“附表B-1 危险区基本信息表”；</w:t>
            </w:r>
            <w:r>
              <w:rPr>
                <w:rFonts w:ascii="仿宋_GB2312" w:hAnsi="仿宋_GB2312" w:cs="仿宋_GB2312" w:eastAsia="仿宋_GB2312"/>
                <w:sz w:val="21"/>
              </w:rPr>
              <w:t>汇总</w:t>
            </w:r>
            <w:r>
              <w:rPr>
                <w:rFonts w:ascii="仿宋_GB2312" w:hAnsi="仿宋_GB2312" w:cs="仿宋_GB2312" w:eastAsia="仿宋_GB2312"/>
                <w:sz w:val="21"/>
              </w:rPr>
              <w:t>“附表B-2 危险区关联站点与预警指标表”、“附表B-3 危险区入户详查表”、“附表B-4 危险区风险隐患及防范措施表”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每个危险区绘制山洪灾害防御图，</w:t>
            </w:r>
            <w:r>
              <w:rPr>
                <w:rFonts w:ascii="仿宋_GB2312" w:hAnsi="仿宋_GB2312" w:cs="仿宋_GB2312" w:eastAsia="仿宋_GB2312"/>
                <w:sz w:val="21"/>
              </w:rPr>
              <w:t>PDF文件。</w:t>
            </w:r>
          </w:p>
          <w:p>
            <w:pPr>
              <w:pStyle w:val="null3"/>
              <w:jc w:val="both"/>
              <w:outlineLvl w:val="2"/>
            </w:pPr>
            <w:r>
              <w:rPr>
                <w:rFonts w:ascii="仿宋_GB2312" w:hAnsi="仿宋_GB2312" w:cs="仿宋_GB2312" w:eastAsia="仿宋_GB2312"/>
                <w:sz w:val="21"/>
                <w:b/>
              </w:rPr>
              <w:t>三、</w:t>
            </w:r>
            <w:r>
              <w:rPr>
                <w:rFonts w:ascii="仿宋_GB2312" w:hAnsi="仿宋_GB2312" w:cs="仿宋_GB2312" w:eastAsia="仿宋_GB2312"/>
                <w:sz w:val="21"/>
                <w:b/>
              </w:rPr>
              <w:t>成果整理</w:t>
            </w:r>
          </w:p>
          <w:p>
            <w:pPr>
              <w:pStyle w:val="null3"/>
              <w:ind w:firstLine="420"/>
              <w:jc w:val="both"/>
            </w:pPr>
            <w:r>
              <w:rPr>
                <w:rFonts w:ascii="仿宋_GB2312" w:hAnsi="仿宋_GB2312" w:cs="仿宋_GB2312" w:eastAsia="仿宋_GB2312"/>
                <w:sz w:val="21"/>
              </w:rPr>
              <w:t>与项目任务相对应，成果形式为成果报表、电子数据，具体如下。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成果报表</w:t>
            </w:r>
          </w:p>
          <w:p>
            <w:pPr>
              <w:pStyle w:val="null3"/>
              <w:ind w:firstLine="420"/>
              <w:jc w:val="both"/>
            </w:pPr>
            <w:r>
              <w:rPr>
                <w:rFonts w:ascii="仿宋_GB2312" w:hAnsi="仿宋_GB2312" w:cs="仿宋_GB2312" w:eastAsia="仿宋_GB2312"/>
                <w:sz w:val="21"/>
              </w:rPr>
              <w:t>对</w:t>
            </w:r>
            <w:r>
              <w:rPr>
                <w:rFonts w:ascii="仿宋_GB2312" w:hAnsi="仿宋_GB2312" w:cs="仿宋_GB2312" w:eastAsia="仿宋_GB2312"/>
                <w:sz w:val="21"/>
              </w:rPr>
              <w:t>A、B两类成果报表，按照规范性、完整性、合理性的要求进行整理；各类表格说明如下，相关详细填写要求参见“附录2成果表及填表说明”。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A 表：防治区与防御对象统计类表格，具体包括以下</w:t>
            </w:r>
            <w:r>
              <w:rPr>
                <w:rFonts w:ascii="仿宋_GB2312" w:hAnsi="仿宋_GB2312" w:cs="仿宋_GB2312" w:eastAsia="仿宋_GB2312"/>
                <w:sz w:val="21"/>
              </w:rPr>
              <w:t>2</w:t>
            </w:r>
            <w:r>
              <w:rPr>
                <w:rFonts w:ascii="仿宋_GB2312" w:hAnsi="仿宋_GB2312" w:cs="仿宋_GB2312" w:eastAsia="仿宋_GB2312"/>
                <w:sz w:val="21"/>
              </w:rPr>
              <w:t>个表格。</w:t>
            </w:r>
          </w:p>
          <w:p>
            <w:pPr>
              <w:pStyle w:val="null3"/>
              <w:jc w:val="both"/>
            </w:pPr>
            <w:r>
              <w:rPr>
                <w:rFonts w:ascii="仿宋_GB2312" w:hAnsi="仿宋_GB2312" w:cs="仿宋_GB2312" w:eastAsia="仿宋_GB2312"/>
                <w:sz w:val="21"/>
              </w:rPr>
              <w:t>附表</w:t>
            </w:r>
            <w:r>
              <w:rPr>
                <w:rFonts w:ascii="仿宋_GB2312" w:hAnsi="仿宋_GB2312" w:cs="仿宋_GB2312" w:eastAsia="仿宋_GB2312"/>
                <w:sz w:val="21"/>
              </w:rPr>
              <w:t>A-2 山洪灾害防治村名录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A-3 山洪灾害防御对象名录</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B 表：针对危险区山洪风险调查工作成果的表格，具体包括以下</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个表格。</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B-1 危险区基本信息表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B-2 危险区关联站点与预警指标表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B-3 危险区入户详查表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附表</w:t>
            </w:r>
            <w:r>
              <w:rPr>
                <w:rFonts w:ascii="仿宋_GB2312" w:hAnsi="仿宋_GB2312" w:cs="仿宋_GB2312" w:eastAsia="仿宋_GB2312"/>
                <w:sz w:val="21"/>
              </w:rPr>
              <w:t>B-4 危险区风险隐患及防范措施表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电子数据</w:t>
            </w:r>
          </w:p>
          <w:p>
            <w:pPr>
              <w:pStyle w:val="null3"/>
              <w:ind w:firstLine="420"/>
              <w:jc w:val="both"/>
            </w:pPr>
            <w:r>
              <w:rPr>
                <w:rFonts w:ascii="仿宋_GB2312" w:hAnsi="仿宋_GB2312" w:cs="仿宋_GB2312" w:eastAsia="仿宋_GB2312"/>
                <w:sz w:val="21"/>
              </w:rPr>
              <w:t>按照完整性、规范性、合理性的要求，对数据进行整理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防御对象（危险区）数据</w:t>
            </w:r>
            <w:r>
              <w:rPr>
                <w:rFonts w:ascii="仿宋_GB2312" w:hAnsi="仿宋_GB2312" w:cs="仿宋_GB2312" w:eastAsia="仿宋_GB2312"/>
                <w:sz w:val="21"/>
              </w:rPr>
              <w:t>：</w:t>
            </w:r>
            <w:r>
              <w:rPr>
                <w:rFonts w:ascii="仿宋_GB2312" w:hAnsi="仿宋_GB2312" w:cs="仿宋_GB2312" w:eastAsia="仿宋_GB2312"/>
                <w:sz w:val="21"/>
              </w:rPr>
              <w:t>数据边沿应当与遥感影像中该对象的轮廓重合；属性信息应包括危险区名称与代码（行政代码、企事业单位代码等）、河流名称与河流代码、所在小流域治理单元的名称与代码、人口、复核时间等。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转移路线数据：数据应</w:t>
            </w:r>
            <w:r>
              <w:rPr>
                <w:rFonts w:ascii="仿宋_GB2312" w:hAnsi="仿宋_GB2312" w:cs="仿宋_GB2312" w:eastAsia="仿宋_GB2312"/>
                <w:sz w:val="21"/>
              </w:rPr>
              <w:t>注意不要有跨房、跨河的情况存在，同时需要沿道路绘制</w:t>
            </w:r>
            <w:r>
              <w:rPr>
                <w:rFonts w:ascii="仿宋_GB2312" w:hAnsi="仿宋_GB2312" w:cs="仿宋_GB2312" w:eastAsia="仿宋_GB2312"/>
                <w:sz w:val="21"/>
              </w:rPr>
              <w:t>；属性信息应包括</w:t>
            </w:r>
            <w:r>
              <w:rPr>
                <w:rFonts w:ascii="仿宋_GB2312" w:hAnsi="仿宋_GB2312" w:cs="仿宋_GB2312" w:eastAsia="仿宋_GB2312"/>
                <w:sz w:val="21"/>
              </w:rPr>
              <w:t>关联危险区名称与代码、关联安置点的名称等</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安置点数据：</w:t>
            </w:r>
            <w:r>
              <w:rPr>
                <w:rFonts w:ascii="仿宋_GB2312" w:hAnsi="仿宋_GB2312" w:cs="仿宋_GB2312" w:eastAsia="仿宋_GB2312"/>
                <w:sz w:val="21"/>
              </w:rPr>
              <w:t>需要设定地势较高处，符合人员居住条件</w:t>
            </w:r>
            <w:r>
              <w:rPr>
                <w:rFonts w:ascii="仿宋_GB2312" w:hAnsi="仿宋_GB2312" w:cs="仿宋_GB2312" w:eastAsia="仿宋_GB2312"/>
                <w:sz w:val="21"/>
              </w:rPr>
              <w:t>；属性信息应包含关联危险区名称与代码、关联转移路线的名称，安置点容纳人数，坐标信息等。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危险区防御图</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以危险区</w:t>
            </w:r>
            <w:r>
              <w:rPr>
                <w:rFonts w:ascii="仿宋_GB2312" w:hAnsi="仿宋_GB2312" w:cs="仿宋_GB2312" w:eastAsia="仿宋_GB2312"/>
                <w:sz w:val="21"/>
              </w:rPr>
              <w:t>/危险区片为单位进行编制。</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文件格式为</w:t>
            </w:r>
            <w:r>
              <w:rPr>
                <w:rFonts w:ascii="仿宋_GB2312" w:hAnsi="仿宋_GB2312" w:cs="仿宋_GB2312" w:eastAsia="仿宋_GB2312"/>
                <w:sz w:val="21"/>
              </w:rPr>
              <w:t>*.PDF。</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说明：</w:t>
            </w:r>
          </w:p>
          <w:p>
            <w:pPr>
              <w:pStyle w:val="null3"/>
            </w:pPr>
            <w:r>
              <w:rPr>
                <w:rFonts w:ascii="仿宋_GB2312" w:hAnsi="仿宋_GB2312" w:cs="仿宋_GB2312" w:eastAsia="仿宋_GB2312"/>
                <w:sz w:val="21"/>
              </w:rPr>
              <w:t xml:space="preserve">  本标段</w:t>
            </w:r>
            <w:r>
              <w:rPr>
                <w:rFonts w:ascii="仿宋_GB2312" w:hAnsi="仿宋_GB2312" w:cs="仿宋_GB2312" w:eastAsia="仿宋_GB2312"/>
                <w:sz w:val="21"/>
              </w:rPr>
              <w:t>附表及填表要求详见《山洪灾害风险调查与隐患排查技术要求（初稿）》</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标的名称：2026年社会化发布支撑服务建设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pPr>
            <w:r>
              <w:rPr>
                <w:rFonts w:ascii="仿宋_GB2312" w:hAnsi="仿宋_GB2312" w:cs="仿宋_GB2312" w:eastAsia="仿宋_GB2312"/>
                <w:sz w:val="21"/>
              </w:rPr>
              <w:t>1、山洪灾害气象风险预警图制作</w:t>
            </w:r>
          </w:p>
          <w:p>
            <w:pPr>
              <w:pStyle w:val="null3"/>
              <w:ind w:firstLine="560"/>
            </w:pPr>
            <w:r>
              <w:rPr>
                <w:rFonts w:ascii="仿宋_GB2312" w:hAnsi="仿宋_GB2312" w:cs="仿宋_GB2312" w:eastAsia="仿宋_GB2312"/>
                <w:sz w:val="21"/>
              </w:rPr>
              <w:t>在接到需要发布山洪灾害预警图的通知后，社会化发布支撑服务方从气象局获取陕西省未来</w:t>
            </w:r>
            <w:r>
              <w:rPr>
                <w:rFonts w:ascii="仿宋_GB2312" w:hAnsi="仿宋_GB2312" w:cs="仿宋_GB2312" w:eastAsia="仿宋_GB2312"/>
                <w:sz w:val="21"/>
              </w:rPr>
              <w:t>24小时降水落区预报（预报时长为24小时，网格精度不低于0.05°×0.05°，折合长度约为5km×5km，数据为每小时降雨量，数据更新时间每12小时1次），根据气象局提供的5公里栅格雨量预报数据，计算各县最大降雨量，按照各县预警级别对应的雨量区间，确定各县对应的预警级别，渲染对应颜色。预警级别划分为四个等级：可能发生（蓝色预警）、可能性较大（黄色预警）、可能性大（橙色预警）、可能性很大（红色预警），分别对应的雨量区间是25~50mm、50~100mm、100~250mm、250mm以上。据此制作陕西省山洪灾害气象风险预警图，并统计红、橙、黄、蓝山洪灾害气象风险预警区域内不同等级山洪灾害危险区数量，制作预警信息发布文字。</w:t>
            </w:r>
          </w:p>
          <w:p>
            <w:pPr>
              <w:pStyle w:val="null3"/>
              <w:ind w:firstLine="560"/>
            </w:pPr>
            <w:r>
              <w:rPr>
                <w:rFonts w:ascii="仿宋_GB2312" w:hAnsi="仿宋_GB2312" w:cs="仿宋_GB2312" w:eastAsia="仿宋_GB2312"/>
                <w:sz w:val="21"/>
              </w:rPr>
              <w:t>2、现场支持</w:t>
            </w:r>
          </w:p>
          <w:p>
            <w:pPr>
              <w:pStyle w:val="null3"/>
              <w:ind w:firstLine="560"/>
            </w:pPr>
            <w:r>
              <w:rPr>
                <w:rFonts w:ascii="仿宋_GB2312" w:hAnsi="仿宋_GB2312" w:cs="仿宋_GB2312" w:eastAsia="仿宋_GB2312"/>
                <w:sz w:val="21"/>
              </w:rPr>
              <w:t>在汛期值班期间，社会化发布支撑服务方安排工作人员参与值班值守，确保第一时间精准发布预警信息，及时传递防汛避险提示，为提前做好防范应对、果断开展避险转移争取时间。</w:t>
            </w:r>
          </w:p>
          <w:p>
            <w:pPr>
              <w:pStyle w:val="null3"/>
              <w:ind w:firstLine="560"/>
            </w:pPr>
            <w:r>
              <w:rPr>
                <w:rFonts w:ascii="仿宋_GB2312" w:hAnsi="仿宋_GB2312" w:cs="仿宋_GB2312" w:eastAsia="仿宋_GB2312"/>
                <w:sz w:val="21"/>
              </w:rPr>
              <w:t>3、预警精度校验</w:t>
            </w:r>
          </w:p>
          <w:p>
            <w:pPr>
              <w:pStyle w:val="null3"/>
            </w:pPr>
            <w:r>
              <w:rPr>
                <w:rFonts w:ascii="仿宋_GB2312" w:hAnsi="仿宋_GB2312" w:cs="仿宋_GB2312" w:eastAsia="仿宋_GB2312"/>
                <w:sz w:val="21"/>
              </w:rPr>
              <w:t xml:space="preserve">  山洪灾害气象风险预警信息发布后，持续跟踪辖区降雨实际发生过程，将降雨落区、实际强度、持续时长、累计雨量及影响范围等核心要素，与预警信息中预判的降雨数据、山洪灾害风险等级、影响区域等内容逐一对照，全面开展预警信息精准性校验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投标人根据单位自身及项目实际情况自主配置。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投标人根据单位自身及项目实际情况自主配置。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投标人根据单位自身及项目实际情况自主配置。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2026年12月31日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2026年12月31日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2026年12月31日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陕西</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陕西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满足国家相关技术规范及有关政策的要求，通过采购人组织的验收。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满足国家相关技术规范及有关政策的要求，通过采购人组织的验收。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满足国家相关技术规范及有关政策的要求，通过采购人组织的验收。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满足国家相关技术规范及有关政策的要求，通过采购人组织的验收。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满足国家相关技术规范及有关政策的要求，通过采购人组织的验收。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满足国家相关技术规范及有关政策的要求，通过采购人组织的验收。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合同签订备案后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完工验收通过无质量问题后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合同签订备案后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完工验收通过无质量问题后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合同签订备案后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完工验收通过无质量问题后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合同签订备案后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完工验收通过无质量问题后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合同签订备案后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完工验收通过无质量问题后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合同签订备案后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完工验收通过无质量问题后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合同签订备案后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项目建设过程中，每月按实际进度支付进度款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完工验收通过无质量问题后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以合同签订为准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以合同签订为准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3.5.1.知识产权 （1）本项目的知识产权归采购人所有，任何一方未经同意不得转让、出售或任意处理。 （2）凡与本项目有关的系统定制开发内容，知识产权归采购人所有，未经采购人允许，不得用于商业谋利。 3.5.2.售后服务 （1）中标人负责办理将货物或服务运抵采购单位指定交货地点的一切事项，并完成 所有相关工作。凡包装、配送、安装调试、系统升级、技术培训、售后服务、税金、验收等，所有费用一次性计入投标总价，合同履约过程中采购人不再支付其他额外费用。 （2）涉及包装运输的，需满足《关于印发〈商品包装政府采购需求标准（试行）〉 〈快递包装政府采购需求标准（试行）〉》（财办库〔2020〕123 号）要求，采用绿色包 装和绿色运输。但应保证货物能够经受搬运、装卸及运输必要的保护措施，中标人应承 担由于其包装或防护措施不妥而引起的货物锈蚀、损坏和丢失等任何损失造成的责任或 费用。 （3）培训要求 （1）培训地点：采购人指定地点； （2）培训对象：采购人指定的技术人员及管理人员； （3）培训人数及时间：由采购人根据项目进度决定； （4）培训内容：设备系统的操作原理、操作维护方法、排除故障等各个方面； （5）培训目的：熟练操作设备及系统、能够排除一般故障。 （4） 质保期内，中标人应免费提供设备维修及系统升级服务。 （5）售后响应时间：接到采购人售后要求后，2 小时内响应，4 小时内给出解决方案，8 小时内安排专人到达现场，24 小时内解决问题。 3.5.3质保期 ：完工后，进行完工验收，经过一个汛期试运行无质量问题后进行竣工验收之后进入质保期； 第1包：供应商须参考以往调查评价审核汇集的要求，关注成果质量和数据规范性，直到水利部审核通过为止。 第2包：在竣工验收合格后质保3年； 第3包：在竣工验收合格后质保3年； 第4包：在竣工验收合格后质保3年； 第5包：在竣工验收合格后质保3年； 第6包：供应商须参考以往调查评价审核汇集的要求，关注成果质量和数据规范性，直到水利部审核通过为止。 第7包：在竣工验收合格无质量问题后质保结束。 3.5.4为顺利推进政府采购电子化交易平台应用工作，投标人需要在线提交所有通过电子化交易平台实施的政府采购项目的投标文件，同时，线下提交纸质版投标文件二套（密封，封皮上注明单位名称、第几包、采购包名称）。若线上电子投标文件与纸质投标文件不一致的，以线上电子投标文件为准。线下递交文件截止时间：开标时间前；线下递交文件地点：西安市曲江新区旺座曲江K座1801室。 3.5.5第5包允许联合体投标，联合体投标的，应提供联合体协议书，由牵头人负责投标事宜，除联合体协议书外，其余所有投标资料均由牵头单位签章。 3.5.6第5包允许合同分包。依据《中华人民共和国政府采购法》第四十八条相关规定，部分非主体、非关键性内容例如等保测评、数据采购等工作需要外委分包，且不属于主体和关键性工作，因此本包允许合同分包。 3.5.7允许供应商同时参与多个采购包的投标，但最多只能中标一个采购包，在已评审结束采购包排名第一的供应商，在后面采购包中不再被推荐为中标候选人。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1）具有独立承担民事责任的能力（提供有效的营业执照等相应证明文件证明，非法人单位参照 执行，自然人提供身份证明）； 2）具有履行合 同所必需的设备和专业技术能力（提供承诺函）； 3）有依法缴纳税收和社会保障资金的良好记录：税收缴纳证明：提供响应文件提交截止时间 前六个月内任意一月已缴纳的纳税证明或完税证明（包含增值税、企业所得税至少一种），依法免税的供应商应提供相关证明文件； 社保缴纳证明：提供响应文件提交截止时间前六个月内任意一月已缴存的社会保障资金缴费证明或参保证明，依法不需要缴纳社会保障资金的供应商应提 供相关证明文件； 4）参加政府采购活动前三年内，在经营活动中没有重大违法记录（提供书面声明）； 5）法律、行政法规规定的其他条件（ 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1包资格证明文件.docx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提供2024年度或2025年度财务审计报告或本年度基本存款账户开户银行出具的资信证明；供应商需在项目电子化交易系统中按要求上传相应证明文件并进行电子签章。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1包资格证明文件.docx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1）具有独立承担民事责任的能力（提供有效的营业执照等相应证明文件证明，非法人单位参照 执行，自然人提供身份证明）； 2）具有履行合 同所必需的设备和专业技术能力（提供承诺函）； 3）有依法缴纳税收和社会保障资金的良好记录：税收缴纳证明：提供响应文件提交截止时间 前六个月内任意一月已缴纳的纳税证明或完税证明（包含增值税、企业所得税至少一种），依法免税的供应商应提供相关证明文件； 社保缴纳证明：提供响应文件提交截止时间前六个月内任意一月已缴存的社会保障资金缴费证明或参保证明，依法不需要缴纳社会保障资金的供应商应提 供相关证明文件； 4）参加政府采购活动前三年内，在经营活动中没有重大违法记录（提供书面声明）； 5）法律、行政法规规定的其他条件（ 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2包资格证明文件.docx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提供2024年度或2025年度财务审计报告或本年度基本存款账户开户银行出具的资信证明；供应商需在项目电子化交易系统中按要求上传相应证明文件并进行电子签章。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2包资格证明文件.docx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1）具有独立承担民事责任的能力（提供有效的营业执照等相应证明文件证明，非法人单位参照 执行，自然人提供身份证明）； 2）具有履行合 同所必需的设备和专业技术能力（提供承诺函）； 3）有依法缴纳税收和社会保障资金的良好记录：税收缴纳证明：提供响应文件提交截止时间 前六个月内任意一月已缴纳的纳税证明或完税证明（包含增值税、企业所得税至少一种），依法免税的供应商应提供相关证明文件； 社保缴纳证明：提供响应文件提交截止时间前六个月内任意一月已缴存的社会保障资金缴费证明或参保证明，依法不需要缴纳社会保障资金的供应商应提 供相关证明文件； 4）参加政府采购活动前三年内，在经营活动中没有重大违法记录（提供书面声明）； 5）法律、行政法规规定的其他条件（ 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3包资格证明文件.docx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提供2024年度或2025年度财务审计报告或本年度基本存款账户开户银行出具的资信证明；供应商需在项目电子化交易系统中按要求上传相应证明文件并进行电子签章。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3包资格证明文件.docx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1）具有独立承担民事责任的能力（提供有效的营业执照等相应证明文件证明，非法人单位参照 执行，自然人提供身份证明）； 2）具有履行合 同所必需的设备和专业技术能力（提供承诺函）； 3）有依法缴纳税收和社会保障资金的良好记录：税收缴纳证明：提供响应文件提交截止时间 前六个月内任意一月已缴纳的纳税证明或完税证明（包含增值税、企业所得税至少一种），依法免税的供应商应提供相关证明文件； 社保缴纳证明：提供响应文件提交截止时间前六个月内任意一月已缴存的社会保障资金缴费证明或参保证明，依法不需要缴纳社会保障资金的供应商应提 供相关证明文件； 4）参加政府采购活动前三年内，在经营活动中没有重大违法记录（提供书面声明）； 5）法律、行政法规规定的其他条件（ 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4包资格证明文件.docx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提供2024年度或2025年度财务审计报告或本年度基本存款账户开户银行出具的资信证明；供应商需在项目电子化交易系统中按要求上传相应证明文件并进行电子签章。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4包资格证明文件.docx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1）具有独立承担民事责任的能力（提供有效的营业执照等相应证明文件证明，非法人单位参照 执行，自然人提供身份证明）； 2）具有履行合 同所必需的设备和专业技术能力（提供承诺函）； 3）有依法缴纳税收和社会保障资金的良好记录：税收缴纳证明：提供响应文件提交截止时间 前六个月内任意一月已缴纳的纳税证明或完税证明（包含增值税、企业所得税至少一种），依法免税的供应商应提供相关证明文件； 社保缴纳证明：提供响应文件提交截止时间前六个月内任意一月已缴存的社会保障资金缴费证明或参保证明，依法不需要缴纳社会保障资金的供应商应提 供相关证明文件； 4）参加政府采购活动前三年内，在经营活动中没有重大违法记录（提供书面声明）； 5）法律、行政法规规定的其他条件（ 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5包资格证明文件.docx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提供2024年度或2025年度财务审计报告或本年度基本存款账户开户银行出具的资信证明；供应商需在项目电子化交易系统中按要求上传相应证明文件并进行电子签章。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5包资格证明文件.docx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1）具有独立承担民事责任的能力（提供有效的营业执照等相应证明文件证明，非法人单位参照 执行，自然人提供身份证明）； 2）具有履行合 同所必需的设备和专业技术能力（提供承诺函）； 3）有依法缴纳税收和社会保障资金的良好记录：税收缴纳证明：提供响应文件提交截止时间 前六个月内任意一月已缴纳的纳税证明或完税证明（包含增值税、企业所得税至少一种），依法免税的供应商应提供相关证明文件； 社保缴纳证明：提供响应文件提交截止时间前六个月内任意一月已缴存的社会保障资金缴费证明或参保证明，依法不需要缴纳社会保障资金的供应商应提 供相关证明文件； 4）参加政府采购活动前三年内，在经营活动中没有重大违法记录（提供书面声明）； 5）法律、行政法规规定的其他条件（ 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6包资格证明文件.docx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提供2024年度或2025年度财务审计报告或本年度基本存款账户开户银行出具的资信证明；供应商需在项目电子化交易系统中按要求上传相应证明文件并进行电子签章。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6包资格证明文件.docx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6包资格证明文件.docx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1）具有独立承担民事责任的能力（提供有效的营业执照等相应证明文件证明，非法人单位参照 执行，自然人提供身份证明）； 2）具有履行合 同所必需的设备和专业技术能力（提供承诺函）； 3）有依法缴纳税收和社会保障资金的良好记录：税收缴纳证明：提供响应文件提交截止时间 前六个月内任意一月已缴纳的纳税证明或完税证明（包含增值税、企业所得税至少一种），依法免税的供应商应提供相关证明文件； 社保缴纳证明：提供响应文件提交截止时间前六个月内任意一月已缴存的社会保障资金缴费证明或参保证明，依法不需要缴纳社会保障资金的供应商应提 供相关证明文件； 4）参加政府采购活动前三年内，在经营活动中没有重大违法记录（提供书面声明）； 5）法律、行政法规规定的其他条件（ 提供承诺函）；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提供2024年度或2025年度财务审计报告或本年度基本存款账户开户银行出具的资信证明；供应商需在项目电子化交易系统中按要求上传相应证明文件并进行电子签章。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法定代表人授权书及授权代表身份证（法定代表人直接参加投标的须提供法定代表人证明及其身份证），非法人单位参照执行。</w:t>
            </w:r>
          </w:p>
        </w:tc>
        <w:tc>
          <w:tcPr>
            <w:tcW w:type="dxa" w:w="1661"/>
          </w:tcPr>
          <w:p>
            <w:pPr>
              <w:pStyle w:val="null3"/>
            </w:pPr>
            <w:r>
              <w:rPr>
                <w:rFonts w:ascii="仿宋_GB2312" w:hAnsi="仿宋_GB2312" w:cs="仿宋_GB2312" w:eastAsia="仿宋_GB2312"/>
              </w:rPr>
              <w:t>1包资格证明文件.docx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tc>
        <w:tc>
          <w:tcPr>
            <w:tcW w:type="dxa" w:w="1661"/>
          </w:tcPr>
          <w:p>
            <w:pPr>
              <w:pStyle w:val="null3"/>
            </w:pPr>
            <w:r>
              <w:rPr>
                <w:rFonts w:ascii="仿宋_GB2312" w:hAnsi="仿宋_GB2312" w:cs="仿宋_GB2312" w:eastAsia="仿宋_GB2312"/>
              </w:rPr>
              <w:t>1包资格证明文件.docx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法定代表人授权书及授权代表身份证（法定代表人直接参加投标的须提供法定代表人证明及其身份证），非法人单位参照执行。</w:t>
            </w:r>
          </w:p>
        </w:tc>
        <w:tc>
          <w:tcPr>
            <w:tcW w:type="dxa" w:w="1661"/>
          </w:tcPr>
          <w:p>
            <w:pPr>
              <w:pStyle w:val="null3"/>
            </w:pPr>
            <w:r>
              <w:rPr>
                <w:rFonts w:ascii="仿宋_GB2312" w:hAnsi="仿宋_GB2312" w:cs="仿宋_GB2312" w:eastAsia="仿宋_GB2312"/>
              </w:rPr>
              <w:t>2包资格证明文件.docx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tc>
        <w:tc>
          <w:tcPr>
            <w:tcW w:type="dxa" w:w="1661"/>
          </w:tcPr>
          <w:p>
            <w:pPr>
              <w:pStyle w:val="null3"/>
            </w:pPr>
            <w:r>
              <w:rPr>
                <w:rFonts w:ascii="仿宋_GB2312" w:hAnsi="仿宋_GB2312" w:cs="仿宋_GB2312" w:eastAsia="仿宋_GB2312"/>
              </w:rPr>
              <w:t>2包资格证明文件.docx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法定代表人授权书及授权代表身份证（法定代表人直接参加投标的须提供法定代表人证明及其身份证），非法人单位参照执行。</w:t>
            </w:r>
          </w:p>
        </w:tc>
        <w:tc>
          <w:tcPr>
            <w:tcW w:type="dxa" w:w="1661"/>
          </w:tcPr>
          <w:p>
            <w:pPr>
              <w:pStyle w:val="null3"/>
            </w:pPr>
            <w:r>
              <w:rPr>
                <w:rFonts w:ascii="仿宋_GB2312" w:hAnsi="仿宋_GB2312" w:cs="仿宋_GB2312" w:eastAsia="仿宋_GB2312"/>
              </w:rPr>
              <w:t>3包资格证明文件.docx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tc>
        <w:tc>
          <w:tcPr>
            <w:tcW w:type="dxa" w:w="1661"/>
          </w:tcPr>
          <w:p>
            <w:pPr>
              <w:pStyle w:val="null3"/>
            </w:pPr>
            <w:r>
              <w:rPr>
                <w:rFonts w:ascii="仿宋_GB2312" w:hAnsi="仿宋_GB2312" w:cs="仿宋_GB2312" w:eastAsia="仿宋_GB2312"/>
              </w:rPr>
              <w:t>3包资格证明文件.docx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法定代表人授权书及授权代表身份证（法定代表人直接参加投标的须提供法定代表人证明及其身份证），非法人单位参照执行。</w:t>
            </w:r>
          </w:p>
        </w:tc>
        <w:tc>
          <w:tcPr>
            <w:tcW w:type="dxa" w:w="1661"/>
          </w:tcPr>
          <w:p>
            <w:pPr>
              <w:pStyle w:val="null3"/>
            </w:pPr>
            <w:r>
              <w:rPr>
                <w:rFonts w:ascii="仿宋_GB2312" w:hAnsi="仿宋_GB2312" w:cs="仿宋_GB2312" w:eastAsia="仿宋_GB2312"/>
              </w:rPr>
              <w:t>4包资格证明文件.docx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tc>
        <w:tc>
          <w:tcPr>
            <w:tcW w:type="dxa" w:w="1661"/>
          </w:tcPr>
          <w:p>
            <w:pPr>
              <w:pStyle w:val="null3"/>
            </w:pPr>
            <w:r>
              <w:rPr>
                <w:rFonts w:ascii="仿宋_GB2312" w:hAnsi="仿宋_GB2312" w:cs="仿宋_GB2312" w:eastAsia="仿宋_GB2312"/>
              </w:rPr>
              <w:t>4包资格证明文件.docx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法定代表人授权书及授权代表身份证（法定代表人直接参加投标的须提供法定代表人证明及其身份证），非法人单位参照执行。</w:t>
            </w:r>
          </w:p>
        </w:tc>
        <w:tc>
          <w:tcPr>
            <w:tcW w:type="dxa" w:w="1661"/>
          </w:tcPr>
          <w:p>
            <w:pPr>
              <w:pStyle w:val="null3"/>
            </w:pPr>
            <w:r>
              <w:rPr>
                <w:rFonts w:ascii="仿宋_GB2312" w:hAnsi="仿宋_GB2312" w:cs="仿宋_GB2312" w:eastAsia="仿宋_GB2312"/>
              </w:rPr>
              <w:t>5包资格证明文件.docx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tc>
        <w:tc>
          <w:tcPr>
            <w:tcW w:type="dxa" w:w="1661"/>
          </w:tcPr>
          <w:p>
            <w:pPr>
              <w:pStyle w:val="null3"/>
            </w:pPr>
            <w:r>
              <w:rPr>
                <w:rFonts w:ascii="仿宋_GB2312" w:hAnsi="仿宋_GB2312" w:cs="仿宋_GB2312" w:eastAsia="仿宋_GB2312"/>
              </w:rPr>
              <w:t>5包资格证明文件.docx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联合体投标的，提供联合体协议书。</w:t>
            </w:r>
          </w:p>
        </w:tc>
        <w:tc>
          <w:tcPr>
            <w:tcW w:type="dxa" w:w="1661"/>
          </w:tcPr>
          <w:p>
            <w:pPr>
              <w:pStyle w:val="null3"/>
            </w:pPr>
            <w:r>
              <w:rPr>
                <w:rFonts w:ascii="仿宋_GB2312" w:hAnsi="仿宋_GB2312" w:cs="仿宋_GB2312" w:eastAsia="仿宋_GB2312"/>
              </w:rPr>
              <w:t>5包资格证明文件.docx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法定代表人授权书及授权代表身份证（法定代表人直接参加投标的须提供法定代表人证明及其身份证），非法人单位参照执行。</w:t>
            </w:r>
          </w:p>
        </w:tc>
        <w:tc>
          <w:tcPr>
            <w:tcW w:type="dxa" w:w="1661"/>
          </w:tcPr>
          <w:p>
            <w:pPr>
              <w:pStyle w:val="null3"/>
            </w:pPr>
            <w:r>
              <w:rPr>
                <w:rFonts w:ascii="仿宋_GB2312" w:hAnsi="仿宋_GB2312" w:cs="仿宋_GB2312" w:eastAsia="仿宋_GB2312"/>
              </w:rPr>
              <w:t>6包资格证明文件.docx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tc>
        <w:tc>
          <w:tcPr>
            <w:tcW w:type="dxa" w:w="1661"/>
          </w:tcPr>
          <w:p>
            <w:pPr>
              <w:pStyle w:val="null3"/>
            </w:pPr>
            <w:r>
              <w:rPr>
                <w:rFonts w:ascii="仿宋_GB2312" w:hAnsi="仿宋_GB2312" w:cs="仿宋_GB2312" w:eastAsia="仿宋_GB2312"/>
              </w:rPr>
              <w:t>6包资格证明文件.docx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法定代表人授权书及授权代表身份证（法定代表人直接参加投标的须提供法定代表人证明及其身份证），非法人单位参照执行。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1包服务内容及服务要求应答表.docx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2包服务内容及服务要求应答表.docx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3包服务内容及服务要求应答表.docx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4包服务内容及服务要求应答表.docx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5包服务内容及服务要求应答表.docx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6包服务内容及服务要求应答表.docx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w:t>
            </w:r>
          </w:p>
        </w:tc>
        <w:tc>
          <w:tcPr>
            <w:tcW w:type="dxa" w:w="1661"/>
          </w:tcPr>
          <w:p>
            <w:pPr>
              <w:pStyle w:val="null3"/>
            </w:pPr>
            <w:r>
              <w:rPr>
                <w:rFonts w:ascii="仿宋_GB2312" w:hAnsi="仿宋_GB2312" w:cs="仿宋_GB2312" w:eastAsia="仿宋_GB2312"/>
              </w:rPr>
              <w:t>开标一览表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新增防治对象调查评价及风险隐患调查分析和沟道断面测量重点、难点分析： 1.能够透彻分析本标包的重点、难点，并提供有相应解决措施及方案计8.1-10分； 2.能够提出本标包的重点、难点，但缺少相应解决措施及方案计3.1-8分； 3.无重点、难点分析或重点、难点分析不适用于本项目计0-3分。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新增防治对象调查评价及风险隐患调查分析和沟道断面测量服务方案； 1.服务方案科学合理、架构完整、层次清楚计15.1-20分； 2.有服务方案，但缺少架构、层次模糊计5.1-15分； 3.服务方案不合理或服务方案不适用于本项目计0-5分。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1.质量控制措施科学完善、切实可行，能保障项目顺利实施，计8.1-10分； 2.能够提出质量控制措施，但质量控制措施不完善计3.1-8分； 3.无质量控制措施或质量控制措施不适用于本项目计0-3分。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1.对本项目本标段评价有详细的项目进度安排，工作安排完整详尽，能够按期完成成果递交计8.1-10分； 2.在实施本项目本标段过程中，项目进度安排不详细或不明确，无法确保按期完成成果递交计3.1-8分； 3.无项目进度安排或项目进度安排不适用于本项目计0-3分。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1、项目负责人为水利或水文水资源相关专业（以毕业证或者职称证专业为准），高级职称的得3分，中级职称的得1分，其余不得分。 2、（项目人员须为投标单位在职人员，提供证明材料，否则不计分。） 除项目负责人外，具有水利或水文水资源相关专业中级及以上职称的，每人计0.5分，此项最高得12分。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1包项目团队.docx</w:t>
            </w:r>
          </w:p>
        </w:tc>
      </w:tr>
      <w:tr>
        <w:tc>
          <w:tcPr>
            <w:tcW w:type="dxa" w:w="831"/>
            <w:vMerge/>
          </w:tcPr>
          <w:p/>
        </w:tc>
        <w:tc>
          <w:tcPr>
            <w:tcW w:type="dxa" w:w="1661"/>
          </w:tcPr>
          <w:p>
            <w:pPr>
              <w:pStyle w:val="null3"/>
            </w:pPr>
            <w:r>
              <w:rPr>
                <w:rFonts w:ascii="仿宋_GB2312" w:hAnsi="仿宋_GB2312" w:cs="仿宋_GB2312" w:eastAsia="仿宋_GB2312"/>
              </w:rPr>
              <w:t>售后服务保障体系</w:t>
            </w:r>
          </w:p>
        </w:tc>
        <w:tc>
          <w:tcPr>
            <w:tcW w:type="dxa" w:w="2492"/>
          </w:tcPr>
          <w:p>
            <w:pPr>
              <w:pStyle w:val="null3"/>
            </w:pPr>
            <w:r>
              <w:rPr>
                <w:rFonts w:ascii="仿宋_GB2312" w:hAnsi="仿宋_GB2312" w:cs="仿宋_GB2312" w:eastAsia="仿宋_GB2312"/>
              </w:rPr>
              <w:t>针对本项目及采购人实际需求提供详细具体可行的售后方案。负责为使用单位售后，并有完整的售后方案，列出详细的售后等说明。 1、提供了详细的售后方案，售后方案细致可行、售后有针对性，根据响应情况得8.1-10分。 2、提供了较详细的售后方案，售后方案基本满足招标文件要求，根据响应情况得3.1-8分。 3、所提供的售后不尽完整，针对性、可操作性、整体方案的完整性较差，不能满足采购人实际需求要求，根据响应情况得0-3分。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2021年1月至今类似项目业绩，每提供一份计3分。此项最高计15分。 注：类似业绩指小流域风险隐患调查、影响分析类相关业绩，以合同复印件加盖公章为准，日期以合同签订日期为准。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1包类似业绩.docx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合格供应商的有效报价得分=（评标基准价/投标报价）×10；评标基准价=满足文件要求且价格最低的供应商报价满足落实政府采购相关政策的，用扣除后的价格参与评审。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1.能够透彻分析本标包的重点、难点，并提供有相应解决措施及方案计3.1-5分； 2.能够提出本标包的重点、难点，但缺少相应解决措施及方案计1-3分； 3.无重点、难点分析或重点、难点分析不适用于本项目计0分。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产品选型合理，货源正规，避免出现侵权等行为，投标人提供不限于厂家授权、 代理协议、销售协议等来源证明材料： 1.产品选型合理，来源渠道明确，证明材料齐全，参数功能完全满足采购需求计10分； 2.投标产品有明确的品牌型号但来源渠道不明确或证明材料不齐全或部分参数功能有负偏离计5分； 3.投标产品无明确的品牌型号，无来源证明或证明材料与投标产品不符计0分。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针对本项目提供详细的方案说明(方案包括①项目进度安排、②组织协调措施、③质量保证措施)。 1、以上内容完整、细致可行、有针对性，根据响应情况得10.1-15分。 2、以上内容较完整，基本满足招标文件要求，根据响应情况得4.1-10分 3、所提供的内容不尽完整，针对性、可操作性、整体方案的完整性较差，不能满足采购人实际要求，根据响应情况得0-4分。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针对本项目提供详细的①运输、安装调试措施、②应急方案及措施、③验收措施。 1、以上内容完整、细致可行、有针对性，根据响应情况得8.1-10分。 2、以上内容较完整，基本满足招标文件要求，根据响应情况得4.1-8分 3、所提供的内容不尽完整，针对性、可操作性、整体方案的完整性较差，不能满足采购人实际要求，根据响应情况得0-4分。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拟投入本项目人员 10 人（含）以上，人员信息完整（姓名、电话、身份证复印件）、分工明确计 5分； 拟投入本项目人员 5人（含）以上、10 人以下，人员信息完整（姓名、电话、身份证复印件）、分工明确计 3分；.拟投入本项目人员在 5 人以下，人员信息完整（姓名、电话、身份证复印件）、分工责任明确计1分；人员信息不完整或无职责分工的计0分。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2包项目团队.docx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售后服务包含：①培训方案、②售后服务机构情况、③售后服务响应时间与处理时间、④售后服务内容和操作流程、⑤售后服务质量保证措施。 1、提供了详细的售后方案，售后方案细致可行、售后有针对性，根据响应情况得10.1-15分。 2、提供了较详细的售后方案，售后方案基本满足招标文件要求，根据响应情况得3.1-10分。 3、所提供的售后不尽完整，针对性、可操作性、整体方案的完整性较差，不能满足采购人实际需求要求，根据响应情况得0-3分。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2021 年 1 月至开标前具有的水利信息化方面相关业绩，以合同复印件加盖公章为准， 每提供一份计 2分，此项共 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2包类似业绩.docx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合格供应商的有效报价得分=（评标基准价/投标报价）×30；评标基准价=满足文件要求且价格最低的供应商报价满足落实政府采购相关政策的，用扣除后的价格参与评审。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提供的货物全部由符合政策要求的企业制造。2.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1.能够透彻分析本标包的重点、难点，并提供有相应解决措施及方案计3.1-5分； 2.能够提出本标包的重点、难点，但缺少相应解决措施及方案计1-3分； 3.无重点、难点分析或重点、难点分析不适用于本项目计0分。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产品选型合理，货源正规，避免出现侵权等行为，投标人提供不限于厂家授权、 代理协议、销售协议等来源证明材料： 1.产品选型合理，来源渠道明确，证明材料齐全，参数功能完全满足采购需求计10分； 2.投标产品有明确的品牌型号但来源渠道不明确或证明材料不齐全或部分参数功能有负偏离计5分； 3.投标产品无明确的品牌型号，无来源证明或证明材料与投标产品不符计0分。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针对本项目提供详细的方案说明(方案包括①项目进度安排、②组织协调措施、③质量保证措施)。 1、以上内容完整、细致可行、有针对性，根据响应情况得10.1-15分。 2、以上内容较完整，基本满足招标文件要求，根据响应情况得4.1-10分 3、所提供的内容不尽完整，针对性、可操作性、整体方案的完整性较差，不能满足采购人实际要求，根据响应情况得0-4分。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针对本项目提供详细的①运输、安装调试措施、②应急方案及措施、③验收措施。 1、以上内容完整、细致可行、有针对性，根据响应情况得8.1-10分。 2、以上内容较完整，基本满足招标文件要求，根据响应情况得4.1-8分 3、所提供的内容不尽完整，针对性、可操作性、整体方案的完整性较差，不能满足采购人实际要求，根据响应情况得0-4分。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拟投入本项目人员 10 人（含）以上，人员信息完整（姓名、电话、身份证复印件）、分工明确计 5分； 拟投入本项目人员 5人（含）以上、10 人以下，人员信息完整（姓名、电话、身份证复印件）、分工明确计 3分；.拟投入本项目人员在 5 人以下，人员信息完整（姓名、电话、身份证复印件）、分工责任明确计1分；人员信息不完整或无职责分工的计0分。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3包项目团队.docx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售后服务包含：①培训方案、②售后服务机构情况、③售后服务响应时间与处理时间、④售后服务内容和操作流程、⑤售后服务质量保证措施。 1、提供了详细的售后方案，售后方案细致可行、售后有针对性，根据响应情况得10.1-15分。 2、提供了较详细的售后方案，售后方案基本满足招标文件要求，根据响应情况得3.1-10分。 3、所提供的售后不尽完整，针对性、可操作性、整体方案的完整性较差，不能满足采购人实际需求要求，根据响应情况得0-3分。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2021 年 1 月至开标前具有的水利信息化方面相关业绩，以合同复印件加盖公章为准， 每提供一份计 2分，此项共 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3包类似业绩.docx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合格供应商的有效报价得分=（评标基准价/投标报价）×30；评标基准价=满足文件要求且价格最低的供应商报价满足落实政府采购相关政策的，用扣除后的价格参与评审。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提供的货物全部由符合政策要求的企业制造。2.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1.能够透彻分析本标包的重点、难点，并提供有相应解决措施及方案计3.1-5分； 2.能够提出本标包的重点、难点，但缺少相应解决措施及方案计1-3分； 3.无重点、难点分析或重点、难点分析不适用于本项目计0分。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4包服务方案.docx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产品选型合理，货源正规，避免出现侵权等行为，投标人提供不限于厂家授权、 代理协议、销售协议等来源证明材料： 1.产品选型合理，来源渠道明确，证明材料齐全，参数功能完全满足采购需求计10分； 2.投标产品有明确的品牌型号但来源渠道不明确或证明材料不齐全或部分参数功能有负偏离计5分； 3.投标产品无明确的品牌型号，无来源证明或证明材料与投标产品不符计0分。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4包服务方案.docx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针对本项目提供详细的方案说明(方案包括①项目进度安排、②组织协调措施、③质量保证措施)。 1、以上内容完整、细致可行、有针对性，根据响应情况得10.1-15分。 2、以上内容较完整，基本满足招标文件要求，根据响应情况得4.1-10分 3、所提供的内容不尽完整，针对性、可操作性、整体方案的完整性较差，不能满足采购人实际要求，根据响应情况得0-4分。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4包服务方案.docx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针对本项目提供详细的①运输、安装调试措施、②应急方案及措施、③验收措施。 1、以上内容完整、细致可行、有针对性，根据响应情况得8.1-10分。 2、以上内容较完整，基本满足招标文件要求，根据响应情况得4.1-8分 3、所提供的内容不尽完整，针对性、可操作性、整体方案的完整性较差，不能满足采购人实际要求，根据响应情况得0-4分。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4包服务方案.docx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拟投入本项目人员 10 人（含）以上，人员信息完整（姓名、电话、身份证复印件）、分工明确计 5分； 拟投入本项目人员 5人（含）以上、10 人以下，人员信息完整（姓名、电话、身份证复印件）、分工明确计 3分；.拟投入本项目人员在 5 人以下，人员信息完整（姓名、电话、身份证复印件）、分工责任明确计1分；人员信息不完整或无职责分工的计0分。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4包项目团队.docx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售后服务包含：①培训方案、②售后服务机构情况、③售后服务响应时间与处理时间、④售后服务内容和操作流程、⑤售后服务质量保证措施。 1、提供了详细的售后方案，售后方案细致可行、售后有针对性，根据响应情况得10.1-15分。 2、提供了较详细的售后方案，售后方案基本满足招标文件要求，根据响应情况得3.1-10分。 3、所提供的售后不尽完整，针对性、可操作性、整体方案的完整性较差，不能满足采购人实际需求要求，根据响应情况得0-3分。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2021 年 1 月至开标前具有的水利信息化方面相关业绩，以合同复印件加盖公章为准， 每提供一份计 2分，此项共 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4包类似业绩.docx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合格供应商的有效报价得分=（评标基准价/投标报价）×30；评标基准价=满足文件要求且价格最低的供应商报价满足落实政府采购相关政策的，用扣除后的价格参与评审。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提供的货物全部由符合政策要求的企业制造。2.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总体实施方案需详细阐述陕西省防治区面积与人口复核、小流域治理单元下垫面复核更新、危险区复核与更新情况，分析现有省级山洪灾害监测预警平台中算据、算法及功能情况，详细阐述山洪“四预”建设的总体框架、技术路线及关键技术等内容，对于项目要求建设要点均有展开详细的阐述。 方案包含的要点齐全无缺漏项、内容与要点相符、每个要点均有展开详细的阐述，图文并茂且能够适用于本项目得8.1-10分；方案描述较详细，技术可行性一般3.1-8分；方案描述简单，技术可行性较差、存在较多缺陷的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5包服务方案.docx</w:t>
            </w:r>
          </w:p>
        </w:tc>
      </w:tr>
      <w:tr>
        <w:tc>
          <w:tcPr>
            <w:tcW w:type="dxa" w:w="831"/>
            <w:vMerge/>
          </w:tcPr>
          <w:p/>
        </w:tc>
        <w:tc>
          <w:tcPr>
            <w:tcW w:type="dxa" w:w="1661"/>
          </w:tcPr>
          <w:p>
            <w:pPr>
              <w:pStyle w:val="null3"/>
            </w:pPr>
            <w:r>
              <w:rPr>
                <w:rFonts w:ascii="仿宋_GB2312" w:hAnsi="仿宋_GB2312" w:cs="仿宋_GB2312" w:eastAsia="仿宋_GB2312"/>
              </w:rPr>
              <w:t>防御数据复核与更新</w:t>
            </w:r>
          </w:p>
        </w:tc>
        <w:tc>
          <w:tcPr>
            <w:tcW w:type="dxa" w:w="2492"/>
          </w:tcPr>
          <w:p>
            <w:pPr>
              <w:pStyle w:val="null3"/>
            </w:pPr>
            <w:r>
              <w:rPr>
                <w:rFonts w:ascii="仿宋_GB2312" w:hAnsi="仿宋_GB2312" w:cs="仿宋_GB2312" w:eastAsia="仿宋_GB2312"/>
              </w:rPr>
              <w:t>依托现有山洪平台已集成的防治区、防治村、危险区及小流域治理单元下垫面成果，提出针对于防治区面积与人口复核、小流域治理单元下垫面数据复核、危险区复核的详细实时方案，1、方案包含的要点齐全无缺漏项、内容与要点相符、每项工作均有展开详细的阐述和展示，图文并茂、技术明确且可行性强的得5.1-8分；2、方案描述较详细，技术可行性一般，得2.1-5分；3、方案描述简单，技术可行性较差、存在较多缺陷的，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5包服务方案.docx</w:t>
            </w:r>
          </w:p>
        </w:tc>
      </w:tr>
      <w:tr>
        <w:tc>
          <w:tcPr>
            <w:tcW w:type="dxa" w:w="831"/>
            <w:vMerge/>
          </w:tcPr>
          <w:p/>
        </w:tc>
        <w:tc>
          <w:tcPr>
            <w:tcW w:type="dxa" w:w="1661"/>
          </w:tcPr>
          <w:p>
            <w:pPr>
              <w:pStyle w:val="null3"/>
            </w:pPr>
            <w:r>
              <w:rPr>
                <w:rFonts w:ascii="仿宋_GB2312" w:hAnsi="仿宋_GB2312" w:cs="仿宋_GB2312" w:eastAsia="仿宋_GB2312"/>
              </w:rPr>
              <w:t>算据建设</w:t>
            </w:r>
          </w:p>
        </w:tc>
        <w:tc>
          <w:tcPr>
            <w:tcW w:type="dxa" w:w="2492"/>
          </w:tcPr>
          <w:p>
            <w:pPr>
              <w:pStyle w:val="null3"/>
            </w:pPr>
            <w:r>
              <w:rPr>
                <w:rFonts w:ascii="仿宋_GB2312" w:hAnsi="仿宋_GB2312" w:cs="仿宋_GB2312" w:eastAsia="仿宋_GB2312"/>
              </w:rPr>
              <w:t>依托现有省级山洪灾害监测预警平台，提出算据建设方案，包括①梳理集成基础数据②隐患调查数据更新集成③数据库表补充的详细方案。方案阐述详细，包含的要点齐全无缺漏项、内容与要点相符、技术明确且可行性强的1.6-3分；2、方案描述较详细，技术可行性一般0.6-1.5分；3、方案描述简单，技术可行性较差、存在较多缺陷的得0-0.5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5包服务方案.docx</w:t>
            </w:r>
          </w:p>
        </w:tc>
      </w:tr>
      <w:tr>
        <w:tc>
          <w:tcPr>
            <w:tcW w:type="dxa" w:w="831"/>
            <w:vMerge/>
          </w:tcPr>
          <w:p/>
        </w:tc>
        <w:tc>
          <w:tcPr>
            <w:tcW w:type="dxa" w:w="1661"/>
          </w:tcPr>
          <w:p>
            <w:pPr>
              <w:pStyle w:val="null3"/>
            </w:pPr>
            <w:r>
              <w:rPr>
                <w:rFonts w:ascii="仿宋_GB2312" w:hAnsi="仿宋_GB2312" w:cs="仿宋_GB2312" w:eastAsia="仿宋_GB2312"/>
              </w:rPr>
              <w:t>算法建设</w:t>
            </w:r>
          </w:p>
        </w:tc>
        <w:tc>
          <w:tcPr>
            <w:tcW w:type="dxa" w:w="2492"/>
          </w:tcPr>
          <w:p>
            <w:pPr>
              <w:pStyle w:val="null3"/>
            </w:pPr>
            <w:r>
              <w:rPr>
                <w:rFonts w:ascii="仿宋_GB2312" w:hAnsi="仿宋_GB2312" w:cs="仿宋_GB2312" w:eastAsia="仿宋_GB2312"/>
              </w:rPr>
              <w:t>根据项目要求提供详细的算法建设方案，包括①多源数据融合面雨量分析②预警模型优化升级及预警指标动态调整应用③简化洪水淹没分析模型构建。 1、方案包含的要点齐全无缺漏项、内容与要点相符、每个要点均有展开详细的阐述，图文并茂、技术明确且可行性强的得8.1-10分；2、方案描述较详细，技术可行性一般，得3.1-8分；3、方案描述简单，技术可行性较差、存在较多缺陷的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5包服务方案.docx</w:t>
            </w:r>
          </w:p>
        </w:tc>
      </w:tr>
      <w:tr>
        <w:tc>
          <w:tcPr>
            <w:tcW w:type="dxa" w:w="831"/>
            <w:vMerge/>
          </w:tcPr>
          <w:p/>
        </w:tc>
        <w:tc>
          <w:tcPr>
            <w:tcW w:type="dxa" w:w="1661"/>
          </w:tcPr>
          <w:p>
            <w:pPr>
              <w:pStyle w:val="null3"/>
            </w:pPr>
            <w:r>
              <w:rPr>
                <w:rFonts w:ascii="仿宋_GB2312" w:hAnsi="仿宋_GB2312" w:cs="仿宋_GB2312" w:eastAsia="仿宋_GB2312"/>
              </w:rPr>
              <w:t>“四预”功能优化</w:t>
            </w:r>
          </w:p>
        </w:tc>
        <w:tc>
          <w:tcPr>
            <w:tcW w:type="dxa" w:w="2492"/>
          </w:tcPr>
          <w:p>
            <w:pPr>
              <w:pStyle w:val="null3"/>
            </w:pPr>
            <w:r>
              <w:rPr>
                <w:rFonts w:ascii="仿宋_GB2312" w:hAnsi="仿宋_GB2312" w:cs="仿宋_GB2312" w:eastAsia="仿宋_GB2312"/>
              </w:rPr>
              <w:t>依托现有的升级山洪灾害监测预警平台及建设要求，提出详细的功能优化方案，包括①山洪灾害知识库和动态案例库构建②数字化预案生成③短信发送平台优化1、方案包含的要点齐全无缺漏项、内容与要点相符、每个功能均有展开详细的阐述和展示，图文并茂、技术明确且可行性强的得5.1-8分；2、方案描述较详细，技术可行性一般，得2.1-5分；3、方案描述简单，技术可行性较差、存在较多缺陷的，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5包服务方案.docx</w:t>
            </w:r>
          </w:p>
        </w:tc>
      </w:tr>
      <w:tr>
        <w:tc>
          <w:tcPr>
            <w:tcW w:type="dxa" w:w="831"/>
            <w:vMerge/>
          </w:tcPr>
          <w:p/>
        </w:tc>
        <w:tc>
          <w:tcPr>
            <w:tcW w:type="dxa" w:w="1661"/>
          </w:tcPr>
          <w:p>
            <w:pPr>
              <w:pStyle w:val="null3"/>
            </w:pPr>
            <w:r>
              <w:rPr>
                <w:rFonts w:ascii="仿宋_GB2312" w:hAnsi="仿宋_GB2312" w:cs="仿宋_GB2312" w:eastAsia="仿宋_GB2312"/>
              </w:rPr>
              <w:t>质量保证及培训方案</w:t>
            </w:r>
          </w:p>
        </w:tc>
        <w:tc>
          <w:tcPr>
            <w:tcW w:type="dxa" w:w="2492"/>
          </w:tcPr>
          <w:p>
            <w:pPr>
              <w:pStyle w:val="null3"/>
            </w:pPr>
            <w:r>
              <w:rPr>
                <w:rFonts w:ascii="仿宋_GB2312" w:hAnsi="仿宋_GB2312" w:cs="仿宋_GB2312" w:eastAsia="仿宋_GB2312"/>
              </w:rPr>
              <w:t>针对本项目及采购人实际需求提供详细具体可行的质量保证及培训方案。负责为使用单位培训操作及维护人员，并有完整的培训方案，列出详细的培训内容、培训方式等说明。评标委员会依据培训方案进行赋分。 1、提供了详细的质量保证及培训方案，方案细致可行、培训计划有针对性，根据响应情况得5.1-8分。 2、提供了较详细的质量保证及培训方案，方案与计划基本满足招标文件要求，根据响应情况得2.1-5分。 3、所提供的质量保证及培训方案不尽完整，针对性、可操作性、整体方案的完整性较差，不能满足采购人实际需求要求，根据响应情况得0-2分。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5包服务方案.docx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①项目负责人为水利工程相关专业正高级职称的得2分，副高级职称的得1分，承担过山洪灾害预报预警系统研发的业绩经历，每个得2分，本项最高8分。 ②除项目负责人外，其余主要成员为水利或水文（以毕业证或职称证为准）相关专业，高级职称每人得1分，中级职称每人得0.5分，本项最高得7分。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5包人员.docx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针对本项目及采购人实际需求提供详细具体可行的售后服务保障方案，包括①售后服务机构情况②售后服务人员安排③售后服务响应时间与处理时间④售后服务内容及方式相关内容。 1、提供了详细的售后服务方案，售后方案细致可行、售后计划有针对性，根据响应情况得3.1-5分。 2、提供了较详细的售后服务方案，售后方案基本满足招标文件要求，根据响应情况得1.1-3分。 3、所提供的售后及培训方案不尽完整，针对性、可操作性、整体方案的完整性较差，不能满足采购人实际需求要求，根据响应情况得0-1分。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5包服务方案.docx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2021年1月至开标前承担过类似山洪灾害系统建设或山洪灾害“四预”能力建设类项目业绩，以合同复印件加盖公章为准，每提供 一份计2分，此项最高12分。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5包类似业绩.docx</w:t>
            </w:r>
          </w:p>
        </w:tc>
      </w:tr>
      <w:tr>
        <w:tc>
          <w:tcPr>
            <w:tcW w:type="dxa" w:w="831"/>
            <w:vMerge/>
          </w:tcPr>
          <w:p/>
        </w:tc>
        <w:tc>
          <w:tcPr>
            <w:tcW w:type="dxa" w:w="1661"/>
          </w:tcPr>
          <w:p>
            <w:pPr>
              <w:pStyle w:val="null3"/>
            </w:pPr>
            <w:r>
              <w:rPr>
                <w:rFonts w:ascii="仿宋_GB2312" w:hAnsi="仿宋_GB2312" w:cs="仿宋_GB2312" w:eastAsia="仿宋_GB2312"/>
              </w:rPr>
              <w:t>服务与创新能力</w:t>
            </w:r>
          </w:p>
        </w:tc>
        <w:tc>
          <w:tcPr>
            <w:tcW w:type="dxa" w:w="2492"/>
          </w:tcPr>
          <w:p>
            <w:pPr>
              <w:pStyle w:val="null3"/>
            </w:pPr>
            <w:r>
              <w:rPr>
                <w:rFonts w:ascii="仿宋_GB2312" w:hAnsi="仿宋_GB2312" w:cs="仿宋_GB2312" w:eastAsia="仿宋_GB2312"/>
              </w:rPr>
              <w:t>1、获得山洪灾害相关省部级科技类奖项，每提供一项得0.5分，满分2分。 2、获得山洪灾害监测预警相关的水利先进实用技术推广证书，每提供一项得1分，满分2分。 3、作为主编单位或参编单位完成过防汛类相关标准（指国家标准、地方标准、行业标准），每提供一项得0.5分，满分2分。提供标准文本封面、反映起草或参编单位名称页的原件扫描件。 注：供应商须在投标文件中提交有效期内的证书复印件并加盖公章。如联合体投标，由牵头单位提供。</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5包服务方案.docx</w:t>
            </w:r>
          </w:p>
        </w:tc>
      </w:tr>
      <w:tr>
        <w:tc>
          <w:tcPr>
            <w:tcW w:type="dxa" w:w="831"/>
            <w:vMerge/>
          </w:tcPr>
          <w:p/>
        </w:tc>
        <w:tc>
          <w:tcPr>
            <w:tcW w:type="dxa" w:w="1661"/>
          </w:tcPr>
          <w:p>
            <w:pPr>
              <w:pStyle w:val="null3"/>
            </w:pPr>
            <w:r>
              <w:rPr>
                <w:rFonts w:ascii="仿宋_GB2312" w:hAnsi="仿宋_GB2312" w:cs="仿宋_GB2312" w:eastAsia="仿宋_GB2312"/>
              </w:rPr>
              <w:t>供应商相关开发能力</w:t>
            </w:r>
          </w:p>
        </w:tc>
        <w:tc>
          <w:tcPr>
            <w:tcW w:type="dxa" w:w="2492"/>
          </w:tcPr>
          <w:p>
            <w:pPr>
              <w:pStyle w:val="null3"/>
            </w:pPr>
            <w:r>
              <w:rPr>
                <w:rFonts w:ascii="仿宋_GB2312" w:hAnsi="仿宋_GB2312" w:cs="仿宋_GB2312" w:eastAsia="仿宋_GB2312"/>
              </w:rPr>
              <w:t>2021年以来获得山洪灾害“四预”系统相关软件著作权证书的，每提供1项得1分，最多得5分，需提供软件著作权证书复印件并加盖公章，未提供不得分。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5包服务方案.docx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 ×10； 评标基准价=满足文件要求且价格最低的供应商报价满足落实政府采购相关政策的，用扣除后的价格参与评审。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危险区基础信息更新及危险区信息集成重点、难点分析： 1.能够透彻分析本标包的重点、难点，并提供有相应解决措施及方案计8.1-10分； 2.能够提出本标包的重点、难点，但缺少相应解决措施及方案计3.1-8分； 3.无重点、难点分析或重点、难点分析不适用于本项目计0-3分。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危险区基础信息更新及危险区信息集成服务方案； 1.服务方案科学合理、架构完整、层次清楚计15.1-20分； 2.有服务方案，但缺少架构、层次模糊计5.1-15分； 3.服务方案不合理或服务方案不适用于本项目计0-5分。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1.质量控制措施科学完善、切实可行，能保障项目顺利实施，计8.1-10分； 2.能够提出质量控制措施，但质量控制措施不完善计3.1-8分； 3.无质量控制措施或质量控制措施不适用于本项目计0-3分。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1.对本项目本标段评价有详细的项目进度安排，工作安排完整详尽，能够按期完成成果递交计8.1-10分； 2.在实施本项目本标段过程中，项目进度安排不详细或不明确，无法确保按期完成成果递交计3.1-8分； 3.无项目进度安排或项目进度安排不适用于本项目计0-3分。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1.项目负责人为水利或水文水资源相关专业（以毕业证或者职称证专业为准），高级职称的得3分，中级职称的得1分，其余不得分。 2.（项目人员须为投标单位在职人员，提供证明材料，否则不计分。） 除项目负责人外，具有水利或水文水资源相关专业中级及以上职称的，每人计1分，此项最高得12分。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6包项目团队.docx</w:t>
            </w:r>
          </w:p>
        </w:tc>
      </w:tr>
      <w:tr>
        <w:tc>
          <w:tcPr>
            <w:tcW w:type="dxa" w:w="831"/>
            <w:vMerge/>
          </w:tcPr>
          <w:p/>
        </w:tc>
        <w:tc>
          <w:tcPr>
            <w:tcW w:type="dxa" w:w="1661"/>
          </w:tcPr>
          <w:p>
            <w:pPr>
              <w:pStyle w:val="null3"/>
            </w:pPr>
            <w:r>
              <w:rPr>
                <w:rFonts w:ascii="仿宋_GB2312" w:hAnsi="仿宋_GB2312" w:cs="仿宋_GB2312" w:eastAsia="仿宋_GB2312"/>
              </w:rPr>
              <w:t>售后服务保障体系</w:t>
            </w:r>
          </w:p>
        </w:tc>
        <w:tc>
          <w:tcPr>
            <w:tcW w:type="dxa" w:w="2492"/>
          </w:tcPr>
          <w:p>
            <w:pPr>
              <w:pStyle w:val="null3"/>
            </w:pPr>
            <w:r>
              <w:rPr>
                <w:rFonts w:ascii="仿宋_GB2312" w:hAnsi="仿宋_GB2312" w:cs="仿宋_GB2312" w:eastAsia="仿宋_GB2312"/>
              </w:rPr>
              <w:t>针对本项目及采购人实际需求提供详细具体可行的售后方案。负责为使用单位售后，并有完整的售后方案，列出详细的售后等说明。 1、提供了详细的售后方案，售后方案细致可行、售后有针对性，根据响应情况得8.1-10分。 2、提供了较详细的售后方案，售后方案基本满足招标文件要求，根据响应情况得3.1-8分。 3、所提供的售后不尽完整，针对性、可操作性、整体方案的完整性较差，不能满足采购人实际需求要求，根据响应情况得0-3分。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2021年1月至今类似项目业绩，每提供一份计3分。此项最高计15分。 注：业绩以合同复印件加盖公章为准，日期以合同签订日期为准。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6包类似业绩.docx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合格供应商的有效报价得分=（评标基准价/投标报价）×10；评标基准价=满足文件要求且价格最低的供应商报价满足落实政府采购相关政策的，用扣除后的价格参与评审。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1.能够透彻分析本标包的重点、难点，并提供有相应解决措施及方案计8.1-10分； 2.能够提出本标包的重点、难点，但缺少相应解决措施及方案计3.1-8分； 3.无重点、难点分析或重点、难点分析不适用于本项目计0-3分。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社会化发布及平台运维</w:t>
            </w:r>
          </w:p>
        </w:tc>
        <w:tc>
          <w:tcPr>
            <w:tcW w:type="dxa" w:w="2492"/>
          </w:tcPr>
          <w:p>
            <w:pPr>
              <w:pStyle w:val="null3"/>
            </w:pPr>
            <w:r>
              <w:rPr>
                <w:rFonts w:ascii="仿宋_GB2312" w:hAnsi="仿宋_GB2312" w:cs="仿宋_GB2312" w:eastAsia="仿宋_GB2312"/>
              </w:rPr>
              <w:t>1.针对本项目社会化发布及平台运维有明确的方案，且是遵循并优化现有的安全体系进行，方案详细具体计8.1-10分； 2.社会化发布及平台运维方案不明确或未针对本项目制定，基本满足采购要求计3.1-8分； 3.无具体方案，或不适用本项目计0-3分。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提醒消息服务分析</w:t>
            </w:r>
          </w:p>
        </w:tc>
        <w:tc>
          <w:tcPr>
            <w:tcW w:type="dxa" w:w="2492"/>
          </w:tcPr>
          <w:p>
            <w:pPr>
              <w:pStyle w:val="null3"/>
            </w:pPr>
            <w:r>
              <w:rPr>
                <w:rFonts w:ascii="仿宋_GB2312" w:hAnsi="仿宋_GB2312" w:cs="仿宋_GB2312" w:eastAsia="仿宋_GB2312"/>
              </w:rPr>
              <w:t>1.提醒消息服务分析合理安全，整体功能模块分级明确完善计8.1-10分； 2.能够针对本项目提出提醒消息服务分析，但整体功能模块分级模糊计3.1-8分； 3.无提醒消息服务分析，不适用于本项目计0-3分。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1.对本项目本标段评价有详细的项目进度安排，工作安排完整详尽，能够按期完成成果递交计8.1-10分； 2.在实施本项目本标段过程中，项目进度安排不详细或不明确，无法确保按期完成成果递交计3.1-8分； 3.无项目进度安排或项目进度安排不适用于本项目计0-3分。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1、拟派项目负责人和技术负责人具有电子工程或信息化（信息系统项目管理师）或通信工程或计算机类或系统集成等专业高级技术职称证书的得5分； 2、除项目经理和技术负责人外，其余主要人员具有电子工程或信息化（信息系统项目管理师）或通信工程或计算机类或系统集成等专业中级或以上职称的，每人得2分，最高得10分。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实施方案及保障措施</w:t>
            </w:r>
          </w:p>
        </w:tc>
        <w:tc>
          <w:tcPr>
            <w:tcW w:type="dxa" w:w="2492"/>
          </w:tcPr>
          <w:p>
            <w:pPr>
              <w:pStyle w:val="null3"/>
            </w:pPr>
            <w:r>
              <w:rPr>
                <w:rFonts w:ascii="仿宋_GB2312" w:hAnsi="仿宋_GB2312" w:cs="仿宋_GB2312" w:eastAsia="仿宋_GB2312"/>
              </w:rPr>
              <w:t>针对本项目提供详细的 ①.组织协调措施； ②.安全保障措施； ③. 应急方案及措施； ④.保密措施； ⑤. 验收措施。 1、以上内容完整、细致可行、有针对性，根据响应情况得11.1～15分。 2、以上内容较完整，基本满足招标文件要求，根据响应情况得3.1-11分 3、所提供的内容不尽完整，针对性、可操作性、整体方案的完整性较差，不能满足采购人实际要求，根据响应情况得0～3分。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 年1月至开标前类似项目业绩，以合同复印件加盖公章为准，日期以合同签订日期为准，每提供一份计2分，此项最高计10分。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合格供应商的有效报价得分=（评标基准价/投标报价）×20； 评标基准价=满足文件要求且价格最低的供应商报价满足落实政府采购相关政策的，用扣除后的价格参与评审。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详见附件：1包资格证明文件.docx</w:t>
      </w:r>
    </w:p>
    <w:p>
      <w:pPr>
        <w:pStyle w:val="null3"/>
        <w:ind w:firstLine="960"/>
      </w:pPr>
      <w:r>
        <w:rPr>
          <w:rFonts w:ascii="仿宋_GB2312" w:hAnsi="仿宋_GB2312" w:cs="仿宋_GB2312" w:eastAsia="仿宋_GB2312"/>
        </w:rPr>
        <w:t>详见附件：1包服务方案.docx</w:t>
      </w:r>
    </w:p>
    <w:p>
      <w:pPr>
        <w:pStyle w:val="null3"/>
        <w:ind w:firstLine="960"/>
      </w:pPr>
      <w:r>
        <w:rPr>
          <w:rFonts w:ascii="仿宋_GB2312" w:hAnsi="仿宋_GB2312" w:cs="仿宋_GB2312" w:eastAsia="仿宋_GB2312"/>
        </w:rPr>
        <w:t>详见附件：1包服务内容及服务要求应答表.docx</w:t>
      </w:r>
    </w:p>
    <w:p>
      <w:pPr>
        <w:pStyle w:val="null3"/>
        <w:ind w:firstLine="960"/>
      </w:pPr>
      <w:r>
        <w:rPr>
          <w:rFonts w:ascii="仿宋_GB2312" w:hAnsi="仿宋_GB2312" w:cs="仿宋_GB2312" w:eastAsia="仿宋_GB2312"/>
        </w:rPr>
        <w:t>详见附件：1包项目团队.docx</w:t>
      </w:r>
    </w:p>
    <w:p>
      <w:pPr>
        <w:pStyle w:val="null3"/>
        <w:ind w:firstLine="960"/>
      </w:pPr>
      <w:r>
        <w:rPr>
          <w:rFonts w:ascii="仿宋_GB2312" w:hAnsi="仿宋_GB2312" w:cs="仿宋_GB2312" w:eastAsia="仿宋_GB2312"/>
        </w:rPr>
        <w:t>详见附件：1包类似业绩.docx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详见附件：2包服务方案.docx</w:t>
      </w:r>
    </w:p>
    <w:p>
      <w:pPr>
        <w:pStyle w:val="null3"/>
        <w:ind w:firstLine="960"/>
      </w:pPr>
      <w:r>
        <w:rPr>
          <w:rFonts w:ascii="仿宋_GB2312" w:hAnsi="仿宋_GB2312" w:cs="仿宋_GB2312" w:eastAsia="仿宋_GB2312"/>
        </w:rPr>
        <w:t>详见附件：2包服务内容及服务要求应答表.docx</w:t>
      </w:r>
    </w:p>
    <w:p>
      <w:pPr>
        <w:pStyle w:val="null3"/>
        <w:ind w:firstLine="960"/>
      </w:pPr>
      <w:r>
        <w:rPr>
          <w:rFonts w:ascii="仿宋_GB2312" w:hAnsi="仿宋_GB2312" w:cs="仿宋_GB2312" w:eastAsia="仿宋_GB2312"/>
        </w:rPr>
        <w:t>详见附件：2包类似业绩.docx</w:t>
      </w:r>
    </w:p>
    <w:p>
      <w:pPr>
        <w:pStyle w:val="null3"/>
        <w:ind w:firstLine="960"/>
      </w:pPr>
      <w:r>
        <w:rPr>
          <w:rFonts w:ascii="仿宋_GB2312" w:hAnsi="仿宋_GB2312" w:cs="仿宋_GB2312" w:eastAsia="仿宋_GB2312"/>
        </w:rPr>
        <w:t>详见附件：2包项目团队.docx</w:t>
      </w:r>
    </w:p>
    <w:p>
      <w:pPr>
        <w:pStyle w:val="null3"/>
        <w:ind w:firstLine="960"/>
      </w:pPr>
      <w:r>
        <w:rPr>
          <w:rFonts w:ascii="仿宋_GB2312" w:hAnsi="仿宋_GB2312" w:cs="仿宋_GB2312" w:eastAsia="仿宋_GB2312"/>
        </w:rPr>
        <w:t>详见附件：2包资格证明文件.docx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详见附件：3包服务方案.docx</w:t>
      </w:r>
    </w:p>
    <w:p>
      <w:pPr>
        <w:pStyle w:val="null3"/>
        <w:ind w:firstLine="960"/>
      </w:pPr>
      <w:r>
        <w:rPr>
          <w:rFonts w:ascii="仿宋_GB2312" w:hAnsi="仿宋_GB2312" w:cs="仿宋_GB2312" w:eastAsia="仿宋_GB2312"/>
        </w:rPr>
        <w:t>详见附件：3包服务内容及服务要求应答表.docx</w:t>
      </w:r>
    </w:p>
    <w:p>
      <w:pPr>
        <w:pStyle w:val="null3"/>
        <w:ind w:firstLine="960"/>
      </w:pPr>
      <w:r>
        <w:rPr>
          <w:rFonts w:ascii="仿宋_GB2312" w:hAnsi="仿宋_GB2312" w:cs="仿宋_GB2312" w:eastAsia="仿宋_GB2312"/>
        </w:rPr>
        <w:t>详见附件：3包类似业绩.docx</w:t>
      </w:r>
    </w:p>
    <w:p>
      <w:pPr>
        <w:pStyle w:val="null3"/>
        <w:ind w:firstLine="960"/>
      </w:pPr>
      <w:r>
        <w:rPr>
          <w:rFonts w:ascii="仿宋_GB2312" w:hAnsi="仿宋_GB2312" w:cs="仿宋_GB2312" w:eastAsia="仿宋_GB2312"/>
        </w:rPr>
        <w:t>详见附件：3包项目团队.docx</w:t>
      </w:r>
    </w:p>
    <w:p>
      <w:pPr>
        <w:pStyle w:val="null3"/>
        <w:ind w:firstLine="960"/>
      </w:pPr>
      <w:r>
        <w:rPr>
          <w:rFonts w:ascii="仿宋_GB2312" w:hAnsi="仿宋_GB2312" w:cs="仿宋_GB2312" w:eastAsia="仿宋_GB2312"/>
        </w:rPr>
        <w:t>详见附件：3包资格证明文件.docx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详见附件：4包服务方案.docx</w:t>
      </w:r>
    </w:p>
    <w:p>
      <w:pPr>
        <w:pStyle w:val="null3"/>
        <w:ind w:firstLine="960"/>
      </w:pPr>
      <w:r>
        <w:rPr>
          <w:rFonts w:ascii="仿宋_GB2312" w:hAnsi="仿宋_GB2312" w:cs="仿宋_GB2312" w:eastAsia="仿宋_GB2312"/>
        </w:rPr>
        <w:t>详见附件：4包服务内容及服务要求应答表.docx</w:t>
      </w:r>
    </w:p>
    <w:p>
      <w:pPr>
        <w:pStyle w:val="null3"/>
        <w:ind w:firstLine="960"/>
      </w:pPr>
      <w:r>
        <w:rPr>
          <w:rFonts w:ascii="仿宋_GB2312" w:hAnsi="仿宋_GB2312" w:cs="仿宋_GB2312" w:eastAsia="仿宋_GB2312"/>
        </w:rPr>
        <w:t>详见附件：4包类似业绩.docx</w:t>
      </w:r>
    </w:p>
    <w:p>
      <w:pPr>
        <w:pStyle w:val="null3"/>
        <w:ind w:firstLine="960"/>
      </w:pPr>
      <w:r>
        <w:rPr>
          <w:rFonts w:ascii="仿宋_GB2312" w:hAnsi="仿宋_GB2312" w:cs="仿宋_GB2312" w:eastAsia="仿宋_GB2312"/>
        </w:rPr>
        <w:t>详见附件：4包项目团队.docx</w:t>
      </w:r>
    </w:p>
    <w:p>
      <w:pPr>
        <w:pStyle w:val="null3"/>
        <w:ind w:firstLine="960"/>
      </w:pPr>
      <w:r>
        <w:rPr>
          <w:rFonts w:ascii="仿宋_GB2312" w:hAnsi="仿宋_GB2312" w:cs="仿宋_GB2312" w:eastAsia="仿宋_GB2312"/>
        </w:rPr>
        <w:t>详见附件：4包资格证明文件.docx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详见附件：5包服务方案.docx</w:t>
      </w:r>
    </w:p>
    <w:p>
      <w:pPr>
        <w:pStyle w:val="null3"/>
        <w:ind w:firstLine="960"/>
      </w:pPr>
      <w:r>
        <w:rPr>
          <w:rFonts w:ascii="仿宋_GB2312" w:hAnsi="仿宋_GB2312" w:cs="仿宋_GB2312" w:eastAsia="仿宋_GB2312"/>
        </w:rPr>
        <w:t>详见附件：5包服务内容及服务要求应答表.docx</w:t>
      </w:r>
    </w:p>
    <w:p>
      <w:pPr>
        <w:pStyle w:val="null3"/>
        <w:ind w:firstLine="960"/>
      </w:pPr>
      <w:r>
        <w:rPr>
          <w:rFonts w:ascii="仿宋_GB2312" w:hAnsi="仿宋_GB2312" w:cs="仿宋_GB2312" w:eastAsia="仿宋_GB2312"/>
        </w:rPr>
        <w:t>详见附件：5包类似业绩.docx</w:t>
      </w:r>
    </w:p>
    <w:p>
      <w:pPr>
        <w:pStyle w:val="null3"/>
        <w:ind w:firstLine="960"/>
      </w:pPr>
      <w:r>
        <w:rPr>
          <w:rFonts w:ascii="仿宋_GB2312" w:hAnsi="仿宋_GB2312" w:cs="仿宋_GB2312" w:eastAsia="仿宋_GB2312"/>
        </w:rPr>
        <w:t>详见附件：5包人员.docx</w:t>
      </w:r>
    </w:p>
    <w:p>
      <w:pPr>
        <w:pStyle w:val="null3"/>
        <w:ind w:firstLine="960"/>
      </w:pPr>
      <w:r>
        <w:rPr>
          <w:rFonts w:ascii="仿宋_GB2312" w:hAnsi="仿宋_GB2312" w:cs="仿宋_GB2312" w:eastAsia="仿宋_GB2312"/>
        </w:rPr>
        <w:t>详见附件：5包资格证明文件.docx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详见附件：6服务方案.docx</w:t>
      </w:r>
    </w:p>
    <w:p>
      <w:pPr>
        <w:pStyle w:val="null3"/>
        <w:ind w:firstLine="960"/>
      </w:pPr>
      <w:r>
        <w:rPr>
          <w:rFonts w:ascii="仿宋_GB2312" w:hAnsi="仿宋_GB2312" w:cs="仿宋_GB2312" w:eastAsia="仿宋_GB2312"/>
        </w:rPr>
        <w:t>详见附件：6包服务内容及服务要求应答表.docx</w:t>
      </w:r>
    </w:p>
    <w:p>
      <w:pPr>
        <w:pStyle w:val="null3"/>
        <w:ind w:firstLine="960"/>
      </w:pPr>
      <w:r>
        <w:rPr>
          <w:rFonts w:ascii="仿宋_GB2312" w:hAnsi="仿宋_GB2312" w:cs="仿宋_GB2312" w:eastAsia="仿宋_GB2312"/>
        </w:rPr>
        <w:t>详见附件：6包类似业绩.docx</w:t>
      </w:r>
    </w:p>
    <w:p>
      <w:pPr>
        <w:pStyle w:val="null3"/>
        <w:ind w:firstLine="960"/>
      </w:pPr>
      <w:r>
        <w:rPr>
          <w:rFonts w:ascii="仿宋_GB2312" w:hAnsi="仿宋_GB2312" w:cs="仿宋_GB2312" w:eastAsia="仿宋_GB2312"/>
        </w:rPr>
        <w:t>详见附件：6包项目团队.docx</w:t>
      </w:r>
    </w:p>
    <w:p>
      <w:pPr>
        <w:pStyle w:val="null3"/>
        <w:ind w:firstLine="960"/>
      </w:pPr>
      <w:r>
        <w:rPr>
          <w:rFonts w:ascii="仿宋_GB2312" w:hAnsi="仿宋_GB2312" w:cs="仿宋_GB2312" w:eastAsia="仿宋_GB2312"/>
        </w:rPr>
        <w:t>详见附件：6包资格证明文件.docx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