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版本号：ZX2026-08-0220260812001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“陕西福彩学院”培训服务项目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ZX2026-08-02</w:t>
      </w:r>
      <w:r>
        <w:br/>
      </w:r>
      <w:r>
        <w:br/>
      </w:r>
      <w:r>
        <w:br/>
      </w:r>
    </w:p>
    <w:p>
      <w:pPr>
        <w:pStyle w:val="null3"/>
        <w:jc w:val="center"/>
        <w:outlineLvl w:val="2"/>
      </w:pPr>
      <w:r>
        <w:rPr>
          <w:rFonts w:ascii="仿宋_GB2312" w:hAnsi="仿宋_GB2312" w:cs="仿宋_GB2312" w:eastAsia="仿宋_GB2312"/>
          <w:sz w:val="28"/>
          <w:b/>
        </w:rPr>
        <w:t>陕西省福利彩票发行中心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“陕西福彩学院”培训服务项目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ZX2026-08-02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“陕西福彩学院”培训服务项目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“陕西福彩学院”培训服务项目，1项，具体内容详见采购文件第3章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采购包1（“陕西福彩学院”培训服务项目）：属于专门面向中小企业采购。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采购包1保证金金额：5,080.20元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代理服务费收费标准：参照国家计委计价格[2002]1980号及发改办价格[2003]857号通知规定收取，低于陆仟元的按陆仟元收取。由中标人支付代理服务费。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陕西省福利彩票发行中心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按照磋商文件、成交供应商响应文件及合同约定执行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“陕西福彩学院”培训服务项目，1项，具体内容详见采购文件第3章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345,000.00</w:t>
      </w:r>
    </w:p>
    <w:p>
      <w:pPr>
        <w:pStyle w:val="null3"/>
      </w:pPr>
      <w:r>
        <w:rPr>
          <w:rFonts w:ascii="仿宋_GB2312" w:hAnsi="仿宋_GB2312" w:cs="仿宋_GB2312" w:eastAsia="仿宋_GB2312"/>
        </w:rPr>
        <w:t>采购包最高限价（元）: 345,000.00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“陕西福彩学院”培训服务项目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标的名称：“陕西福彩学院”培训服务项目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一、</w:t>
            </w:r>
            <w:r>
              <w:rPr>
                <w:rFonts w:ascii="仿宋_GB2312" w:hAnsi="仿宋_GB2312" w:cs="仿宋_GB2312" w:eastAsia="仿宋_GB2312"/>
                <w:sz w:val="32"/>
              </w:rPr>
              <w:t>项目基本信息</w:t>
            </w:r>
          </w:p>
          <w:p>
            <w:pPr>
              <w:pStyle w:val="null3"/>
              <w:ind w:firstLine="640"/>
              <w:jc w:val="both"/>
            </w:pPr>
            <w:r>
              <w:rPr>
                <w:rFonts w:ascii="仿宋_GB2312" w:hAnsi="仿宋_GB2312" w:cs="仿宋_GB2312" w:eastAsia="仿宋_GB2312"/>
                <w:sz w:val="32"/>
              </w:rPr>
              <w:t>为坚持双线并行工作方针，稳步推动我省福利彩票培训体系规范化、系统化、专业化建设，我中心拟继续开展</w:t>
            </w:r>
            <w:r>
              <w:rPr>
                <w:rFonts w:ascii="仿宋_GB2312" w:hAnsi="仿宋_GB2312" w:cs="仿宋_GB2312" w:eastAsia="仿宋_GB2312"/>
                <w:sz w:val="32"/>
              </w:rPr>
              <w:t>“陕西福彩学院”培训服务项目采购工作，</w:t>
            </w:r>
            <w:r>
              <w:rPr>
                <w:rFonts w:ascii="仿宋_GB2312" w:hAnsi="仿宋_GB2312" w:cs="仿宋_GB2312" w:eastAsia="仿宋_GB2312"/>
                <w:sz w:val="32"/>
              </w:rPr>
              <w:t>主要内容</w:t>
            </w:r>
            <w:r>
              <w:rPr>
                <w:rFonts w:ascii="仿宋_GB2312" w:hAnsi="仿宋_GB2312" w:cs="仿宋_GB2312" w:eastAsia="仿宋_GB2312"/>
                <w:sz w:val="32"/>
              </w:rPr>
              <w:t>包括培训平台</w:t>
            </w:r>
            <w:r>
              <w:rPr>
                <w:rFonts w:ascii="仿宋_GB2312" w:hAnsi="仿宋_GB2312" w:cs="仿宋_GB2312" w:eastAsia="仿宋_GB2312"/>
                <w:sz w:val="32"/>
              </w:rPr>
              <w:t>授权</w:t>
            </w:r>
            <w:r>
              <w:rPr>
                <w:rFonts w:ascii="仿宋_GB2312" w:hAnsi="仿宋_GB2312" w:cs="仿宋_GB2312" w:eastAsia="仿宋_GB2312"/>
                <w:sz w:val="32"/>
              </w:rPr>
              <w:t>、培训课程</w:t>
            </w:r>
            <w:r>
              <w:rPr>
                <w:rFonts w:ascii="仿宋_GB2312" w:hAnsi="仿宋_GB2312" w:cs="仿宋_GB2312" w:eastAsia="仿宋_GB2312"/>
                <w:sz w:val="32"/>
              </w:rPr>
              <w:t>供应</w:t>
            </w:r>
            <w:r>
              <w:rPr>
                <w:rFonts w:ascii="仿宋_GB2312" w:hAnsi="仿宋_GB2312" w:cs="仿宋_GB2312" w:eastAsia="仿宋_GB2312"/>
                <w:sz w:val="32"/>
              </w:rPr>
              <w:t>、培训</w:t>
            </w:r>
            <w:r>
              <w:rPr>
                <w:rFonts w:ascii="仿宋_GB2312" w:hAnsi="仿宋_GB2312" w:cs="仿宋_GB2312" w:eastAsia="仿宋_GB2312"/>
                <w:sz w:val="32"/>
              </w:rPr>
              <w:t>业务支持</w:t>
            </w:r>
            <w:r>
              <w:rPr>
                <w:rFonts w:ascii="仿宋_GB2312" w:hAnsi="仿宋_GB2312" w:cs="仿宋_GB2312" w:eastAsia="仿宋_GB2312"/>
                <w:sz w:val="32"/>
              </w:rPr>
              <w:t>、</w:t>
            </w:r>
            <w:r>
              <w:rPr>
                <w:rFonts w:ascii="仿宋_GB2312" w:hAnsi="仿宋_GB2312" w:cs="仿宋_GB2312" w:eastAsia="仿宋_GB2312"/>
                <w:sz w:val="32"/>
              </w:rPr>
              <w:t>平台</w:t>
            </w:r>
            <w:r>
              <w:rPr>
                <w:rFonts w:ascii="仿宋_GB2312" w:hAnsi="仿宋_GB2312" w:cs="仿宋_GB2312" w:eastAsia="仿宋_GB2312"/>
                <w:sz w:val="32"/>
              </w:rPr>
              <w:t>运维服务等。</w:t>
            </w:r>
          </w:p>
          <w:p>
            <w:pPr>
              <w:pStyle w:val="null3"/>
              <w:jc w:val="both"/>
            </w:pPr>
            <w:r>
              <w:rPr>
                <w:rFonts w:ascii="仿宋_GB2312" w:hAnsi="仿宋_GB2312" w:cs="仿宋_GB2312" w:eastAsia="仿宋_GB2312"/>
                <w:sz w:val="32"/>
              </w:rPr>
              <w:t>二、</w:t>
            </w:r>
            <w:r>
              <w:rPr>
                <w:rFonts w:ascii="仿宋_GB2312" w:hAnsi="仿宋_GB2312" w:cs="仿宋_GB2312" w:eastAsia="仿宋_GB2312"/>
                <w:sz w:val="32"/>
              </w:rPr>
              <w:t>采购内容</w:t>
            </w:r>
          </w:p>
          <w:p>
            <w:pPr>
              <w:pStyle w:val="null3"/>
              <w:ind w:firstLine="640"/>
              <w:jc w:val="both"/>
            </w:pPr>
            <w:r>
              <w:rPr>
                <w:rFonts w:ascii="仿宋_GB2312" w:hAnsi="仿宋_GB2312" w:cs="仿宋_GB2312" w:eastAsia="仿宋_GB2312"/>
                <w:sz w:val="32"/>
              </w:rPr>
              <w:t>（一）提供能够满足我省当前线上培训业务需求的培训平台或载体一套，在项目期内提供相应的运营、维护及培训服务。</w:t>
            </w:r>
          </w:p>
          <w:p>
            <w:pPr>
              <w:pStyle w:val="null3"/>
              <w:ind w:firstLine="640"/>
              <w:jc w:val="both"/>
            </w:pPr>
            <w:r>
              <w:rPr>
                <w:rFonts w:ascii="仿宋_GB2312" w:hAnsi="仿宋_GB2312" w:cs="仿宋_GB2312" w:eastAsia="仿宋_GB2312"/>
                <w:sz w:val="32"/>
              </w:rPr>
              <w:t>（二）项目执行期间，每周提供</w:t>
            </w:r>
            <w:r>
              <w:rPr>
                <w:rFonts w:ascii="仿宋_GB2312" w:hAnsi="仿宋_GB2312" w:cs="仿宋_GB2312" w:eastAsia="仿宋_GB2312"/>
                <w:sz w:val="32"/>
              </w:rPr>
              <w:t>1部视频微课，内容涵盖责任彩票、全票种销售技巧、营销策略、彩民服务、政策法规等，全年不少于50部，单课时长不低于3分钟。</w:t>
            </w:r>
          </w:p>
          <w:p>
            <w:pPr>
              <w:pStyle w:val="null3"/>
              <w:ind w:firstLine="640"/>
              <w:jc w:val="both"/>
            </w:pPr>
            <w:r>
              <w:rPr>
                <w:rFonts w:ascii="仿宋_GB2312" w:hAnsi="仿宋_GB2312" w:cs="仿宋_GB2312" w:eastAsia="仿宋_GB2312"/>
                <w:sz w:val="32"/>
              </w:rPr>
              <w:t>（三）提供线上直播培训课程，并为中、省各类营销、派奖及推广活动提供直播培训服务，项目期内不少于</w:t>
            </w:r>
            <w:r>
              <w:rPr>
                <w:rFonts w:ascii="仿宋_GB2312" w:hAnsi="仿宋_GB2312" w:cs="仿宋_GB2312" w:eastAsia="仿宋_GB2312"/>
                <w:sz w:val="32"/>
              </w:rPr>
              <w:t>8场，单场时长不低于1.5小时。</w:t>
            </w:r>
          </w:p>
          <w:p>
            <w:pPr>
              <w:pStyle w:val="null3"/>
              <w:ind w:firstLine="640"/>
              <w:jc w:val="both"/>
            </w:pPr>
            <w:r>
              <w:rPr>
                <w:rFonts w:ascii="仿宋_GB2312" w:hAnsi="仿宋_GB2312" w:cs="仿宋_GB2312" w:eastAsia="仿宋_GB2312"/>
                <w:sz w:val="32"/>
              </w:rPr>
              <w:t>（四）项目执行期间，提供</w:t>
            </w:r>
            <w:r>
              <w:rPr>
                <w:rFonts w:ascii="仿宋_GB2312" w:hAnsi="仿宋_GB2312" w:cs="仿宋_GB2312" w:eastAsia="仿宋_GB2312"/>
                <w:sz w:val="32"/>
              </w:rPr>
              <w:t>30场全国知名讲师线下集中培训，服务内容包括课程策划、讲师邀请、行程安排、交通食宿、课酬支付等，单场时长不低于2.5小时。</w:t>
            </w:r>
          </w:p>
          <w:p>
            <w:pPr>
              <w:pStyle w:val="null3"/>
              <w:ind w:firstLine="640"/>
              <w:jc w:val="both"/>
            </w:pPr>
            <w:r>
              <w:rPr>
                <w:rFonts w:ascii="仿宋_GB2312" w:hAnsi="仿宋_GB2312" w:cs="仿宋_GB2312" w:eastAsia="仿宋_GB2312"/>
                <w:sz w:val="32"/>
              </w:rPr>
              <w:t>（五）项目执行期间，为各类重大营销、宣传、培训活动制作</w:t>
            </w:r>
            <w:r>
              <w:rPr>
                <w:rFonts w:ascii="仿宋_GB2312" w:hAnsi="仿宋_GB2312" w:cs="仿宋_GB2312" w:eastAsia="仿宋_GB2312"/>
                <w:sz w:val="32"/>
              </w:rPr>
              <w:t>MG动画视频课程，全年不少于3部。</w:t>
            </w:r>
          </w:p>
          <w:p>
            <w:pPr>
              <w:pStyle w:val="null3"/>
              <w:ind w:firstLine="640"/>
              <w:jc w:val="both"/>
            </w:pPr>
            <w:r>
              <w:rPr>
                <w:rFonts w:ascii="仿宋_GB2312" w:hAnsi="仿宋_GB2312" w:cs="仿宋_GB2312" w:eastAsia="仿宋_GB2312"/>
                <w:sz w:val="32"/>
              </w:rPr>
              <w:t>（六）项目执行期间，结合我省福彩行业发展规划与市场需求，针对性开展原创课程研发活动，全年预计研发</w:t>
            </w:r>
            <w:r>
              <w:rPr>
                <w:rFonts w:ascii="仿宋_GB2312" w:hAnsi="仿宋_GB2312" w:cs="仿宋_GB2312" w:eastAsia="仿宋_GB2312"/>
                <w:sz w:val="32"/>
              </w:rPr>
              <w:t>30门课程。</w:t>
            </w:r>
          </w:p>
          <w:p>
            <w:pPr>
              <w:pStyle w:val="null3"/>
              <w:jc w:val="both"/>
            </w:pPr>
            <w:r>
              <w:rPr>
                <w:rFonts w:ascii="仿宋_GB2312" w:hAnsi="仿宋_GB2312" w:cs="仿宋_GB2312" w:eastAsia="仿宋_GB2312"/>
                <w:sz w:val="32"/>
              </w:rPr>
              <w:t>三、</w:t>
            </w:r>
            <w:r>
              <w:rPr>
                <w:rFonts w:ascii="仿宋_GB2312" w:hAnsi="仿宋_GB2312" w:cs="仿宋_GB2312" w:eastAsia="仿宋_GB2312"/>
                <w:sz w:val="32"/>
              </w:rPr>
              <w:t>技术要求</w:t>
            </w:r>
          </w:p>
          <w:p>
            <w:pPr>
              <w:pStyle w:val="null3"/>
              <w:ind w:firstLine="640"/>
              <w:jc w:val="both"/>
            </w:pPr>
            <w:r>
              <w:rPr>
                <w:rFonts w:ascii="仿宋_GB2312" w:hAnsi="仿宋_GB2312" w:cs="仿宋_GB2312" w:eastAsia="仿宋_GB2312"/>
                <w:sz w:val="32"/>
              </w:rPr>
              <w:t>前端（用户端）</w:t>
            </w:r>
          </w:p>
          <w:p>
            <w:pPr>
              <w:pStyle w:val="null3"/>
              <w:ind w:firstLine="640"/>
              <w:jc w:val="both"/>
            </w:pPr>
            <w:r>
              <w:rPr>
                <w:rFonts w:ascii="仿宋_GB2312" w:hAnsi="仿宋_GB2312" w:cs="仿宋_GB2312" w:eastAsia="仿宋_GB2312"/>
                <w:sz w:val="32"/>
              </w:rPr>
              <w:t>1、用户登录</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1）支持各类主流移动端设备、PC端常见浏览器。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2）支持不依托于浏览器的密码保存和自动登录功能。</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3）用户登录后，可自行修改登录密码。</w:t>
            </w:r>
          </w:p>
          <w:p>
            <w:pPr>
              <w:pStyle w:val="null3"/>
              <w:ind w:firstLine="640"/>
              <w:jc w:val="both"/>
            </w:pPr>
            <w:r>
              <w:rPr>
                <w:rFonts w:ascii="仿宋_GB2312" w:hAnsi="仿宋_GB2312" w:cs="仿宋_GB2312" w:eastAsia="仿宋_GB2312"/>
                <w:sz w:val="32"/>
              </w:rPr>
              <w:t>2、游客访问</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1）用户无需登录即可直接访问平台并获得游客等级的浏览权限。</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2）访问超出游客权限的内容时则提示用户登录。</w:t>
            </w:r>
          </w:p>
          <w:p>
            <w:pPr>
              <w:pStyle w:val="null3"/>
              <w:ind w:firstLine="640"/>
              <w:jc w:val="both"/>
            </w:pPr>
            <w:r>
              <w:rPr>
                <w:rFonts w:ascii="仿宋_GB2312" w:hAnsi="仿宋_GB2312" w:cs="仿宋_GB2312" w:eastAsia="仿宋_GB2312"/>
                <w:sz w:val="32"/>
              </w:rPr>
              <w:t>3、外部访问</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1）用户可通过独立发布的课程链接、二维码访问或登录平台。</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2）用户可通过陕西福彩微信公众号、陕西福利彩票APP中嵌入的平台链接访问或登录平台。</w:t>
            </w:r>
          </w:p>
          <w:p>
            <w:pPr>
              <w:pStyle w:val="null3"/>
              <w:ind w:firstLine="640"/>
              <w:jc w:val="both"/>
            </w:pPr>
            <w:r>
              <w:rPr>
                <w:rFonts w:ascii="仿宋_GB2312" w:hAnsi="仿宋_GB2312" w:cs="仿宋_GB2312" w:eastAsia="仿宋_GB2312"/>
                <w:sz w:val="32"/>
              </w:rPr>
              <w:t>4、课程直播</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1）用户可在直播时间内进入符合自身权限级别的直播间参与学习。</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2）登录用户可通过留言、语音等方式与讲师或工作人员互动，游客不可进行互动。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3）直播最大并发数不低于10000。</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4）支持720P或更高的直播分辨率。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5）直播完成后自动转化为权限等级相同的点播课程。</w:t>
            </w:r>
          </w:p>
          <w:p>
            <w:pPr>
              <w:pStyle w:val="null3"/>
              <w:ind w:firstLine="640"/>
              <w:jc w:val="both"/>
            </w:pPr>
            <w:r>
              <w:rPr>
                <w:rFonts w:ascii="仿宋_GB2312" w:hAnsi="仿宋_GB2312" w:cs="仿宋_GB2312" w:eastAsia="仿宋_GB2312"/>
                <w:sz w:val="32"/>
              </w:rPr>
              <w:t>5、课程点播</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1）任意用户可在任意时间浏览符合自身权限级别的点播课程。</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2）最大并发数不低于20000。</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3）支持720P或更高的视频分辨率。</w:t>
            </w:r>
          </w:p>
          <w:p>
            <w:pPr>
              <w:pStyle w:val="null3"/>
              <w:ind w:firstLine="640"/>
              <w:jc w:val="both"/>
            </w:pPr>
            <w:r>
              <w:rPr>
                <w:rFonts w:ascii="仿宋_GB2312" w:hAnsi="仿宋_GB2312" w:cs="仿宋_GB2312" w:eastAsia="仿宋_GB2312"/>
                <w:sz w:val="32"/>
              </w:rPr>
              <w:t>6、课程评论</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1）用户可对自身观看达一定时长比例的直播、点播课程进行打分评价。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2）用户不可对未观看过的课程进行评价。</w:t>
            </w:r>
          </w:p>
          <w:p>
            <w:pPr>
              <w:pStyle w:val="null3"/>
              <w:ind w:firstLine="640"/>
              <w:jc w:val="both"/>
            </w:pPr>
            <w:r>
              <w:rPr>
                <w:rFonts w:ascii="仿宋_GB2312" w:hAnsi="仿宋_GB2312" w:cs="仿宋_GB2312" w:eastAsia="仿宋_GB2312"/>
                <w:sz w:val="32"/>
              </w:rPr>
              <w:t>7、线上考核</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1）用户登录后，可以查看并参与符合自身权限级别的线上练习。</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2）练习完成后可以查看错题与正确答案。</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3）用户可在指定的考试时间内登录平台参与各级管理机构组织的在线考核。</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4）考核完成后可以查看自身已完成的试卷。</w:t>
            </w:r>
          </w:p>
          <w:p>
            <w:pPr>
              <w:pStyle w:val="null3"/>
              <w:ind w:firstLine="640"/>
              <w:jc w:val="both"/>
            </w:pPr>
            <w:r>
              <w:rPr>
                <w:rFonts w:ascii="仿宋_GB2312" w:hAnsi="仿宋_GB2312" w:cs="仿宋_GB2312" w:eastAsia="仿宋_GB2312"/>
                <w:sz w:val="32"/>
              </w:rPr>
              <w:t>8、线上调研</w:t>
            </w:r>
          </w:p>
          <w:p>
            <w:pPr>
              <w:pStyle w:val="null3"/>
              <w:ind w:firstLine="640"/>
              <w:jc w:val="both"/>
            </w:pPr>
            <w:r>
              <w:rPr>
                <w:rFonts w:ascii="仿宋_GB2312" w:hAnsi="仿宋_GB2312" w:cs="仿宋_GB2312" w:eastAsia="仿宋_GB2312"/>
                <w:sz w:val="32"/>
              </w:rPr>
              <w:t>游客和登录用户均可参与符合自身权限级别的在线问卷调查。</w:t>
            </w:r>
          </w:p>
          <w:p>
            <w:pPr>
              <w:pStyle w:val="null3"/>
              <w:ind w:firstLine="640"/>
              <w:jc w:val="both"/>
            </w:pPr>
            <w:r>
              <w:rPr>
                <w:rFonts w:ascii="仿宋_GB2312" w:hAnsi="仿宋_GB2312" w:cs="仿宋_GB2312" w:eastAsia="仿宋_GB2312"/>
                <w:sz w:val="32"/>
              </w:rPr>
              <w:t>9、任务接收</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1）用户登录后可接收并查看各级管理员分配的学习、考核、问卷调查等任务。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2）用户能够查看自身每项任务的完成情况、当前进度和任务期限。</w:t>
            </w:r>
          </w:p>
          <w:p>
            <w:pPr>
              <w:pStyle w:val="null3"/>
              <w:ind w:firstLine="640"/>
              <w:jc w:val="both"/>
            </w:pPr>
            <w:r>
              <w:rPr>
                <w:rFonts w:ascii="仿宋_GB2312" w:hAnsi="仿宋_GB2312" w:cs="仿宋_GB2312" w:eastAsia="仿宋_GB2312"/>
                <w:sz w:val="32"/>
              </w:rPr>
              <w:t>10、积分获取</w:t>
            </w:r>
          </w:p>
          <w:p>
            <w:pPr>
              <w:pStyle w:val="null3"/>
              <w:ind w:firstLine="640"/>
              <w:jc w:val="both"/>
            </w:pPr>
            <w:r>
              <w:rPr>
                <w:rFonts w:ascii="仿宋_GB2312" w:hAnsi="仿宋_GB2312" w:cs="仿宋_GB2312" w:eastAsia="仿宋_GB2312"/>
                <w:sz w:val="32"/>
              </w:rPr>
              <w:t>用户登录后，可通过后台设置的各项任务获取相应平台积分，并可随时查看自己的积分。</w:t>
            </w:r>
          </w:p>
          <w:p>
            <w:pPr>
              <w:pStyle w:val="null3"/>
              <w:ind w:firstLine="640"/>
              <w:jc w:val="both"/>
            </w:pPr>
            <w:r>
              <w:rPr>
                <w:rFonts w:ascii="仿宋_GB2312" w:hAnsi="仿宋_GB2312" w:cs="仿宋_GB2312" w:eastAsia="仿宋_GB2312"/>
                <w:sz w:val="32"/>
              </w:rPr>
              <w:t>后台（管理端）</w:t>
            </w:r>
          </w:p>
          <w:p>
            <w:pPr>
              <w:pStyle w:val="null3"/>
              <w:ind w:firstLine="640"/>
              <w:jc w:val="both"/>
            </w:pPr>
            <w:r>
              <w:rPr>
                <w:rFonts w:ascii="仿宋_GB2312" w:hAnsi="仿宋_GB2312" w:cs="仿宋_GB2312" w:eastAsia="仿宋_GB2312"/>
                <w:sz w:val="32"/>
              </w:rPr>
              <w:t>11、用户账户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1）支持单独和批量导入、创建、编辑、删除用户账户。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2）账户信息中应至少包含以下可编辑字段：用户名、登录密码、所属用户组、联系电话、所属市（区）、县（区）、自定义标签或其他类似功能（如标记站点是否开通快乐8）。</w:t>
            </w:r>
          </w:p>
          <w:p>
            <w:pPr>
              <w:pStyle w:val="null3"/>
              <w:ind w:firstLine="640"/>
              <w:jc w:val="both"/>
            </w:pPr>
            <w:r>
              <w:rPr>
                <w:rFonts w:ascii="仿宋_GB2312" w:hAnsi="仿宋_GB2312" w:cs="仿宋_GB2312" w:eastAsia="仿宋_GB2312"/>
                <w:sz w:val="32"/>
              </w:rPr>
              <w:t>12、用户分组</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1）支持创建、编辑和删除用户组。</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2）支持5级或更高层级用户分组。</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3）支持对不同用户组分配不同角色并赋予相应权限。</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4）支持根据用户账户信息中的任意可编辑字段进行筛选和分组。</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5）用户组权限应符合向下管理原则（如市中心管理员可对其下辖区县用户进行管理，但无权查看和管理省级用户）。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6）同级用户组应符合权限分隔原则（如西安市管理员和宝鸡市管理员可以各自对其辖区内用户进行管理，但彼此无法查看和管理对方辖区的用户）。</w:t>
            </w:r>
          </w:p>
          <w:p>
            <w:pPr>
              <w:pStyle w:val="null3"/>
              <w:ind w:firstLine="640"/>
              <w:jc w:val="both"/>
            </w:pPr>
            <w:r>
              <w:rPr>
                <w:rFonts w:ascii="仿宋_GB2312" w:hAnsi="仿宋_GB2312" w:cs="仿宋_GB2312" w:eastAsia="仿宋_GB2312"/>
                <w:sz w:val="32"/>
              </w:rPr>
              <w:t>13、培训师管理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1）支持搜索、录入、编辑、删除培训师信息，支持批量导入、批量删除培训师信息。</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2）支持录入培训师姓名、性别、年龄、籍贯、民族、学历、职位、电话、住址、银行账号、个人简历、培训师等级、主要培训方向等基础信息。</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3）支持上传培训师照片、身份证件、培训师证书等图像资料。</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4）支持创建、编辑或删除培训师分组，支持4级或更高层级培训师分组。</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5）支持每个市、区为自己单独创建专属的培训师分组（如宝鸡市市级培训师、未央区区级培训师）</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6）支持在培训师分组中设定培训师任期及分别对应省、市、区三级培训任务的讲课费标准，并将这些信息关联到培训师管理模块以实现随培训师等级变动自动更新。</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7）支持对每个培训师单独创建培训履历，记录并支持查询培训师在当前任期或任一历史任期的培训场次、培训人数、培训时长、培训满意度得分情况，以及所有任期内的数据总览。</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支持录入培训师工作开展相关信息，包括培训任务名称、任务发起人（机构）、任务起止时间、任务场次，以及单场培训场地、培训人数、培训时长、培训现场照片、培训满意度得分等，录入后自动更新相关履历信息，并计算当前培训任务应得讲课费金额。</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9）支持在履历中记录培训师违规违纪及相关处理情况，涉及扣减讲课费的，需关联到培训师讲课费金额计算结果。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10）由省、市（区）、县（区）各级管理员录入的培训师，自动获得对应级别的管理权限。</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11）培训师信息、培训师分组和培训师履历的管理权限应符合向下管理和区域分隔原则。</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12）支持资格证、结业证、荣誉证等各类电子证书的在线设计、生成和颁发。</w:t>
            </w:r>
          </w:p>
          <w:p>
            <w:pPr>
              <w:pStyle w:val="null3"/>
              <w:ind w:firstLine="640"/>
              <w:jc w:val="both"/>
            </w:pPr>
            <w:r>
              <w:rPr>
                <w:rFonts w:ascii="仿宋_GB2312" w:hAnsi="仿宋_GB2312" w:cs="仿宋_GB2312" w:eastAsia="仿宋_GB2312"/>
                <w:sz w:val="32"/>
              </w:rPr>
              <w:t>14、课程管理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1）支持导入、编辑、删除课程。</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2）支持各类常见的课件格式。</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3）支持创建、编辑或删除课程分组。</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4）支持4级或更高层级课程分组。</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5）支持为课程或课程组分配对应不同用户组的浏览权限。</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6）由省、市（区）、县（区）各级管理员上传的课程和创建的课程组，自动获得相应级别的管理权限。</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7）课程和课程组的管理权限应符合向下管理和区域分隔原则。</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8）支持用户对已观看达到一定时长比例的课程进行打分评价，可设置评价所需的观看时长比例。</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9）与培训师管理模块关联，将培训师原创课程相关信息显示在培训师履历中，如课程数量、课程列表、观看人数、观看次数、观看时长、课程评价等。</w:t>
            </w:r>
          </w:p>
          <w:p>
            <w:pPr>
              <w:pStyle w:val="null3"/>
              <w:ind w:firstLine="640"/>
              <w:jc w:val="both"/>
            </w:pPr>
            <w:r>
              <w:rPr>
                <w:rFonts w:ascii="仿宋_GB2312" w:hAnsi="仿宋_GB2312" w:cs="仿宋_GB2312" w:eastAsia="仿宋_GB2312"/>
                <w:sz w:val="32"/>
              </w:rPr>
              <w:t>15、学习管理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1）支持创建基于单一课程的学习任务，以及包含多部课程的系列学习任务。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2）支持面向单个或多个用户、用户组推送学习任务。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3）支持为每个学习任务或系列任务设置学分，用户可通过完成学习获取相应学分。</w:t>
            </w:r>
          </w:p>
          <w:p>
            <w:pPr>
              <w:pStyle w:val="null3"/>
              <w:ind w:firstLine="640"/>
              <w:jc w:val="both"/>
            </w:pPr>
            <w:r>
              <w:rPr>
                <w:rFonts w:ascii="仿宋_GB2312" w:hAnsi="仿宋_GB2312" w:cs="仿宋_GB2312" w:eastAsia="仿宋_GB2312"/>
                <w:sz w:val="32"/>
              </w:rPr>
              <w:t>16、考核管理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1）支持创建、导入、编辑、删除各类习题。</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2）支持创建、编辑或删除题库。</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3）支持通过关键字检索、题目类型筛选等方式将已存在的试题批量导入题库或在不同题库间转移。</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4）支持创建、编辑、删除考试。</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5）支持通过单个或多个题库随机抽取指定数量试题生成试卷。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6）支持设定试卷中各类型题目的数量和分值。</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7）支持设定考试开始时间、结束时间，并确保非考试时间内用户无法参与考核。</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8）支持针对同一场考试中的不同考生，随机生成不同试卷。</w:t>
            </w:r>
          </w:p>
          <w:p>
            <w:pPr>
              <w:pStyle w:val="null3"/>
              <w:ind w:firstLine="640"/>
              <w:jc w:val="both"/>
            </w:pPr>
            <w:r>
              <w:rPr>
                <w:rFonts w:ascii="仿宋_GB2312" w:hAnsi="仿宋_GB2312" w:cs="仿宋_GB2312" w:eastAsia="仿宋_GB2312"/>
                <w:sz w:val="32"/>
              </w:rPr>
              <w:t>17、互动功能</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1）支持创建问卷调查、线上投票等互动内容。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2）支持面向指定的单个或多个用户/用户组，发起互动。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3）支持实时查看互动情况，活动结束后支持发布互动结果。</w:t>
            </w:r>
          </w:p>
          <w:p>
            <w:pPr>
              <w:pStyle w:val="null3"/>
              <w:ind w:firstLine="640"/>
              <w:jc w:val="both"/>
            </w:pPr>
            <w:r>
              <w:rPr>
                <w:rFonts w:ascii="仿宋_GB2312" w:hAnsi="仿宋_GB2312" w:cs="仿宋_GB2312" w:eastAsia="仿宋_GB2312"/>
                <w:sz w:val="32"/>
              </w:rPr>
              <w:t>18、数据统计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1）支持平台整体数据统计呈现，如平台注册用户总数、年度/季度/月度访问量、月/周/日活跃用户数等。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2）支持面向特定时段、特定用户/用户组及特定内容（课程/课程组、习题/题库、考试/试卷等）的数据筛选。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3）支持对用户行为的统计，统计字段应包含但不限于指定时段内的登录次数、登录时长、观看课程数、完成学习任务数、参与考核数、参与问卷调查数、积分获取情况等。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4）支持对课程/课程组访问情况的统计，统计字段应包含但不限于指定时段内的浏览量、完播率、评价数、平均评价分值、访问用户列表，以及每个用户的访问次数、观看时长、评价情况等。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5）支持对学习任务/系列任务完成情况的统计，统计字段应包含但不限于任务推送人数、完成人数、整体完成率、推送用户列表，以及每个用户的任务完成情况、课程观看时长、学分获取情况等。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6）支持对习题/考题的统计，统计字段应包含但不限于题目类型、使用次数、默认分值、难度、错题率/正确率等。</w:t>
            </w:r>
          </w:p>
          <w:p>
            <w:pPr>
              <w:pStyle w:val="null3"/>
            </w:pPr>
            <w:r>
              <w:rPr>
                <w:rFonts w:ascii="仿宋_GB2312" w:hAnsi="仿宋_GB2312" w:cs="仿宋_GB2312" w:eastAsia="仿宋_GB2312"/>
                <w:sz w:val="32"/>
              </w:rPr>
              <w:t>（</w:t>
            </w:r>
            <w:r>
              <w:rPr>
                <w:rFonts w:ascii="仿宋_GB2312" w:hAnsi="仿宋_GB2312" w:cs="仿宋_GB2312" w:eastAsia="仿宋_GB2312"/>
                <w:sz w:val="32"/>
              </w:rPr>
              <w:t>7）支持对用户考核情况的统计，统计字段应包含但不限于考试开始时间、结束时间、应考人数、实考人数、整体参考率、合格率、平均成绩、应考用户列表，以及每个用户的参考时间、交卷时间、考试成绩、补考情况、试卷详情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陕西省福利彩票发行中心指定地点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进度款，合同生效6个月后，乙方交付截至该节点的培训情况统计表，经甲方审核确认30天内，达到付款条件起30个工作日内，支付合同总金额的50.0%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进度款，项目整体完成并交付总体培训情况统计表，经甲方审核确认后30天内，达到付款条件起30个工作日内，支付合同总金额的10.0%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保证金注意事项：（1）磋商保证金应在递交响应文件截止时间前到账，须从供应商户名支付，如从个人户名或非供应商户名支付，将被拒绝，视为自动放弃投标权利（该个人是供应商的情形除外）；以保函形式交纳磋商保证金的，供应商应在投标截止时间前将保函扫描成清晰的PDF文件，发送至邮箱2559647209@qq.com（邮件命名：项目编号）。保函必须由具有开具投标保函资格的单位开具；若供应商违约，开具保函单位承担连带责任；（2）磋商保证金的提交金额、时间不满足磋商文件要求的，磋商无效；（3）磋商保证金以采购代理机构到账凭证为准。 （4）未成交供应商的磋商保证金，将在成交通知书发出后5个工作日内无息全额退还，但因供应商自身原因导致无法及时退还的除外。成交供应商的磋商保证金，在服务费足额到账3个工作日内或收到合同3个工作日内退还成交供应商保证金，但因供应商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1分项价格表.docx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磋商报价未超过磋商文件中规定的预算金额</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满足本磋商文件3.3商务要求中“服务期限、服务地点以及支付约定”的实质性条款要求的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供应商针对采购文件3.2.2服务要求技术参数与性能指标中“三、技术要求”响应情况进行评审。 参数（以供应商的技术响应偏离表响应情况为准）得分=（供应商满足采购人要求的参数数量/参数总数量）×15分，满分15分。得分保留小数点后两位数，小数点后第三位四舍五入。 备注：所有技术参数完全复制磋商文件技术指标要求的，给予10分扣分，文字描述、国标、定制尺寸的技术指标除外。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供应商针对本项目提供需求理解。包括但不限于①项目理解②需求分析③内容阐述等方面。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6需求理解.docx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供应商针对本项目提供服务方案。包括但不限于①项目整体方案②课程的内容、频次及时长③线上直播培训课程④线下集中培训方案⑤动画视频课程制作⑥课程研发等方面。 上述6项内容，每提供1项内容计2分，每项内容存在1处瑕疵扣0.5分；本评分点满分12分。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7服务方案.docx</w:t>
            </w:r>
          </w:p>
        </w:tc>
      </w:tr>
      <w:tr>
        <w:tc>
          <w:tcPr>
            <w:tcW w:type="dxa" w:w="831"/>
            <w:vMerge/>
          </w:tcPr>
          <w:p/>
        </w:tc>
        <w:tc>
          <w:tcPr>
            <w:tcW w:type="dxa" w:w="1661"/>
          </w:tcPr>
          <w:p>
            <w:pPr>
              <w:pStyle w:val="null3"/>
            </w:pPr>
            <w:r>
              <w:rPr>
                <w:rFonts w:ascii="仿宋_GB2312" w:hAnsi="仿宋_GB2312" w:cs="仿宋_GB2312" w:eastAsia="仿宋_GB2312"/>
              </w:rPr>
              <w:t>培训平台运营方案</w:t>
            </w:r>
          </w:p>
        </w:tc>
        <w:tc>
          <w:tcPr>
            <w:tcW w:type="dxa" w:w="2492"/>
          </w:tcPr>
          <w:p>
            <w:pPr>
              <w:pStyle w:val="null3"/>
            </w:pPr>
            <w:r>
              <w:rPr>
                <w:rFonts w:ascii="仿宋_GB2312" w:hAnsi="仿宋_GB2312" w:cs="仿宋_GB2312" w:eastAsia="仿宋_GB2312"/>
              </w:rPr>
              <w:t>供应商针对本项目提供培训平台运营方案。包括但不限于①平台运营方案②网络安全和信息安全保障措施③系统安全管理措施④数据统计及管理措施等方面。 上述4项内容，每提供1项内容计1.5分，每项内容存在1处瑕疵扣0.5分；本评分点满分6分。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8培训平台运营方案.docx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供应商针对本项目提供培训方案。包括但不限于①培训目标②培训方式③培训计划④培训理念及内容（至少包含课程类别、各类别课程数量）等方面。 上述4项内容，每提供1项内容计1.5分，每项内容存在1处瑕疵扣0.5分；本评分点满分6分。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供应商针对本项目提供进度计划保障措施，包括但不限于①各阶段进度计划；②进度控制保证措施等方面。 上述2项内容，每提供1项内容计1.5分，每项内容存在1处瑕疵扣0.5分；本评分点满分3分。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10进度计划.docx</w:t>
            </w:r>
          </w:p>
        </w:tc>
      </w:tr>
      <w:tr>
        <w:tc>
          <w:tcPr>
            <w:tcW w:type="dxa" w:w="831"/>
            <w:vMerge/>
          </w:tcPr>
          <w:p/>
        </w:tc>
        <w:tc>
          <w:tcPr>
            <w:tcW w:type="dxa" w:w="1661"/>
          </w:tcPr>
          <w:p>
            <w:pPr>
              <w:pStyle w:val="null3"/>
            </w:pPr>
            <w:r>
              <w:rPr>
                <w:rFonts w:ascii="仿宋_GB2312" w:hAnsi="仿宋_GB2312" w:cs="仿宋_GB2312" w:eastAsia="仿宋_GB2312"/>
              </w:rPr>
              <w:t>课件供应</w:t>
            </w:r>
          </w:p>
        </w:tc>
        <w:tc>
          <w:tcPr>
            <w:tcW w:type="dxa" w:w="2492"/>
          </w:tcPr>
          <w:p>
            <w:pPr>
              <w:pStyle w:val="null3"/>
            </w:pPr>
            <w:r>
              <w:rPr>
                <w:rFonts w:ascii="仿宋_GB2312" w:hAnsi="仿宋_GB2312" w:cs="仿宋_GB2312" w:eastAsia="仿宋_GB2312"/>
              </w:rPr>
              <w:t>供应商针对本项目提供课件供应保障措施①课程来源②课件标准③课程开发能力等方面。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11课件供应.docx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供应商针对本项目提供项目团队配置方案。包括但不限于①团队组织架构②人员构成及分工③岗位设置④岗位责任制度等方面。 上述4项内容，每提供1项内容计1.5分，每项内容存在1处瑕疵扣0.5分；本评分点满分6分。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12项目团队配置.docx</w:t>
            </w:r>
          </w:p>
        </w:tc>
      </w:tr>
      <w:tr>
        <w:tc>
          <w:tcPr>
            <w:tcW w:type="dxa" w:w="831"/>
            <w:vMerge/>
          </w:tcPr>
          <w:p/>
        </w:tc>
        <w:tc>
          <w:tcPr>
            <w:tcW w:type="dxa" w:w="1661"/>
          </w:tcPr>
          <w:p>
            <w:pPr>
              <w:pStyle w:val="null3"/>
            </w:pPr>
            <w:r>
              <w:rPr>
                <w:rFonts w:ascii="仿宋_GB2312" w:hAnsi="仿宋_GB2312" w:cs="仿宋_GB2312" w:eastAsia="仿宋_GB2312"/>
              </w:rPr>
              <w:t>培训师资</w:t>
            </w:r>
          </w:p>
        </w:tc>
        <w:tc>
          <w:tcPr>
            <w:tcW w:type="dxa" w:w="2492"/>
          </w:tcPr>
          <w:p>
            <w:pPr>
              <w:pStyle w:val="null3"/>
            </w:pPr>
            <w:r>
              <w:rPr>
                <w:rFonts w:ascii="仿宋_GB2312" w:hAnsi="仿宋_GB2312" w:cs="仿宋_GB2312" w:eastAsia="仿宋_GB2312"/>
              </w:rPr>
              <w:t>供应商针对本项目提供具有与本项目相关的行业讲师或相关培训履历的团队人员： 团队成员中每有1人具备与项目相关证书或1年及以上工作经验，计1分，满分8分。（提供证书或工作履历予以佐证）。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13培训师资.docx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承诺1：在项目履约期间，突发且与活动有关的工作内容，但未提前明确的，供应商应无条件积极配合采购人开展相关活动。提供承诺计2分，未提不计分。 承诺2：供应商承诺，在服务过程中，出现的所有人身安全财产问题，均由成交供应商自行承担，采购人概不负责。提供承诺计3分，未承诺不计分。 承诺3：供应商承诺：在项目服务的全过程中文案材料一并提交给采购人。与项目相关的数据资料和分析成果、影像、文案材料等信息资料的所有权归采购人所有。提供承诺计2分，未承诺不计分。 承诺4：供应商承诺，供应商承诺采购人在使用最终成果时，不承担任何涉及知识产权的追责，因使用未被授权使用的内容引起的纠纷由供应商自行承担，采购人不承担因此产生的任何责任。提供承诺计3分，未承诺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15服务承诺.docx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供应商提供针对有利于本项目实施的合理化建议或增值服务承诺，每提供1个经磋商小组一致认定的增值服务承诺计1分，最多得3分。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16合理化建议或增值服务.docx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详见附件：7服务方案.docx</w:t>
      </w:r>
    </w:p>
    <w:p>
      <w:pPr>
        <w:pStyle w:val="null3"/>
        <w:ind w:firstLine="960"/>
      </w:pPr>
      <w:r>
        <w:rPr>
          <w:rFonts w:ascii="仿宋_GB2312" w:hAnsi="仿宋_GB2312" w:cs="仿宋_GB2312" w:eastAsia="仿宋_GB2312"/>
        </w:rPr>
        <w:t>详见附件：8培训平台运营方案.docx</w:t>
      </w:r>
    </w:p>
    <w:p>
      <w:pPr>
        <w:pStyle w:val="null3"/>
        <w:ind w:firstLine="960"/>
      </w:pPr>
      <w:r>
        <w:rPr>
          <w:rFonts w:ascii="仿宋_GB2312" w:hAnsi="仿宋_GB2312" w:cs="仿宋_GB2312" w:eastAsia="仿宋_GB2312"/>
        </w:rPr>
        <w:t>详见附件：10进度计划.docx</w:t>
      </w:r>
    </w:p>
    <w:p>
      <w:pPr>
        <w:pStyle w:val="null3"/>
        <w:ind w:firstLine="960"/>
      </w:pPr>
      <w:r>
        <w:rPr>
          <w:rFonts w:ascii="仿宋_GB2312" w:hAnsi="仿宋_GB2312" w:cs="仿宋_GB2312" w:eastAsia="仿宋_GB2312"/>
        </w:rPr>
        <w:t>详见附件：11课件供应.docx</w:t>
      </w:r>
    </w:p>
    <w:p>
      <w:pPr>
        <w:pStyle w:val="null3"/>
        <w:ind w:firstLine="960"/>
      </w:pPr>
      <w:r>
        <w:rPr>
          <w:rFonts w:ascii="仿宋_GB2312" w:hAnsi="仿宋_GB2312" w:cs="仿宋_GB2312" w:eastAsia="仿宋_GB2312"/>
        </w:rPr>
        <w:t>详见附件：12项目团队配置.docx</w:t>
      </w:r>
    </w:p>
    <w:p>
      <w:pPr>
        <w:pStyle w:val="null3"/>
        <w:ind w:firstLine="960"/>
      </w:pPr>
      <w:r>
        <w:rPr>
          <w:rFonts w:ascii="仿宋_GB2312" w:hAnsi="仿宋_GB2312" w:cs="仿宋_GB2312" w:eastAsia="仿宋_GB2312"/>
        </w:rPr>
        <w:t>详见附件：13培训师资.docx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详见附件：16合理化建议或增值服务.docx</w:t>
      </w:r>
    </w:p>
    <w:p>
      <w:pPr>
        <w:pStyle w:val="null3"/>
        <w:ind w:firstLine="960"/>
      </w:pPr>
      <w:r>
        <w:rPr>
          <w:rFonts w:ascii="仿宋_GB2312" w:hAnsi="仿宋_GB2312" w:cs="仿宋_GB2312" w:eastAsia="仿宋_GB2312"/>
        </w:rPr>
        <w:t>详见附件：9培训方案.docx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