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版本号：CHBM-2026-066-320260908003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淳化县中省政法转移支付自定装备采购项目（C包）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CHBM-2026-066-3</w:t>
      </w:r>
      <w:r>
        <w:br/>
      </w:r>
      <w:r>
        <w:br/>
      </w:r>
      <w:r>
        <w:br/>
      </w:r>
    </w:p>
    <w:p>
      <w:pPr>
        <w:pStyle w:val="null3"/>
        <w:jc w:val="center"/>
        <w:outlineLvl w:val="2"/>
      </w:pPr>
      <w:r>
        <w:rPr>
          <w:rFonts w:ascii="仿宋_GB2312" w:hAnsi="仿宋_GB2312" w:cs="仿宋_GB2312" w:eastAsia="仿宋_GB2312"/>
          <w:sz w:val="28"/>
          <w:b/>
        </w:rPr>
        <w:t>淳化县公安局</w:t>
      </w:r>
    </w:p>
    <w:p>
      <w:pPr>
        <w:pStyle w:val="null3"/>
        <w:jc w:val="center"/>
        <w:outlineLvl w:val="2"/>
      </w:pPr>
      <w:r>
        <w:rPr>
          <w:rFonts w:ascii="仿宋_GB2312" w:hAnsi="仿宋_GB2312" w:cs="仿宋_GB2312" w:eastAsia="仿宋_GB2312"/>
          <w:sz w:val="28"/>
          <w:b/>
        </w:rPr>
        <w:t>淳化县政府采购中心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淳化县政府采购中心</w:t>
      </w:r>
      <w:r>
        <w:rPr>
          <w:rFonts w:ascii="仿宋_GB2312" w:hAnsi="仿宋_GB2312" w:cs="仿宋_GB2312" w:eastAsia="仿宋_GB2312"/>
        </w:rPr>
        <w:t>（以下简称“代理机构”）受</w:t>
      </w:r>
      <w:r>
        <w:rPr>
          <w:rFonts w:ascii="仿宋_GB2312" w:hAnsi="仿宋_GB2312" w:cs="仿宋_GB2312" w:eastAsia="仿宋_GB2312"/>
        </w:rPr>
        <w:t>淳化县公安局</w:t>
      </w:r>
      <w:r>
        <w:rPr>
          <w:rFonts w:ascii="仿宋_GB2312" w:hAnsi="仿宋_GB2312" w:cs="仿宋_GB2312" w:eastAsia="仿宋_GB2312"/>
        </w:rPr>
        <w:t>委托，拟对</w:t>
      </w:r>
      <w:r>
        <w:rPr>
          <w:rFonts w:ascii="仿宋_GB2312" w:hAnsi="仿宋_GB2312" w:cs="仿宋_GB2312" w:eastAsia="仿宋_GB2312"/>
        </w:rPr>
        <w:t>淳化县中省政法转移支付自定装备采购项目（C包）</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CHBM-2026-066-3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淳化县中省政法转移支付自定装备采购项目（C包）</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淳化县中省政法转移支付自定装备采购项目（C包）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2、身份证明：法定代表人授权委托书（附法定代表人身份证复印件及被授权人身份证复印件）；法定代表人直接参加磋商只需提供法定代表人身份证明书（附法定代表人身份证复印件）</w:t>
      </w:r>
    </w:p>
    <w:p>
      <w:pPr>
        <w:pStyle w:val="null3"/>
      </w:pPr>
      <w:r>
        <w:rPr>
          <w:rFonts w:ascii="仿宋_GB2312" w:hAnsi="仿宋_GB2312" w:cs="仿宋_GB2312" w:eastAsia="仿宋_GB2312"/>
        </w:rPr>
        <w:t>3、财务状况报告：投标人需提供2024年度或2025年度经审计的供应商财务审计报告或者开标前三个月内的银行资信证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4、税收缴纳证明：提供开标截止时间前半年内任意一个月的纳税证明或完税证明；依法免税的单位应提供相关证明材料；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6、无重大违法记录书面声明：参加本次招标前3年内，在政府采购经营活动中没有重大违法记录的书面声明</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p>
      <w:pPr>
        <w:pStyle w:val="null3"/>
      </w:pPr>
      <w:r>
        <w:rPr>
          <w:rFonts w:ascii="仿宋_GB2312" w:hAnsi="仿宋_GB2312" w:cs="仿宋_GB2312" w:eastAsia="仿宋_GB2312"/>
        </w:rPr>
        <w:t>8、专业技术能力声明：具有履行合同所必需的设备和专业技术能力；</w:t>
      </w:r>
    </w:p>
    <w:p>
      <w:pPr>
        <w:pStyle w:val="null3"/>
      </w:pPr>
      <w:r>
        <w:rPr>
          <w:rFonts w:ascii="仿宋_GB2312" w:hAnsi="仿宋_GB2312" w:cs="仿宋_GB2312" w:eastAsia="仿宋_GB2312"/>
        </w:rPr>
        <w:t>9、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县城平安巷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岐建平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13689185036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淳化县政府采购中心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陕西省咸阳市淳化县陕西省咸阳市淳化县财政局南院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15596156398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15991096969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淳化县公安局</w:t>
      </w:r>
      <w:r>
        <w:rPr>
          <w:rFonts w:ascii="仿宋_GB2312" w:hAnsi="仿宋_GB2312" w:cs="仿宋_GB2312" w:eastAsia="仿宋_GB2312"/>
        </w:rPr>
        <w:t>和</w:t>
      </w:r>
      <w:r>
        <w:rPr>
          <w:rFonts w:ascii="仿宋_GB2312" w:hAnsi="仿宋_GB2312" w:cs="仿宋_GB2312" w:eastAsia="仿宋_GB2312"/>
        </w:rPr>
        <w:t>淳化县政府采购中心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淳化县政府采购中心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淳化县政府采购中心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依据投标文件技术参数</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联系电话：15596156398</w:t>
      </w:r>
    </w:p>
    <w:p>
      <w:pPr>
        <w:pStyle w:val="null3"/>
      </w:pPr>
      <w:r>
        <w:rPr>
          <w:rFonts w:ascii="仿宋_GB2312" w:hAnsi="仿宋_GB2312" w:cs="仿宋_GB2312" w:eastAsia="仿宋_GB2312"/>
        </w:rPr>
        <w:t>地址：淳化县财政局南院</w:t>
      </w:r>
    </w:p>
    <w:p>
      <w:pPr>
        <w:pStyle w:val="null3"/>
      </w:pPr>
      <w:r>
        <w:rPr>
          <w:rFonts w:ascii="仿宋_GB2312" w:hAnsi="仿宋_GB2312" w:cs="仿宋_GB2312" w:eastAsia="仿宋_GB2312"/>
        </w:rPr>
        <w:t>邮编：711200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础管控中心采购项目，采购造型吊顶、乳胶漆粉刷、造型背景墙、LED宣传屏、墙面板、铺贴地砖、铺贴地暖、墙面大型LED显示屏、研判会议桌、定制工作台、电脑椅、电脑、打印机、文件柜、电线、空调风管机、电线、弱电、音响设备、摄像头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基础管控中心建设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标的名称：基础管控中心建设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6"/>
              <w:gridCol w:w="198"/>
              <w:gridCol w:w="1005"/>
              <w:gridCol w:w="233"/>
              <w:gridCol w:w="256"/>
              <w:gridCol w:w="312"/>
              <w:gridCol w:w="256"/>
              <w:gridCol w:w="182"/>
            </w:tblGrid>
            <w:tr>
              <w:tc>
                <w:tcPr>
                  <w:tcW w:type="dxa" w:w="2548"/>
                  <w:gridSpan w:val="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1"/>
                      <w:b/>
                      <w:color w:val="FF0000"/>
                    </w:rPr>
                    <w:t>淳化县公安局公安基础管控大厅信息化建设技术参数及数量</w:t>
                  </w: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序号</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名称</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技术参数</w:t>
                  </w:r>
                </w:p>
              </w:tc>
              <w:tc>
                <w:tcPr>
                  <w:tcW w:type="dxa" w:w="233"/>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单位</w:t>
                  </w:r>
                </w:p>
              </w:tc>
              <w:tc>
                <w:tcPr>
                  <w:tcW w:type="dxa" w:w="25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数量</w:t>
                  </w:r>
                </w:p>
              </w:tc>
              <w:tc>
                <w:tcPr>
                  <w:tcW w:type="dxa" w:w="31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单价</w:t>
                  </w:r>
                </w:p>
              </w:tc>
              <w:tc>
                <w:tcPr>
                  <w:tcW w:type="dxa" w:w="25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合计</w:t>
                  </w: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备注</w:t>
                  </w: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LED屏</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LED屏尺寸为4.26米*2.34米；模块数量：长13高14；总块数：182；整屏像素：长3328高1792；备板：2张；规格：P1.5</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2</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9.97</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视频拼接器</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配置4路HDMI/DVI/VGA信号输入,4路HDMI信号输出，信号可在拼接屏的任意位置开窗、叠加、拉伸、漫游、跨屏、缩放或画中画显示，支持并具备全面热插拔，带电拔出不影响其他模块的正常运行。支持并具备7*24H连续正常工作；平均无故障运行时间≧100000小时，大屏显示支持信号开窗实时上屏和信号窗口预布局两种模式，信号窗口预布局过程中，拼接屏显示画面不受影响，可对显示画面校对，无误后再上屏显示；支持多组大屏预布局模式保存、调用、在线编辑。</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配电柜</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20KW智能配电柜（含PLC控制系统）可远程&amp;定时开关机；具备过压、过流、欠压、短路等保护措施和分步延时启动功能</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铝型材支架</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LED小间距专用铝型材支架、确保安装平整度</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2</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9.97</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大屏安装</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屏体四周窄包边装饰+产品安装+调试培训</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0"/>
                      <w:color w:val="000000"/>
                    </w:rPr>
                    <w:t>m</w:t>
                  </w:r>
                  <w:r>
                    <w:rPr>
                      <w:rFonts w:ascii="仿宋_GB2312" w:hAnsi="仿宋_GB2312" w:cs="仿宋_GB2312" w:eastAsia="仿宋_GB2312"/>
                      <w:sz w:val="20"/>
                      <w:color w:val="000000"/>
                    </w:rPr>
                    <w:t>2</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9.97</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解码器</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8路视频解码器</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控制台</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19"/>
                      <w:color w:val="000000"/>
                    </w:rPr>
                    <w:t>1:材质;E1级别环保密度板，板材内部结构均匀，密度适中，具有良好的稳固性，其表面平整光滑，是家具行业常选的板材。2:亮光烤漆工艺;油漆选用亮光涂漆，耐黄，耐磨安全无毒，经过多道工序处理，油漆致密性高于普通油漆工艺3:LED灯带、台面带线孔。</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工位</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研判会议桌和椅子</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现代板式会议桌，带8把座椅。长度4米*宽度1.5米；含两组多功能插座</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人体工学椅</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面料采用优质弹力网，弹力网具有透气性好，结实耐用带有记忆功能等特点；椅子主要承重配件铝合金材质，表面采用精抛工艺，美观大方结实耐用。功能：1.高低升降自如，座版可以延伸；2.靠背上下分三档调节自如，更能有效的支撑后背和腰部，任意角度可以锁定适合任何环境；3.软扶手可以升降高低，前后左右调节适合自己的舒适位置。</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音频处理器</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96KHz采样频率，32-bit DSP处理器，24-bit A/D及D/A转换；提供USB、485接口、和WIFI可连接电脑；具备2.0真彩屏显示，5段输入/输出电平显示LED,静音显示LED灯，按键指示LED灯；每路输入具有31段GEQ和10段PEQ。每个输入/通道31段图示均衡（GEQ)，频率范围从19.7Hz到21.9kHz，分频点按标准1/3倍频程划分，增益范围从-30dB到+15dB。输出具有10段PEQ.每段参量均衡(PEQ)有参数（Parametric)、L-Shelf6dB、L-Shelf 12dB、High-Shelf6dB、High-Shelf12dB多种EQ类型选择。每段参量均衡（PEQ）均可设置为相位调节滤波器（Phase shifter)、相位调节范围0°-180° 和全通滤波器设置；参量均衡（PEQ)频率范围从19.7Hz到21.9kHz可调，增益范围从-30dB到+15dB可调，带宽范围从0.017到4.750倍程（Oct)可调；输入输出音量可调范围为-40dB到+12dB，最小步进0.1ddB；每个输出通道具有相位反转功能，通道复制功能，使调节更方便；每个输入/输出通道可设置最长延时达1000ms，带延时调整开关。输出高通、低通滤波器有多种斜率和类型供选择，滤波器斜率有：-12dB、-24dB、-36dB、-48dB,滤波器类型有：巴特沃斯（Butterworth)、贝塞尔（Bessel)、宁可锐（Linkwitz-Riley)；每个输入/输出通道均有压缩器，可调节各压缩器的门限值、压缩比、上冲时间和释放时间；可以存储多达12个预置。预设文件完全存储当前所有通道的所有控制数据。可在面板通过按键菜单操作直接给设备加密及解锁，保护设备设置安全。具备多通道链接功能，可同时设置多个通道参数；直观友好的电脑界面，支持USB、RS485、WIFI等多种方式与上位机连接；支持插U盘进即时录音（此功能选配）；通道：2进4出、2-XLR和6-TRS：平衡或非平衡输入方式.输入阻抗 平衡：18K.最大输入电平：8V(VPP).输出阻抗 平衡：100欧.最大输出电平：&lt;22dB.动态范围：&gt;110dB（A未计权）.失真度：0. 05%（+ 20dBu, 1kHz）.频率响应：+/- 0.5dB （20Hz-20kHz）.信噪比：&gt;103dB.电源：AC80-240V/50-60Hz</w:t>
                  </w:r>
                </w:p>
              </w:tc>
              <w:tc>
                <w:tcPr>
                  <w:tcW w:type="dxa" w:w="23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数字反馈抑制器</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采用自适应环境啸叫抑制算法，采用高速浮点数字音频处理器和先进的子带（Sub-Band)回声消除(Echo Cancellation)技术，可高速全自动完全消除啸叫和回声，同时让现场音频精准清晰实时送出，内置自适应动态噪声滤波器，可滤掉现场环境的背景噪声但不影响语音信号高质量的传送。系统智能电平控制技术，可以获的到清晰、持续的、信号电平无明显波动的语音信号。内置AGC双向控制，具有区分加强信号和轻柔信号的能力，保持对讲话声调的连贯和语音易于听清楚，维持听感上的舒适性，能提升增益达6-15dB。内置24Bit  A/D、D/A转换；24位DSP处理器，48KHz采样高速浮点运算数字音频处理器和最先进的子带（Sub-Band) 回声消除（Echo cancellation)技术，可有效消除回声和啸叫。全自动化操作的工作方式，免人工调试，无论房间环境中位置、温度、湿度、装饰的改变，系统安装都无需进行声场调试，精准可靠使用简单。内置自适应动态噪声滤波器，可滤掉现场环境的背景噪声但不影响语音信号高质量的传送。提高信噪比，改善音质。内置AGC自动增益控制，可以获得到清晰、持续平稳的语音信号。内置数字高低通调节控制，可限制语音频响内置数字压限器:可提高拾音的距离内置10段图示均衡器：频率控制更精确各功能可通过本机或连接电脑设置</w:t>
                  </w:r>
                  <w:r>
                    <w:br/>
                  </w:r>
                  <w:r>
                    <w:rPr>
                      <w:rFonts w:ascii="仿宋_GB2312" w:hAnsi="仿宋_GB2312" w:cs="仿宋_GB2312" w:eastAsia="仿宋_GB2312"/>
                      <w:sz w:val="19"/>
                      <w:color w:val="000000"/>
                    </w:rPr>
                    <w:t xml:space="preserve"> 技术参数：2-XLR和2-TRS： 平衡或非平衡输入方式输入阻抗 平衡：22K，最大输入电平： 4（VPP）2-XLR和2-TRS： 平衡或非平衡输出方式输出阻抗 平衡：150欧，非平衡： 300欧最大输出电平： 4.0V（VPP）采样频率： 48KHz动态范围： &gt;100dB（A计权）失真度： &lt;0. 5%频率响应： +/- 2dB （直通频响30Hz to 20kHz.反馈抑制频响     50Hz~18KHz)底噪声： &lt;1mV</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调音台</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路平衡式话筒输入，MP3播放器功能2.话筒提供优质的+48V幻像电源3.低噪音的前置放大，具有强大的抗干扰能力4.配备高档调音台才具有的信号输入点（外接信号处理器）5.三段均衡6.电路板采用双面SMT贴片技术，使性能稳定可靠7.两组AUX辅助输出可选择为推子前（返送）推子后（外接处理器）8.采用16种数字显示延时数码效果器，使声音特别动听技术参数：1．最大输出电平：19dBm (1 KHz, THD=0.5%)2．剩余噪声：-74dB3．信噪比：71dB4．等效噪声源输入电动势：-120dBm5．耳机输出功率： 40mw (1 KHz, THD=0.5%, 200Ω)6．均衡：低频： 80Hz±15dB;中频： 2.5KHz±15dB;高频： 12KHz±15dB7．增益控制：8．单声道： 50dB9．立体声： +4dB~-10dB10．频率响应： 20Hz~20 KHz (+1dB,-3dB)11．总谐波失真+噪声： ≤0.05%(1KHz,0.775V)</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双通道数字功放</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能效比CLASS-D架构，实现高效能比和低发热量的优势同时延长设备使用寿命；高效率功率转换电路、功率输出强劲，低能源损耗，节能减排，绿色环保。功放内部集成开关电源设计，采用铝制面板；每个独立通道内置全自动电路保护功能，包括软启动、直流、过载、过热、欠压、短路保护及削波限幅等有效的保证设备安全长期使用；双风道高效内部进出风设计，搭载双风扇散热排风系统，有效排除热量避免积热，确保设备长时间、高可靠性运行和使用；数字处理技术提高声音信号精度和清晰度，降低设备底噪，搭配液压轴承风扇优秀风噪控制，满足近场使用场景需求；前面板提供精准增益（音量）控制，有电源、信号、消波和保护的工作信号灯；支持立体声、并接、桥接三种工作模式切换；采用XLR平衡输入端子，专业SPEAKON四芯输出端子，高效信号传输，插拔便捷。功率（8Ω）：2X300W；功率（4Ω）：2X450W；桥接功率（8Ω）：1X900W；RMS输出电压 ：49.0 V；THD+N总谐波失真加噪声：0.05%；频率响应：20Hz－20KHz(±0.2dB)；S/N信噪比：≥100dB；阻尼系数：≥1000；输入灵敏度：0.775Vrms，26dB可选；输入阻抗：20KΩ平衡输入/10KΩ不平衡输入；保护功能：过热压限、过载保护、输出直流保护、短路保护、内置软启动保护。电压工作范围：AC100－240V(±10%),50Hz/60Hz；</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电源时序开关</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2寸彩色液晶智能显示屏，可实时显示当前电压，日期时间，通道开关状态；每通道独立设有Bypass设置，可ALL Bypass或单独Bypass支持面板LOCK锁定功能，防止误操作；内置时钟芯片，可根据日期时间定时设置自动开关机；智能化不须人为操作支持多台设备级联顺序控制，级联自动检测设置；配置232接口，支持外部中控设备控制；                                                                                                                                                                                具备USB标准5V供电接口，支持USB工作灯供电及充电；每台设备自带设备编码ID检测和设置，可实现远程集中控制10组设备开关场景数据保存/调用，场景管理应用简单便捷；欠压、超压检测及报警单路额定输出电流：13A 额定总输出电流：30A；RFI/EMI独立电源滤波器，滤除外部杂波信号及设备间干扰信号为每路设备提供干净而稳定的电源；额定输出电压：交流220V.50Hz；可控制电源： 8路外加2路输出辅助通道,10chs；每路动作延时时间：0-999秒；供电电源：AC220V 50/60Hz 30A；状态显示：2寸彩色液晶实时显示当前电压,日期,时间,每路开关状态；单路额定输出电流：13A；额定总输出电流：30A；定时器功能：具有定时功能；</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8寸高保真同轴吸顶音箱</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高保真同轴喇叭带金属后罩吸顶音箱；1×8寸橡胶折环黑色PP低音音盆，1×1寸高音音膜；标称阻抗：8Ω；额定功率：80W；峰值功率：320W；频率响应：90Hz-20KHz；灵敏度: 92dB@1W/1m；扩散角度：水平150</w:t>
                  </w:r>
                  <w:r>
                    <w:rPr>
                      <w:rFonts w:ascii="仿宋_GB2312" w:hAnsi="仿宋_GB2312" w:cs="仿宋_GB2312" w:eastAsia="仿宋_GB2312"/>
                      <w:sz w:val="20"/>
                      <w:color w:val="000000"/>
                    </w:rPr>
                    <w:t>º</w:t>
                  </w:r>
                  <w:r>
                    <w:rPr>
                      <w:rFonts w:ascii="仿宋_GB2312" w:hAnsi="仿宋_GB2312" w:cs="仿宋_GB2312" w:eastAsia="仿宋_GB2312"/>
                      <w:sz w:val="20"/>
                      <w:color w:val="000000"/>
                    </w:rPr>
                    <w:t>、垂直150</w:t>
                  </w:r>
                  <w:r>
                    <w:rPr>
                      <w:rFonts w:ascii="仿宋_GB2312" w:hAnsi="仿宋_GB2312" w:cs="仿宋_GB2312" w:eastAsia="仿宋_GB2312"/>
                      <w:sz w:val="20"/>
                      <w:color w:val="000000"/>
                    </w:rPr>
                    <w:t>º</w:t>
                  </w:r>
                  <w:r>
                    <w:rPr>
                      <w:rFonts w:ascii="仿宋_GB2312" w:hAnsi="仿宋_GB2312" w:cs="仿宋_GB2312" w:eastAsia="仿宋_GB2312"/>
                      <w:sz w:val="20"/>
                      <w:color w:val="000000"/>
                    </w:rPr>
                    <w:t>；尺寸规格：270×190mm，开孔240mm；外观颜色：白色；</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一拖二无线话筒</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选用双调谐真分集设计，接收机可以从2支天线分别接收同一支无线话筒的信号，通过内部高速CPU检测出信号较强的一路；每通道配备45个频点，可依据当地实际频率状况实现手动频率调节，便于叠机使用；选用UHF频段，结合PLL数字相位锁定技术，谐波辐射降至最低水平，一台接收机最多可同时支持4个无线单元连接；配备后置一键锁功能；具有一键搜频功能；接收机采用1U金属机箱设计，多级高精度滤波电路，三重数字ID静噪锁码技术，不但保密性强，而且抗干扰更加出众；内置CPU SQ自动调节功能，信号弱时可以自动调节接收机灵敏度增加接收距离，话筒信号强时可自动调低可避免杂音干扰；接收机搭载高清LCD大屏可显示各通道工作信道、工作频点、接收信号、音频信号，话筒工作电压的同时接收机的工作状态显示屏背光可变颜色；各频道支持单独或混合输出，可调节输出音量，确保麦克风不产生破裂声。每通道输出音量可独立调整，满足多样化需求；BNC天线座设计，可以连天线增益系统，增加接收距离及稳定的接收效果。各天线座带9V幻象供电，可直接连接定向天线板或强波器，不需要外置电源供电；采用DC12V-1000mA开关电源适配器，内置DC转DC电路效率高、可以输出大电流、静态电流小，纹波小，而且发热极小，减小器件损耗，更加耐用。在180-240V交流电压巨幅变动下，仍能保持系统稳定；</w:t>
                  </w:r>
                  <w:r>
                    <w:br/>
                  </w:r>
                  <w:r>
                    <w:rPr>
                      <w:rFonts w:ascii="仿宋_GB2312" w:hAnsi="仿宋_GB2312" w:cs="仿宋_GB2312" w:eastAsia="仿宋_GB2312"/>
                      <w:sz w:val="19"/>
                      <w:color w:val="000000"/>
                    </w:rPr>
                    <w:t xml:space="preserve"> 发射器采用110欧低阻抗动圈咪芯搭配优质匹配电路，拾音距离远，中音浑厚 圆润饱满，高保真声音还原、清晰度高； 发射器设计可换式接头，通用各大品牌咪头或电容式咪头更加人性化；UHF 470-960MHz频率范围可选，默认出厂使用频率为612-698MHz。一台接收机可同时支持2个无线单元连接；</w:t>
                  </w:r>
                  <w:r>
                    <w:br/>
                  </w:r>
                  <w:r>
                    <w:rPr>
                      <w:rFonts w:ascii="仿宋_GB2312" w:hAnsi="仿宋_GB2312" w:cs="仿宋_GB2312" w:eastAsia="仿宋_GB2312"/>
                      <w:sz w:val="19"/>
                      <w:color w:val="000000"/>
                    </w:rPr>
                    <w:t xml:space="preserve"> 接收机参数：振荡方式：锁相环频率合成；频率范围：UHF 612MHz-698MHz；调节方式：FM；最大频偏：±50KHz；灵敏度：输入6dBuV时S/N&gt;80dB；</w:t>
                  </w:r>
                  <w:r>
                    <w:br/>
                  </w:r>
                  <w:r>
                    <w:rPr>
                      <w:rFonts w:ascii="仿宋_GB2312" w:hAnsi="仿宋_GB2312" w:cs="仿宋_GB2312" w:eastAsia="仿宋_GB2312"/>
                      <w:sz w:val="19"/>
                      <w:color w:val="000000"/>
                    </w:rPr>
                    <w:t xml:space="preserve"> 信噪比：&gt;105dB（A）；音频响应：60Hz-16KHz(±3dB)；输出：平衡0-300mV，非平衡0-300mV；频率稳定性：&lt;±0.005%；失真度：&lt;0.5%@1KHz；工作电压：DC 12V；工作电流：1000mA；</w:t>
                  </w:r>
                  <w:r>
                    <w:br/>
                  </w:r>
                  <w:r>
                    <w:rPr>
                      <w:rFonts w:ascii="仿宋_GB2312" w:hAnsi="仿宋_GB2312" w:cs="仿宋_GB2312" w:eastAsia="仿宋_GB2312"/>
                      <w:sz w:val="19"/>
                      <w:color w:val="000000"/>
                    </w:rPr>
                    <w:t xml:space="preserve"> 手持式发射器参数： 载波频率范围：UHF 612MHz-698MHz；振荡方式：PLL相位锁定频率合成；谐波辐射：&lt;45dBm；调制方式： FM；频带宽度： 86MHz超宽带；射频RF输出功率：10mW/30mW；电池类型： AA x2；电流消耗：150mA(典型)；电池使用时长：约5小时；音频压缩： 数字音频压缩电路；音频输入接口： 3-pin迷尔XLR插口 ，输入增益3级可调；音头： 动圈式/电容式，心形指向性；</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音箱线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纯铜高保真100芯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机柜</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2米网络机柜</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双绞线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六类非屏蔽双绞线</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地面刻槽</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25*25MM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配管</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JDG20</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配线架</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24口六类网络配线架</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信息面板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双孔信息面板+底盒</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六类信息模块</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六类信息模块</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半球摄像机</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≥200万像素网络摄像机</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主电缆</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4*25+1*16</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配电箱</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500*400*140mm，含NM1-100/3P 100A 塑壳断路器，3P D63A空开</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BV2.5</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电源插座</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5孔</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KGB管材</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JDG20</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高清线</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HDMI线20米4K</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沙发、茶几</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3人沙发和茶几</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茶吧机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高800mm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公安网控制机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i5-14400;内存16G；硬盘：512G固态硬盘；显卡4G独立显卡；显示器：24时LED显示器；操作系统</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视频网控制机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i5-14400;内存16G；硬盘：512G固态硬盘；显卡4G独立显卡；显示器：24时LED显示器；操作系统</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互联网控制机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i5-14400;内存16G；硬盘：512G固态硬盘；集成显卡；显示器：24时LED显示器；操作系统.</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打印机</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1"/>
                    </w:rPr>
                    <w:t>A4 墨仓式彩色 3 合 1 一体机（打印 / 复印 / 扫描）</w:t>
                  </w:r>
                  <w:r>
                    <w:rPr>
                      <w:rFonts w:ascii="仿宋_GB2312" w:hAnsi="仿宋_GB2312" w:cs="仿宋_GB2312" w:eastAsia="仿宋_GB2312"/>
                      <w:sz w:val="21"/>
                      <w:color w:val="000000"/>
                    </w:rPr>
                    <w:t>能效：一级能效</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文件柜</w:t>
                  </w:r>
                </w:p>
              </w:tc>
              <w:tc>
                <w:tcPr>
                  <w:tcW w:type="dxa" w:w="100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材质木质、烤漆、厚度0.8cm</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楼层接入交换机</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交换容量≥1.36TGbps,包转发率≥128Mpps ，≥24个10/100/1000BASE-T端口 ，≥4个1G SFP端口,本次配3个千兆光模块</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1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水晶头、线扎、接头等</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小计</w:t>
                  </w:r>
                </w:p>
              </w:tc>
              <w:tc>
                <w:tcPr>
                  <w:tcW w:type="dxa" w:w="10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材料费小计</w:t>
                  </w:r>
                </w:p>
              </w:tc>
              <w:tc>
                <w:tcPr>
                  <w:tcW w:type="dxa" w:w="1057"/>
                  <w:gridSpan w:val="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43</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施工调试费</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材料费*10%</w:t>
                  </w:r>
                </w:p>
              </w:tc>
              <w:tc>
                <w:tcPr>
                  <w:tcW w:type="dxa" w:w="1057"/>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44</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税金</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（材料费+安装调试费）*6%</w:t>
                  </w:r>
                </w:p>
              </w:tc>
              <w:tc>
                <w:tcPr>
                  <w:tcW w:type="dxa" w:w="1057"/>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45</w:t>
                  </w:r>
                </w:p>
              </w:tc>
              <w:tc>
                <w:tcPr>
                  <w:tcW w:type="dxa" w:w="19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合计</w:t>
                  </w:r>
                </w:p>
              </w:tc>
              <w:tc>
                <w:tcPr>
                  <w:tcW w:type="dxa" w:w="1005"/>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057"/>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bl>
          <w:tbl>
            <w:tblPr>
              <w:tblBorders>
                <w:top w:val="single"/>
                <w:left w:val="single"/>
                <w:bottom w:val="single"/>
                <w:right w:val="single"/>
                <w:insideH w:val="single"/>
                <w:insideV w:val="single"/>
              </w:tblBorders>
            </w:tblPr>
            <w:tblGrid>
              <w:gridCol w:w="141"/>
              <w:gridCol w:w="271"/>
              <w:gridCol w:w="1218"/>
              <w:gridCol w:w="137"/>
              <w:gridCol w:w="144"/>
              <w:gridCol w:w="231"/>
              <w:gridCol w:w="231"/>
              <w:gridCol w:w="176"/>
            </w:tblGrid>
            <w:tr>
              <w:tc>
                <w:tcPr>
                  <w:tcW w:type="dxa" w:w="2549"/>
                  <w:gridSpan w:val="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31"/>
                      <w:b/>
                      <w:color w:val="FF0000"/>
                    </w:rPr>
                    <w:t>淳化县公安局公安基础管控大厅装修技术参数及数量</w:t>
                  </w: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序号</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名称</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技术参数</w:t>
                  </w:r>
                </w:p>
              </w:tc>
              <w:tc>
                <w:tcPr>
                  <w:tcW w:type="dxa" w:w="137"/>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单位</w:t>
                  </w:r>
                </w:p>
              </w:tc>
              <w:tc>
                <w:tcPr>
                  <w:tcW w:type="dxa" w:w="14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数量</w:t>
                  </w:r>
                </w:p>
              </w:tc>
              <w:tc>
                <w:tcPr>
                  <w:tcW w:type="dxa" w:w="23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单价</w:t>
                  </w:r>
                </w:p>
              </w:tc>
              <w:tc>
                <w:tcPr>
                  <w:tcW w:type="dxa" w:w="23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合计</w:t>
                  </w: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24"/>
                      <w:b/>
                      <w:color w:val="FF0000"/>
                    </w:rPr>
                    <w:t>备注</w:t>
                  </w: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拆除现有地板砖</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现有地面拆除</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地暖铺设</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地暖管铺设、含分水器等设备</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吊顶拆除</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矿棉板和铝塑板吊顶拆除</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地砖铺贴</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800*800人工辅材费，采用瓷砖胶铺贴工艺，水泥标号为32.5#，地面找平；水泥施工厚度为50㎜以内；</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指纹锁</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木门套</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实木门套</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防盗门</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2000*960钢制防盗门</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轻钢龙骨纸面石膏板吊顶含造型</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8全丝杆钢筋吊杆、50型轻钢龙骨、15mm防火板、9mm纸面石膏板，左右两侧宽度500MM，高度200MM，前后宽度200MM</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乳胶漆粉刷</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立邦乳胶3遍、2遍腻子、打磨平整</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饰面板铺贴</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实木墙板，基层处理：轻钢龙骨、内放隔音岩棉、木工板基层、装饰墙板饰面。</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109.66</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公安蓝背景墙</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500mm*2800mm，材质为环保防撞板，拼接处用金属条，辅料双面胶、泡沫胶、结构胶，基层处理：木龙骨支架、木工板打底，警徽制作、文字制作。</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灯带</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宽3cm，LED灯</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定制软膜灯箱</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宽3cm,LED灯</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射灯</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筒灯</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嵌入式8W</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遮光窗帘</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电动遮阳窗帘</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窗套</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实木</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灯开关</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2联</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电源插排</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8位2米电源线</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BV4</w:t>
                  </w:r>
                  <w:r>
                    <w:rPr>
                      <w:rFonts w:ascii="仿宋_GB2312" w:hAnsi="仿宋_GB2312" w:cs="仿宋_GB2312" w:eastAsia="仿宋_GB2312"/>
                      <w:sz w:val="20"/>
                      <w:color w:val="000000"/>
                    </w:rPr>
                    <w:t>㎟</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配管</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KGB管</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警徽、广告字</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宣传文字、警徽</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空调迁移</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两台利旧空调迁移安装（含充氟利昂）</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踢脚线</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木质高8cm </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垃圾清运和保洁</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垃圾清运和保洁</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线扎、接头、胶布、连接器、16A空调专用插座等</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3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27</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小计</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743"/>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28</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施工调试费</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材料费*10%</w:t>
                  </w:r>
                </w:p>
              </w:tc>
              <w:tc>
                <w:tcPr>
                  <w:tcW w:type="dxa" w:w="743"/>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29</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税金</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（材料费+安装调试费）*6%</w:t>
                  </w:r>
                </w:p>
              </w:tc>
              <w:tc>
                <w:tcPr>
                  <w:tcW w:type="dxa" w:w="743"/>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r>
              <w:tc>
                <w:tcPr>
                  <w:tcW w:type="dxa" w:w="14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30</w:t>
                  </w:r>
                </w:p>
              </w:tc>
              <w:tc>
                <w:tcPr>
                  <w:tcW w:type="dxa" w:w="271"/>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pPr>
                    <w:pStyle w:val="null3"/>
                    <w:jc w:val="center"/>
                  </w:pPr>
                  <w:r>
                    <w:rPr>
                      <w:rFonts w:ascii="仿宋_GB2312" w:hAnsi="仿宋_GB2312" w:cs="仿宋_GB2312" w:eastAsia="仿宋_GB2312"/>
                      <w:sz w:val="19"/>
                      <w:b/>
                      <w:color w:val="FF0000"/>
                    </w:rPr>
                    <w:t>合计</w:t>
                  </w:r>
                </w:p>
              </w:tc>
              <w:tc>
                <w:tcPr>
                  <w:tcW w:type="dxa" w:w="1218"/>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743"/>
                  <w:gridSpan w:val="4"/>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c>
                <w:tcPr>
                  <w:tcW w:type="dxa" w:w="176"/>
                  <w:tcBorders>
                    <w:top w:val="single" w:color="000000" w:sz="4"/>
                    <w:left w:val="single" w:color="000000" w:sz="4"/>
                    <w:bottom w:val="single" w:color="000000" w:sz="4"/>
                    <w:right w:val="single" w:color="000000" w:sz="4"/>
                  </w:tcBorders>
                  <w:shd w:fill="FFFF00"/>
                  <w:tcMar>
                    <w:top w:type="dxa" w:w="15"/>
                    <w:left w:type="dxa" w:w="15"/>
                    <w:right w:type="dxa" w:w="15"/>
                  </w:tcMar>
                  <w:vAlign w:val="center"/>
                </w:tcP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2026年9月30日前完成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淳化县公安局院内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其他，验收合格后一次性支付，达到付款条件起15个工作日内，支付合同总金额的100.0%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依据投标文件技术参数</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1、履约保证金的有效期为12个月，该项目质保期为12个月。2、如乙方未能履行合同规定的义务，甲方有权从履约保证金中取得补偿。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2、因履行本合同引起的或与本合同有关的争议，甲、乙双方应首先通过友好协商解决，如果协商不成，则采取以下第2种方式解决争议： （1）向甲方所在地有管辖权的人民法院提起诉讼； （2）向甲方所在地仲裁委员会按其仲裁规则申请仲裁。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技术参数偏离表.docx 开标一览表 投标函 标的清单 方案.docx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法定代表人授权委托书（附法定代表人身份证复印件及被授权人身份证复印件）；法定代表人直接参加磋商只需提供法定代表人身份证明书（附法定代表人身份证复印件）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投标人需提供2024年度或2025年度经审计的供应商财务审计报告或者开标前三个月内的银行资信证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文件组成</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开标一览表 分项报价表.docx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方案.docx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第三章《技术要求》中产品的合法来源渠道证明文件，满分3分，不提供不得分。以下资料提供任意一种:1、如供应商为所投产品代理商:提供货物的合法来源渠道证明文件(例如:产品制造商授权、销售协议、代理协议等证明文件)，每提供一份证明文件得0.5分，满分3分。2、如供应商为所投产品的制造商:需提供情况说明(说明某一项产品为制造商自己生产)，情况说明每涉及一项产品得0.5分，满分3分。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所投产品为“环境标志产品政府采购品目清单”内的，应提供该产品由国家确定的认证机构出具的中国环境标志产品认证证书且处于有效期内的，每提供一个得0.5分，满分3分。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供应商针对本项目提出进度计划 保障方案，包含但不限于①阶段划分与里程任务、②任务分解与时间安排、③责任分工与资源配置、④进度监控与汇报机制等，内容完整、详细、合理、可操作性强，符合项目要求。每项满分2分，缺项不得分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投标人需截止开标日期提近三年（2023年8月至今）类似业绩：每提供一项得 2 分，最高得 6分（提供类似业绩的中标通知书和合同），不提供或提供的资料不全不得分。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价格分采用低价优先法计算，即满足本招标文件要求的最低投标报价为评标基准价，其价格分为满分，其它供应商的价格分统一按照下列公式计算：投标报价得分=（评标基准价／投标报价）×价格分分值（精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