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68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9" w:afterLines="50" w:afterAutospacing="0" w:line="600" w:lineRule="exact"/>
        <w:jc w:val="center"/>
        <w:textAlignment w:val="auto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勉县温泉镇2026年以工代赈中央预算内投资项目</w:t>
      </w:r>
    </w:p>
    <w:p w14:paraId="41BCC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9" w:afterLines="50" w:afterAutospacing="0" w:line="60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清单</w:t>
      </w:r>
      <w:r>
        <w:rPr>
          <w:rFonts w:hint="eastAsia" w:ascii="宋体" w:hAnsi="宋体" w:eastAsia="宋体" w:cs="宋体"/>
          <w:b/>
          <w:sz w:val="36"/>
          <w:szCs w:val="36"/>
        </w:rPr>
        <w:t>编制说明</w:t>
      </w:r>
    </w:p>
    <w:p w14:paraId="32643E8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工程概况：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ab/>
      </w:r>
    </w:p>
    <w:p w14:paraId="58201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93" w:afterLines="29" w:afterAutospacing="0" w:line="6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勉县温泉镇2026年以工代赈中央预算内投资项目，主要建设内容为挖填土石方，M7.5浆砌片石挡墙，水泥稳定碎石基层，水泥混凝土面层，培路肩，混凝土路肩，管涵，仿木混凝土护栏，钢板波形护栏，道路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标识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标牌等内容。</w:t>
      </w:r>
    </w:p>
    <w:p w14:paraId="39B6A4C0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firstLine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编制范围：</w:t>
      </w:r>
    </w:p>
    <w:p w14:paraId="113E638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8" w:afterLines="34" w:afterAutospacing="0" w:line="6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本预算编制范围为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勉县温泉镇2026年以工代赈中央预算内投资项目图纸内容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B65C44B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firstLine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8"/>
          <w:szCs w:val="28"/>
        </w:rPr>
        <w:t>编制依据</w:t>
      </w:r>
      <w:r>
        <w:rPr>
          <w:rFonts w:hint="eastAsia" w:ascii="宋体" w:hAnsi="宋体" w:eastAsia="宋体" w:cs="宋体"/>
          <w:b/>
          <w:bCs/>
          <w:snapToGrid w:val="0"/>
          <w:kern w:val="0"/>
          <w:sz w:val="28"/>
          <w:szCs w:val="28"/>
          <w:lang w:eastAsia="zh-CN"/>
        </w:rPr>
        <w:t>：</w:t>
      </w:r>
    </w:p>
    <w:p w14:paraId="493E2E0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勉县温泉镇2026年以工代赈中央预算内投资项目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施工图纸、图纸答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疑等。</w:t>
      </w:r>
    </w:p>
    <w:p w14:paraId="6CA1AE3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2、道路工程采用《公路工程基本建设项目概算预算编制办法》（JTG3830—2018）《公路工程预算定额》（JTG/T3832—2018）、《公路工程机械台班费用定额》（JTG/T3833—2018）； 陕西省交通运输厅关于执行交通运输部《公路工程营业税改增值税计价依据调整方案》的通知（陕交函〔2016〕475号）； 交通运输部公告（第26号）关于调整《公路工程建设项目投资估算编制办法》（JTG3820-2018）和《公路工程建设项目概算预算编制办法》（JTG3830-2018）中“税金”有关公告。 陕西省交通运输厅关于《公路工程基本建设项目概算预算编制办法》补充规定的通知陕交发（2019）93号文件。《公路工程标准施工招标文件》(2018年版)。</w:t>
      </w:r>
    </w:p>
    <w:p w14:paraId="5C94E55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3、材料单价：《陕西省交通运输工程造价事务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中心公布2026年3月信息价》汉中地区价格及市场询价。</w:t>
      </w:r>
    </w:p>
    <w:p w14:paraId="30CAD485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firstLine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napToGrid w:val="0"/>
          <w:spacing w:val="0"/>
          <w:kern w:val="0"/>
          <w:sz w:val="28"/>
          <w:szCs w:val="28"/>
          <w:lang w:val="en-US" w:eastAsia="zh-CN"/>
        </w:rPr>
        <w:t>费率标准</w:t>
      </w:r>
    </w:p>
    <w:p w14:paraId="0D8DB35C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措施费 </w:t>
      </w:r>
    </w:p>
    <w:p w14:paraId="3278A2F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1）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冬季施工增加费：按准二区计列；</w:t>
      </w:r>
    </w:p>
    <w:p w14:paraId="2BBFE19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雨季施工增加费：按Ⅰ区 3 个月计列；</w:t>
      </w:r>
    </w:p>
    <w:p w14:paraId="59961E3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夜间施工增加费：不计列；</w:t>
      </w:r>
    </w:p>
    <w:p w14:paraId="2AE8066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特殊地区施工增加费：不计列；</w:t>
      </w:r>
    </w:p>
    <w:p w14:paraId="787EEA00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行车干扰工程施工增加费：不计列；</w:t>
      </w:r>
    </w:p>
    <w:p w14:paraId="6AD9BFC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施工辅助费：计列；</w:t>
      </w:r>
    </w:p>
    <w:p w14:paraId="4D931364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工地转移费：计列。 </w:t>
      </w:r>
    </w:p>
    <w:p w14:paraId="73D5D94D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企业管理费 </w:t>
      </w:r>
    </w:p>
    <w:p w14:paraId="4E9F5A1C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基本费用：计列；</w:t>
      </w:r>
    </w:p>
    <w:p w14:paraId="6718DCE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主副食运费补贴：</w:t>
      </w:r>
      <w:r>
        <w:rPr>
          <w:rFonts w:hint="eastAsia" w:eastAsia="宋体" w:cs="宋体"/>
          <w:snapToGrid w:val="0"/>
          <w:kern w:val="0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计列；</w:t>
      </w:r>
    </w:p>
    <w:p w14:paraId="7D8C177D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职工探亲路费：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计列；</w:t>
      </w:r>
    </w:p>
    <w:p w14:paraId="36EC76E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职工取暖补贴：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计列；</w:t>
      </w:r>
    </w:p>
    <w:p w14:paraId="39E26E3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财务费用：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计列。 </w:t>
      </w:r>
    </w:p>
    <w:p w14:paraId="23F882E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规费 </w:t>
      </w:r>
    </w:p>
    <w:p w14:paraId="33673961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养老保险费：按补充规定计取费率为 16%计列；</w:t>
      </w:r>
    </w:p>
    <w:p w14:paraId="674F42A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失业保险费：按补充规定计取费率为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计列；</w:t>
      </w:r>
    </w:p>
    <w:p w14:paraId="0F66CEA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医疗保险费：按补充规定计取费率为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计列；</w:t>
      </w:r>
    </w:p>
    <w:p w14:paraId="6392269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工伤保险费：按补充规定计取费率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为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0.91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%计列；</w:t>
      </w:r>
    </w:p>
    <w:p w14:paraId="0D94711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住房公积金：按补充规定计取费率为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计列； </w:t>
      </w:r>
    </w:p>
    <w:p w14:paraId="45C86B1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利润 </w:t>
      </w:r>
    </w:p>
    <w:p w14:paraId="6DEE464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利润按定额直接费及措施费、企业管理费之和的 7.42%计列。 </w:t>
      </w:r>
    </w:p>
    <w:p w14:paraId="69E9DD0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税金 </w:t>
      </w:r>
    </w:p>
    <w:p w14:paraId="37E8D5C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16" w:firstLineChars="200"/>
        <w:jc w:val="left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税金按直接费、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间接费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与利润之和的9%计列。</w:t>
      </w:r>
    </w:p>
    <w:p w14:paraId="449DE789">
      <w:pPr>
        <w:pStyle w:val="10"/>
        <w:numPr>
          <w:ilvl w:val="0"/>
          <w:numId w:val="0"/>
        </w:numPr>
        <w:ind w:leftChars="0" w:firstLine="616" w:firstLineChars="200"/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6.其他</w:t>
      </w:r>
    </w:p>
    <w:p w14:paraId="715465D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firstLine="560" w:firstLineChars="200"/>
        <w:textAlignment w:val="auto"/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建筑工程一切险（第200章至第700章合计的0.3%）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。</w:t>
      </w:r>
    </w:p>
    <w:p w14:paraId="349FC0D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firstLine="560" w:firstLineChars="200"/>
        <w:textAlignment w:val="auto"/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第三者责任险（第200章至第700章合计的0.1%）。</w:t>
      </w:r>
    </w:p>
    <w:p w14:paraId="362BB0B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firstLine="560" w:firstLineChars="200"/>
        <w:textAlignment w:val="auto"/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安全生产费（第200章至第700章合计的1.5%）。</w:t>
      </w:r>
    </w:p>
    <w:p w14:paraId="68F6893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firstLine="560" w:firstLineChars="200"/>
        <w:textAlignment w:val="auto"/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暂列金额（第200章至第700章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+ 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安全生产费合计的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%）</w:t>
      </w:r>
    </w:p>
    <w:p w14:paraId="6EB22D2F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firstLine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本预算采用同望工程造价管理软件（V11.1.1）计价。</w:t>
      </w:r>
    </w:p>
    <w:p w14:paraId="1C215E30"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right="280"/>
        <w:jc w:val="left"/>
        <w:textAlignment w:val="auto"/>
        <w:rPr>
          <w:rFonts w:hint="eastAsia" w:ascii="仿宋" w:hAnsi="仿宋" w:eastAsia="仿宋" w:cs="仿宋"/>
          <w:sz w:val="28"/>
          <w:lang w:eastAsia="zh-CN"/>
        </w:rPr>
      </w:pPr>
    </w:p>
    <w:p w14:paraId="4A3CAC57"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right="280"/>
        <w:jc w:val="left"/>
        <w:textAlignment w:val="auto"/>
        <w:rPr>
          <w:rFonts w:hint="eastAsia" w:ascii="仿宋" w:hAnsi="仿宋" w:eastAsia="仿宋" w:cs="仿宋"/>
          <w:sz w:val="28"/>
          <w:lang w:eastAsia="zh-CN"/>
        </w:rPr>
      </w:pPr>
    </w:p>
    <w:p w14:paraId="5A4B4450"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right="280"/>
        <w:jc w:val="left"/>
        <w:textAlignment w:val="auto"/>
        <w:rPr>
          <w:rFonts w:hint="eastAsia" w:ascii="仿宋" w:hAnsi="仿宋" w:eastAsia="仿宋" w:cs="仿宋"/>
          <w:sz w:val="28"/>
          <w:lang w:eastAsia="zh-CN"/>
        </w:rPr>
      </w:pPr>
    </w:p>
    <w:p w14:paraId="7E605136"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right="280"/>
        <w:jc w:val="left"/>
        <w:textAlignment w:val="auto"/>
        <w:rPr>
          <w:rFonts w:hint="eastAsia" w:ascii="仿宋" w:hAnsi="仿宋" w:eastAsia="仿宋" w:cs="仿宋"/>
          <w:sz w:val="28"/>
          <w:lang w:eastAsia="zh-CN"/>
        </w:rPr>
      </w:pPr>
    </w:p>
    <w:p w14:paraId="6FDB4A52"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line="600" w:lineRule="exact"/>
        <w:ind w:right="280"/>
        <w:jc w:val="right"/>
        <w:textAlignment w:val="auto"/>
        <w:rPr>
          <w:rFonts w:hint="eastAsia" w:ascii="仿宋" w:hAnsi="仿宋" w:eastAsia="仿宋" w:cs="仿宋"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</w:rPr>
        <w:t xml:space="preserve">             </w:t>
      </w:r>
    </w:p>
    <w:p w14:paraId="2C81190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70505">
    <w:pPr>
      <w:pStyle w:val="5"/>
      <w:rPr>
        <w:rFonts w:ascii="仿宋" w:hAnsi="仿宋" w:eastAsia="仿宋"/>
      </w:rPr>
    </w:pPr>
    <w:r>
      <w:rPr>
        <w:rFonts w:hint="eastAsia" w:ascii="仿宋" w:hAnsi="仿宋" w:eastAsia="仿宋"/>
      </w:rPr>
      <w:t xml:space="preserve">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D1019">
    <w:pPr>
      <w:pStyle w:val="6"/>
      <w:pBdr>
        <w:bottom w:val="none" w:color="auto" w:sz="0" w:space="1"/>
      </w:pBdr>
      <w:jc w:val="both"/>
      <w:rPr>
        <w:rFonts w:hint="eastAsia" w:ascii="仿宋" w:hAnsi="仿宋" w:eastAsia="仿宋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1170"/>
        </w:tabs>
        <w:ind w:left="1170" w:hanging="75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2A82"/>
    <w:rsid w:val="02750329"/>
    <w:rsid w:val="058053D4"/>
    <w:rsid w:val="07DE24CD"/>
    <w:rsid w:val="14296A94"/>
    <w:rsid w:val="14E82BDD"/>
    <w:rsid w:val="1C3B3391"/>
    <w:rsid w:val="27831118"/>
    <w:rsid w:val="2A0918EB"/>
    <w:rsid w:val="2B392561"/>
    <w:rsid w:val="3FB007B5"/>
    <w:rsid w:val="4AF92620"/>
    <w:rsid w:val="4F5E291C"/>
    <w:rsid w:val="59845C56"/>
    <w:rsid w:val="5AD57FF1"/>
    <w:rsid w:val="73D55573"/>
    <w:rsid w:val="744304CD"/>
    <w:rsid w:val="77243A5C"/>
    <w:rsid w:val="77CD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4"/>
    </w:rPr>
  </w:style>
  <w:style w:type="paragraph" w:styleId="3">
    <w:name w:val="Body Text Indent"/>
    <w:basedOn w:val="1"/>
    <w:qFormat/>
    <w:uiPriority w:val="0"/>
    <w:pPr>
      <w:spacing w:line="380" w:lineRule="exact"/>
      <w:ind w:firstLine="434" w:firstLineChars="155"/>
    </w:pPr>
    <w:rPr>
      <w:rFonts w:ascii="仿宋_GB2312" w:eastAsia="仿宋_GB2312"/>
      <w:sz w:val="28"/>
    </w:rPr>
  </w:style>
  <w:style w:type="paragraph" w:styleId="4">
    <w:name w:val="Body Text Indent 2"/>
    <w:basedOn w:val="1"/>
    <w:qFormat/>
    <w:uiPriority w:val="0"/>
    <w:pPr>
      <w:ind w:firstLine="538" w:firstLineChars="192"/>
    </w:pPr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标题1"/>
    <w:basedOn w:val="1"/>
    <w:next w:val="10"/>
    <w:qFormat/>
    <w:uiPriority w:val="0"/>
    <w:pPr>
      <w:snapToGrid w:val="0"/>
      <w:spacing w:line="480" w:lineRule="atLeast"/>
      <w:ind w:firstLine="539"/>
    </w:pPr>
    <w:rPr>
      <w:rFonts w:ascii="宋体" w:hAnsi="宋体"/>
      <w:spacing w:val="14"/>
      <w:sz w:val="24"/>
      <w:szCs w:val="20"/>
    </w:rPr>
  </w:style>
  <w:style w:type="paragraph" w:customStyle="1" w:styleId="10">
    <w:name w:val="正文1"/>
    <w:basedOn w:val="1"/>
    <w:qFormat/>
    <w:uiPriority w:val="0"/>
    <w:pPr>
      <w:snapToGrid w:val="0"/>
      <w:spacing w:line="500" w:lineRule="atLeast"/>
      <w:ind w:firstLine="539"/>
    </w:pPr>
    <w:rPr>
      <w:rFonts w:ascii="宋体"/>
      <w:spacing w:val="14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1140</Words>
  <Characters>1277</Characters>
  <Lines>0</Lines>
  <Paragraphs>0</Paragraphs>
  <TotalTime>0</TotalTime>
  <ScaleCrop>false</ScaleCrop>
  <LinksUpToDate>false</LinksUpToDate>
  <CharactersWithSpaces>1506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2026-05-08T08:55:00Z</dcterms:created>
  <dc:creator>Administrator</dc:creator>
  <cp:lastModifiedBy>Administrator</cp:lastModifiedBy>
  <dcterms:modified xsi:type="dcterms:W3CDTF">2026-07-22T08:19:31Z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eyJoZGlkIjoiNWQ5NDNkYTMxMzdlY2ZiMjc1OTQzOTlkOGE1ODMxNGIiLCJ1c2VySWQiOiIzNDQzNTU0MjIifQ==</vt:lpwstr>
  </property>
  <property fmtid="{D5CDD505-2E9C-101B-9397-08002B2CF9AE}" pid="4" name="ICV">
    <vt:lpwstr>0F8AB156684A43B689AB286D77829B6E_12</vt:lpwstr>
  </property>
</Properties>
</file>