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A4D53">
      <w:pPr>
        <w:pStyle w:val="3"/>
        <w:spacing w:line="360" w:lineRule="auto"/>
        <w:ind w:right="0"/>
        <w:rPr>
          <w:rFonts w:ascii="黑体" w:hAnsi="黑体" w:eastAsia="黑体"/>
          <w:color w:val="000000" w:themeColor="text1"/>
          <w:sz w:val="30"/>
          <w:szCs w:val="30"/>
        </w:rPr>
      </w:pPr>
      <w:r>
        <w:rPr>
          <w:rFonts w:ascii="黑体" w:hAnsi="黑体" w:eastAsia="黑体"/>
          <w:color w:val="000000" w:themeColor="text1"/>
          <w:sz w:val="30"/>
          <w:szCs w:val="30"/>
        </w:rPr>
        <w:t>合同</w:t>
      </w:r>
      <w:r>
        <w:rPr>
          <w:rFonts w:hint="eastAsia" w:ascii="黑体" w:hAnsi="黑体" w:eastAsia="黑体"/>
          <w:color w:val="000000" w:themeColor="text1"/>
          <w:sz w:val="30"/>
          <w:szCs w:val="30"/>
        </w:rPr>
        <w:t>正文</w:t>
      </w:r>
    </w:p>
    <w:p w14:paraId="3B25915A">
      <w:pPr>
        <w:pStyle w:val="4"/>
        <w:spacing w:line="360" w:lineRule="auto"/>
        <w:ind w:left="0"/>
        <w:rPr>
          <w:rFonts w:ascii="黑体" w:hAnsi="黑体" w:eastAsia="黑体"/>
          <w:b/>
          <w:color w:val="000000" w:themeColor="text1"/>
        </w:rPr>
      </w:pPr>
    </w:p>
    <w:p w14:paraId="1B9E2B82">
      <w:pPr>
        <w:pStyle w:val="4"/>
        <w:spacing w:before="7" w:line="360" w:lineRule="auto"/>
        <w:ind w:left="0"/>
        <w:rPr>
          <w:rFonts w:ascii="黑体" w:hAnsi="黑体" w:eastAsia="黑体"/>
          <w:b/>
          <w:color w:val="000000" w:themeColor="text1"/>
        </w:rPr>
      </w:pPr>
    </w:p>
    <w:p w14:paraId="7A2C88F0">
      <w:pPr>
        <w:snapToGrid w:val="0"/>
        <w:spacing w:line="360" w:lineRule="auto"/>
        <w:rPr>
          <w:rFonts w:ascii="黑体" w:hAnsi="黑体" w:eastAsia="黑体"/>
          <w:color w:val="000000" w:themeColor="text1"/>
          <w:sz w:val="24"/>
          <w:szCs w:val="24"/>
          <w:u w:val="single"/>
        </w:rPr>
      </w:pPr>
      <w:r>
        <w:rPr>
          <w:rFonts w:hint="eastAsia" w:ascii="黑体" w:hAnsi="黑体" w:eastAsia="黑体"/>
          <w:color w:val="000000" w:themeColor="text1"/>
          <w:sz w:val="24"/>
          <w:szCs w:val="24"/>
        </w:rPr>
        <w:t>采购单位（甲方）</w:t>
      </w:r>
      <w:r>
        <w:rPr>
          <w:rFonts w:hint="eastAsia" w:ascii="黑体" w:hAnsi="黑体" w:eastAsia="黑体"/>
          <w:color w:val="000000" w:themeColor="text1"/>
          <w:sz w:val="24"/>
          <w:szCs w:val="24"/>
          <w:u w:val="single"/>
        </w:rPr>
        <w:t xml:space="preserve">                     </w:t>
      </w:r>
    </w:p>
    <w:p w14:paraId="3ED0D5D3">
      <w:pPr>
        <w:snapToGrid w:val="0"/>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供 应 商（乙方）</w:t>
      </w:r>
      <w:r>
        <w:rPr>
          <w:rFonts w:hint="eastAsia" w:ascii="黑体" w:hAnsi="黑体" w:eastAsia="黑体"/>
          <w:color w:val="000000" w:themeColor="text1"/>
          <w:sz w:val="24"/>
          <w:szCs w:val="24"/>
          <w:u w:val="single"/>
        </w:rPr>
        <w:t xml:space="preserve">                     </w:t>
      </w:r>
    </w:p>
    <w:p w14:paraId="39B37508">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根据《中华人民共和国民法典》等法律、法规规定，按照采购文件和</w:t>
      </w:r>
      <w:r>
        <w:rPr>
          <w:rFonts w:hint="eastAsia" w:ascii="黑体" w:hAnsi="黑体" w:eastAsia="黑体"/>
          <w:color w:val="000000" w:themeColor="text1"/>
          <w:sz w:val="24"/>
          <w:szCs w:val="24"/>
          <w:lang w:val="en-US"/>
        </w:rPr>
        <w:t>成交</w:t>
      </w:r>
      <w:r>
        <w:rPr>
          <w:rFonts w:hint="eastAsia" w:ascii="黑体" w:hAnsi="黑体" w:eastAsia="黑体"/>
          <w:color w:val="000000" w:themeColor="text1"/>
          <w:sz w:val="24"/>
          <w:szCs w:val="24"/>
        </w:rPr>
        <w:t>供应商的</w:t>
      </w:r>
      <w:r>
        <w:rPr>
          <w:rFonts w:hint="eastAsia" w:ascii="黑体" w:hAnsi="黑体" w:eastAsia="黑体"/>
          <w:color w:val="000000" w:themeColor="text1"/>
          <w:sz w:val="24"/>
          <w:szCs w:val="24"/>
          <w:lang w:val="en-US"/>
        </w:rPr>
        <w:t>响应</w:t>
      </w:r>
      <w:r>
        <w:rPr>
          <w:rFonts w:hint="eastAsia" w:ascii="黑体" w:hAnsi="黑体" w:eastAsia="黑体"/>
          <w:color w:val="000000" w:themeColor="text1"/>
          <w:sz w:val="24"/>
          <w:szCs w:val="24"/>
        </w:rPr>
        <w:t>文件，甲乙双方签订本合同。</w:t>
      </w:r>
    </w:p>
    <w:p w14:paraId="01EC0EB4">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第一条</w:t>
      </w:r>
      <w:r>
        <w:rPr>
          <w:rFonts w:hint="eastAsia" w:eastAsia="黑体"/>
          <w:b/>
          <w:color w:val="000000" w:themeColor="text1"/>
          <w:sz w:val="24"/>
          <w:szCs w:val="24"/>
        </w:rPr>
        <w:t> </w:t>
      </w:r>
      <w:r>
        <w:rPr>
          <w:rFonts w:hint="eastAsia" w:ascii="黑体" w:hAnsi="黑体" w:eastAsia="黑体"/>
          <w:b/>
          <w:color w:val="000000" w:themeColor="text1"/>
          <w:sz w:val="24"/>
          <w:szCs w:val="24"/>
        </w:rPr>
        <w:t>服务项目内容</w:t>
      </w:r>
    </w:p>
    <w:p w14:paraId="615BB089">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1、甲方通过</w:t>
      </w:r>
      <w:r>
        <w:rPr>
          <w:rFonts w:hint="eastAsia" w:ascii="黑体" w:hAnsi="黑体" w:eastAsia="黑体"/>
          <w:color w:val="000000" w:themeColor="text1"/>
          <w:sz w:val="24"/>
          <w:szCs w:val="24"/>
          <w:u w:val="single"/>
        </w:rPr>
        <w:t xml:space="preserve">     </w:t>
      </w:r>
      <w:r>
        <w:rPr>
          <w:rFonts w:hint="eastAsia" w:ascii="黑体" w:hAnsi="黑体" w:eastAsia="黑体"/>
          <w:color w:val="000000" w:themeColor="text1"/>
          <w:sz w:val="24"/>
          <w:szCs w:val="24"/>
        </w:rPr>
        <w:t>方式确定由乙方提供以下服务：</w:t>
      </w:r>
      <w:r>
        <w:rPr>
          <w:rFonts w:hint="eastAsia" w:ascii="黑体" w:hAnsi="黑体" w:eastAsia="黑体"/>
          <w:color w:val="000000" w:themeColor="text1"/>
          <w:sz w:val="24"/>
          <w:szCs w:val="24"/>
          <w:u w:val="single"/>
        </w:rPr>
        <w:t xml:space="preserve">             。</w:t>
      </w:r>
    </w:p>
    <w:p w14:paraId="49C7DAAD">
      <w:pPr>
        <w:snapToGrid w:val="0"/>
        <w:spacing w:line="360" w:lineRule="auto"/>
        <w:ind w:firstLine="480" w:firstLineChars="200"/>
        <w:rPr>
          <w:rFonts w:hint="default" w:ascii="黑体" w:hAnsi="黑体" w:eastAsia="黑体"/>
          <w:color w:val="000000" w:themeColor="text1"/>
          <w:sz w:val="24"/>
          <w:szCs w:val="24"/>
          <w:u w:val="single"/>
          <w:lang w:val="en-US" w:eastAsia="zh-CN"/>
        </w:rPr>
      </w:pPr>
      <w:r>
        <w:rPr>
          <w:rFonts w:hint="eastAsia" w:ascii="黑体" w:hAnsi="黑体" w:eastAsia="黑体"/>
          <w:color w:val="000000" w:themeColor="text1"/>
          <w:sz w:val="24"/>
          <w:szCs w:val="24"/>
        </w:rPr>
        <w:t>2、服务内容：</w:t>
      </w:r>
      <w:r>
        <w:rPr>
          <w:rFonts w:hint="eastAsia" w:ascii="黑体" w:hAnsi="黑体" w:eastAsia="黑体"/>
          <w:color w:val="000000" w:themeColor="text1"/>
          <w:sz w:val="24"/>
          <w:szCs w:val="24"/>
          <w:u w:val="single"/>
          <w:lang w:val="en-US" w:eastAsia="zh-CN"/>
        </w:rPr>
        <w:t xml:space="preserve">                                                </w:t>
      </w:r>
    </w:p>
    <w:p w14:paraId="2D28A120">
      <w:pPr>
        <w:snapToGrid w:val="0"/>
        <w:spacing w:line="360" w:lineRule="auto"/>
        <w:ind w:firstLine="480" w:firstLineChars="200"/>
        <w:rPr>
          <w:rFonts w:hint="default" w:ascii="黑体" w:hAnsi="黑体" w:eastAsia="黑体"/>
          <w:color w:val="000000" w:themeColor="text1"/>
          <w:sz w:val="24"/>
          <w:szCs w:val="24"/>
          <w:lang w:val="en-US" w:eastAsia="zh-CN"/>
        </w:rPr>
      </w:pPr>
      <w:r>
        <w:rPr>
          <w:rFonts w:hint="eastAsia" w:ascii="黑体" w:hAnsi="黑体" w:eastAsia="黑体"/>
          <w:color w:val="000000" w:themeColor="text1"/>
          <w:sz w:val="24"/>
          <w:szCs w:val="24"/>
        </w:rPr>
        <w:t>3、服务地点：</w:t>
      </w:r>
      <w:r>
        <w:rPr>
          <w:rFonts w:hint="eastAsia" w:ascii="黑体" w:hAnsi="黑体" w:eastAsia="黑体"/>
          <w:color w:val="000000" w:themeColor="text1"/>
          <w:sz w:val="24"/>
          <w:szCs w:val="24"/>
          <w:u w:val="single"/>
        </w:rPr>
        <w:t xml:space="preserve">      </w:t>
      </w:r>
      <w:r>
        <w:rPr>
          <w:rFonts w:hint="eastAsia" w:ascii="黑体" w:hAnsi="黑体" w:eastAsia="黑体"/>
          <w:color w:val="000000" w:themeColor="text1"/>
          <w:sz w:val="24"/>
          <w:szCs w:val="24"/>
          <w:u w:val="single"/>
          <w:lang w:val="en-US" w:eastAsia="zh-CN"/>
        </w:rPr>
        <w:t xml:space="preserve">                </w:t>
      </w:r>
    </w:p>
    <w:p w14:paraId="0CACDC79">
      <w:pPr>
        <w:snapToGrid w:val="0"/>
        <w:spacing w:line="360" w:lineRule="auto"/>
        <w:ind w:firstLine="480" w:firstLineChars="200"/>
        <w:rPr>
          <w:rFonts w:hint="default" w:ascii="黑体" w:hAnsi="黑体" w:eastAsia="黑体"/>
          <w:color w:val="000000" w:themeColor="text1"/>
          <w:sz w:val="24"/>
          <w:szCs w:val="24"/>
          <w:u w:val="single"/>
          <w:lang w:val="en-US" w:eastAsia="zh-CN"/>
        </w:rPr>
      </w:pPr>
      <w:r>
        <w:rPr>
          <w:rFonts w:hint="eastAsia" w:ascii="黑体" w:hAnsi="黑体" w:eastAsia="黑体"/>
          <w:color w:val="000000" w:themeColor="text1"/>
          <w:sz w:val="24"/>
          <w:szCs w:val="24"/>
        </w:rPr>
        <w:t>4、服务期限：</w:t>
      </w:r>
      <w:r>
        <w:rPr>
          <w:rFonts w:hint="eastAsia" w:ascii="黑体" w:hAnsi="黑体" w:eastAsia="黑体"/>
          <w:color w:val="000000" w:themeColor="text1"/>
          <w:sz w:val="24"/>
          <w:szCs w:val="24"/>
          <w:u w:val="single"/>
          <w:lang w:val="en-US" w:eastAsia="zh-CN"/>
        </w:rPr>
        <w:t xml:space="preserve">                               </w:t>
      </w:r>
      <w:bookmarkStart w:id="0" w:name="_GoBack"/>
      <w:bookmarkEnd w:id="0"/>
    </w:p>
    <w:p w14:paraId="4DDB1B7D">
      <w:pPr>
        <w:snapToGrid w:val="0"/>
        <w:spacing w:line="360" w:lineRule="auto"/>
        <w:rPr>
          <w:rFonts w:hint="eastAsia" w:ascii="黑体" w:hAnsi="黑体" w:eastAsia="黑体"/>
          <w:b/>
          <w:color w:val="000000" w:themeColor="text1"/>
          <w:sz w:val="24"/>
          <w:szCs w:val="24"/>
        </w:rPr>
      </w:pPr>
      <w:r>
        <w:rPr>
          <w:rFonts w:hint="eastAsia" w:ascii="黑体" w:hAnsi="黑体" w:eastAsia="黑体"/>
          <w:b/>
          <w:color w:val="000000" w:themeColor="text1"/>
          <w:sz w:val="24"/>
          <w:szCs w:val="24"/>
        </w:rPr>
        <w:t>第二条 服务项目质量标准和要求</w:t>
      </w:r>
    </w:p>
    <w:p w14:paraId="2D08E36C">
      <w:pPr>
        <w:snapToGrid w:val="0"/>
        <w:spacing w:line="360" w:lineRule="auto"/>
        <w:ind w:firstLine="480" w:firstLineChars="200"/>
        <w:rPr>
          <w:rFonts w:hint="eastAsia" w:ascii="黑体" w:hAnsi="黑体" w:eastAsia="黑体"/>
          <w:color w:val="000000" w:themeColor="text1"/>
          <w:sz w:val="24"/>
          <w:szCs w:val="24"/>
        </w:rPr>
      </w:pPr>
      <w:r>
        <w:rPr>
          <w:rFonts w:hint="eastAsia" w:ascii="黑体" w:hAnsi="黑体" w:eastAsia="黑体"/>
          <w:color w:val="000000" w:themeColor="text1"/>
          <w:sz w:val="24"/>
          <w:szCs w:val="24"/>
          <w:lang w:val="en-US" w:eastAsia="zh-CN"/>
        </w:rPr>
        <w:t>1.</w:t>
      </w:r>
      <w:r>
        <w:rPr>
          <w:rFonts w:hint="eastAsia" w:ascii="黑体" w:hAnsi="黑体" w:eastAsia="黑体"/>
          <w:color w:val="000000" w:themeColor="text1"/>
          <w:sz w:val="24"/>
          <w:szCs w:val="24"/>
        </w:rPr>
        <w:t>提供统一、安全、高效的线上报名系统，支持多代表团、多项目报名，实现报名信息自动校验、审核与管理。</w:t>
      </w:r>
    </w:p>
    <w:p w14:paraId="7D6C75D8">
      <w:pPr>
        <w:snapToGrid w:val="0"/>
        <w:spacing w:line="360" w:lineRule="auto"/>
        <w:ind w:firstLine="480" w:firstLineChars="200"/>
        <w:rPr>
          <w:rFonts w:hint="eastAsia" w:ascii="黑体" w:hAnsi="黑体" w:eastAsia="黑体"/>
          <w:color w:val="000000" w:themeColor="text1"/>
          <w:sz w:val="24"/>
          <w:szCs w:val="24"/>
        </w:rPr>
      </w:pPr>
      <w:r>
        <w:rPr>
          <w:rFonts w:hint="eastAsia" w:ascii="黑体" w:hAnsi="黑体" w:eastAsia="黑体"/>
          <w:color w:val="000000" w:themeColor="text1"/>
          <w:sz w:val="24"/>
          <w:szCs w:val="24"/>
          <w:lang w:val="en-US" w:eastAsia="zh-CN"/>
        </w:rPr>
        <w:t>2.</w:t>
      </w:r>
      <w:r>
        <w:rPr>
          <w:rFonts w:hint="eastAsia" w:ascii="黑体" w:hAnsi="黑体" w:eastAsia="黑体"/>
          <w:color w:val="000000" w:themeColor="text1"/>
          <w:sz w:val="24"/>
          <w:szCs w:val="24"/>
        </w:rPr>
        <w:t>搭建实时、精准的成绩管理体系，支持成绩录入、核对、排名计算、奖牌统计、总分汇总，确保成绩数据权威可靠。</w:t>
      </w:r>
    </w:p>
    <w:p w14:paraId="04FC33C2">
      <w:pPr>
        <w:snapToGrid w:val="0"/>
        <w:spacing w:line="360" w:lineRule="auto"/>
        <w:ind w:firstLine="480" w:firstLineChars="200"/>
        <w:rPr>
          <w:rFonts w:hint="eastAsia" w:ascii="黑体" w:hAnsi="黑体" w:eastAsia="黑体"/>
          <w:color w:val="000000" w:themeColor="text1"/>
          <w:sz w:val="24"/>
          <w:szCs w:val="24"/>
        </w:rPr>
      </w:pPr>
      <w:r>
        <w:rPr>
          <w:rFonts w:hint="eastAsia" w:ascii="黑体" w:hAnsi="黑体" w:eastAsia="黑体"/>
          <w:color w:val="000000" w:themeColor="text1"/>
          <w:sz w:val="24"/>
          <w:szCs w:val="24"/>
          <w:lang w:val="en-US" w:eastAsia="zh-CN"/>
        </w:rPr>
        <w:t>3.</w:t>
      </w:r>
      <w:r>
        <w:rPr>
          <w:rFonts w:hint="eastAsia" w:ascii="黑体" w:hAnsi="黑体" w:eastAsia="黑体"/>
          <w:color w:val="000000" w:themeColor="text1"/>
          <w:sz w:val="24"/>
          <w:szCs w:val="24"/>
        </w:rPr>
        <w:t>打造多渠道、全覆盖的成绩公告服务，通过官网链接、移动端、指挥中心大屏等发布赛事信息，满足公众、代表队、媒体查询需求。</w:t>
      </w:r>
    </w:p>
    <w:p w14:paraId="4297F1EC">
      <w:pPr>
        <w:snapToGrid w:val="0"/>
        <w:spacing w:line="360" w:lineRule="auto"/>
        <w:ind w:firstLine="480" w:firstLineChars="200"/>
        <w:rPr>
          <w:rFonts w:hint="eastAsia" w:ascii="黑体" w:hAnsi="黑体" w:eastAsia="黑体"/>
          <w:color w:val="000000" w:themeColor="text1"/>
          <w:sz w:val="24"/>
          <w:szCs w:val="24"/>
        </w:rPr>
      </w:pPr>
      <w:r>
        <w:rPr>
          <w:rFonts w:hint="eastAsia" w:ascii="黑体" w:hAnsi="黑体" w:eastAsia="黑体"/>
          <w:color w:val="000000" w:themeColor="text1"/>
          <w:sz w:val="24"/>
          <w:szCs w:val="24"/>
          <w:lang w:val="en-US" w:eastAsia="zh-CN"/>
        </w:rPr>
        <w:t>4.</w:t>
      </w:r>
      <w:r>
        <w:rPr>
          <w:rFonts w:hint="eastAsia" w:ascii="黑体" w:hAnsi="黑体" w:eastAsia="黑体"/>
          <w:color w:val="000000" w:themeColor="text1"/>
          <w:sz w:val="24"/>
          <w:szCs w:val="24"/>
        </w:rPr>
        <w:t>实现赛事数据集中存储、统一管理、安全共享，为赛事组织、决策分析、赛后复盘提供数据支撑。</w:t>
      </w:r>
    </w:p>
    <w:p w14:paraId="1F24BBB1">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第三条 合同金额</w:t>
      </w:r>
    </w:p>
    <w:p w14:paraId="1F8572C2">
      <w:pPr>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1、本合同服务费用总金额为（大写）：</w:t>
      </w:r>
      <w:r>
        <w:rPr>
          <w:rFonts w:hint="eastAsia" w:ascii="黑体" w:hAnsi="黑体" w:eastAsia="黑体"/>
          <w:color w:val="000000" w:themeColor="text1"/>
          <w:sz w:val="24"/>
          <w:szCs w:val="24"/>
          <w:u w:val="single"/>
        </w:rPr>
        <w:t xml:space="preserve">            （RMB     元）。</w:t>
      </w:r>
      <w:r>
        <w:rPr>
          <w:rFonts w:hint="eastAsia" w:ascii="黑体" w:hAnsi="黑体" w:eastAsia="黑体"/>
          <w:color w:val="000000" w:themeColor="text1"/>
          <w:sz w:val="24"/>
          <w:szCs w:val="24"/>
        </w:rPr>
        <w:t xml:space="preserve"> </w:t>
      </w:r>
    </w:p>
    <w:p w14:paraId="6629D581">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第四条 付款方式</w:t>
      </w:r>
    </w:p>
    <w:p w14:paraId="7302C7F2">
      <w:pPr>
        <w:tabs>
          <w:tab w:val="left" w:pos="540"/>
        </w:tabs>
        <w:autoSpaceDE/>
        <w:autoSpaceDN/>
        <w:spacing w:line="360" w:lineRule="auto"/>
        <w:ind w:left="125" w:leftChars="57" w:firstLine="480" w:firstLineChars="200"/>
        <w:rPr>
          <w:rFonts w:ascii="黑体" w:hAnsi="黑体" w:eastAsia="黑体"/>
          <w:color w:val="000000" w:themeColor="text1"/>
          <w:sz w:val="24"/>
          <w:szCs w:val="24"/>
          <w:lang w:val="en-US"/>
        </w:rPr>
      </w:pPr>
      <w:r>
        <w:rPr>
          <w:rFonts w:hint="eastAsia" w:ascii="黑体" w:hAnsi="黑体" w:eastAsia="黑体"/>
          <w:color w:val="000000" w:themeColor="text1"/>
          <w:sz w:val="24"/>
          <w:szCs w:val="24"/>
          <w:lang w:val="en-US"/>
        </w:rPr>
        <w:t>本合同签订后15个工作</w:t>
      </w:r>
      <w:r>
        <w:rPr>
          <w:rFonts w:ascii="黑体" w:hAnsi="黑体" w:eastAsia="黑体"/>
          <w:color w:val="000000" w:themeColor="text1"/>
          <w:sz w:val="24"/>
          <w:szCs w:val="24"/>
          <w:lang w:val="en-US"/>
        </w:rPr>
        <w:t>日内，甲方</w:t>
      </w:r>
      <w:r>
        <w:rPr>
          <w:rFonts w:hint="eastAsia" w:ascii="黑体" w:hAnsi="黑体" w:eastAsia="黑体"/>
          <w:color w:val="000000" w:themeColor="text1"/>
          <w:sz w:val="24"/>
          <w:szCs w:val="24"/>
          <w:lang w:val="en-US"/>
        </w:rPr>
        <w:t>收到乙方开具的有效发票后，</w:t>
      </w:r>
      <w:r>
        <w:rPr>
          <w:rFonts w:ascii="黑体" w:hAnsi="黑体" w:eastAsia="黑体"/>
          <w:color w:val="000000" w:themeColor="text1"/>
          <w:sz w:val="24"/>
          <w:szCs w:val="24"/>
          <w:lang w:val="en-US"/>
        </w:rPr>
        <w:t>支付合同款</w:t>
      </w:r>
      <w:r>
        <w:rPr>
          <w:rFonts w:hint="eastAsia" w:ascii="黑体" w:hAnsi="黑体" w:eastAsia="黑体"/>
          <w:color w:val="000000" w:themeColor="text1"/>
          <w:sz w:val="24"/>
          <w:szCs w:val="24"/>
          <w:lang w:val="en-US" w:eastAsia="zh-CN"/>
        </w:rPr>
        <w:t>4</w:t>
      </w:r>
      <w:r>
        <w:rPr>
          <w:rFonts w:hint="eastAsia" w:ascii="黑体" w:hAnsi="黑体" w:eastAsia="黑体"/>
          <w:color w:val="000000" w:themeColor="text1"/>
          <w:sz w:val="24"/>
          <w:szCs w:val="24"/>
          <w:lang w:val="en-US"/>
        </w:rPr>
        <w:t xml:space="preserve">0%，即     </w:t>
      </w:r>
      <w:r>
        <w:rPr>
          <w:rFonts w:ascii="黑体" w:hAnsi="黑体" w:eastAsia="黑体"/>
          <w:color w:val="000000" w:themeColor="text1"/>
          <w:sz w:val="24"/>
          <w:szCs w:val="24"/>
          <w:lang w:val="en-US"/>
        </w:rPr>
        <w:t>元，（大写：</w:t>
      </w:r>
      <w:r>
        <w:rPr>
          <w:rFonts w:hint="eastAsia" w:ascii="黑体" w:hAnsi="黑体" w:eastAsia="黑体"/>
          <w:color w:val="000000" w:themeColor="text1"/>
          <w:sz w:val="24"/>
          <w:szCs w:val="24"/>
          <w:lang w:val="en-US"/>
        </w:rPr>
        <w:t xml:space="preserve">      </w:t>
      </w:r>
      <w:r>
        <w:rPr>
          <w:rFonts w:ascii="黑体" w:hAnsi="黑体" w:eastAsia="黑体"/>
          <w:color w:val="000000" w:themeColor="text1"/>
          <w:sz w:val="24"/>
          <w:szCs w:val="24"/>
          <w:lang w:val="en-US"/>
        </w:rPr>
        <w:t>元）；</w:t>
      </w:r>
      <w:r>
        <w:rPr>
          <w:rFonts w:hint="eastAsia" w:ascii="黑体" w:hAnsi="黑体" w:eastAsia="黑体"/>
          <w:color w:val="000000" w:themeColor="text1"/>
          <w:sz w:val="24"/>
          <w:szCs w:val="24"/>
          <w:lang w:val="en-US"/>
        </w:rPr>
        <w:t>待系统开发完毕、正式上线且经甲方验收合格后，</w:t>
      </w:r>
      <w:r>
        <w:rPr>
          <w:rFonts w:ascii="黑体" w:hAnsi="黑体" w:eastAsia="黑体"/>
          <w:color w:val="000000" w:themeColor="text1"/>
          <w:sz w:val="24"/>
          <w:szCs w:val="24"/>
          <w:lang w:val="en-US"/>
        </w:rPr>
        <w:t>支付合同款的</w:t>
      </w:r>
      <w:r>
        <w:rPr>
          <w:rFonts w:hint="eastAsia" w:ascii="黑体" w:hAnsi="黑体" w:eastAsia="黑体"/>
          <w:color w:val="000000" w:themeColor="text1"/>
          <w:sz w:val="24"/>
          <w:szCs w:val="24"/>
          <w:lang w:val="en-US" w:eastAsia="zh-CN"/>
        </w:rPr>
        <w:t>6</w:t>
      </w:r>
      <w:r>
        <w:rPr>
          <w:rFonts w:hint="eastAsia" w:ascii="黑体" w:hAnsi="黑体" w:eastAsia="黑体"/>
          <w:color w:val="000000" w:themeColor="text1"/>
          <w:sz w:val="24"/>
          <w:szCs w:val="24"/>
          <w:lang w:val="en-US"/>
        </w:rPr>
        <w:t>0%</w:t>
      </w:r>
      <w:r>
        <w:rPr>
          <w:rFonts w:ascii="黑体" w:hAnsi="黑体" w:eastAsia="黑体"/>
          <w:color w:val="000000" w:themeColor="text1"/>
          <w:sz w:val="24"/>
          <w:szCs w:val="24"/>
          <w:lang w:val="en-US"/>
        </w:rPr>
        <w:t>，即</w:t>
      </w:r>
      <w:r>
        <w:rPr>
          <w:rFonts w:hint="eastAsia" w:ascii="黑体" w:hAnsi="黑体" w:eastAsia="黑体"/>
          <w:color w:val="000000" w:themeColor="text1"/>
          <w:sz w:val="24"/>
          <w:szCs w:val="24"/>
          <w:lang w:val="en-US"/>
        </w:rPr>
        <w:t xml:space="preserve">     元</w:t>
      </w:r>
      <w:r>
        <w:rPr>
          <w:rFonts w:ascii="黑体" w:hAnsi="黑体" w:eastAsia="黑体"/>
          <w:color w:val="000000" w:themeColor="text1"/>
          <w:sz w:val="24"/>
          <w:szCs w:val="24"/>
          <w:lang w:val="en-US"/>
        </w:rPr>
        <w:t>（大写：</w:t>
      </w:r>
      <w:r>
        <w:rPr>
          <w:rFonts w:hint="eastAsia" w:ascii="黑体" w:hAnsi="黑体" w:eastAsia="黑体"/>
          <w:color w:val="000000" w:themeColor="text1"/>
          <w:sz w:val="24"/>
          <w:szCs w:val="24"/>
          <w:lang w:val="en-US"/>
        </w:rPr>
        <w:t xml:space="preserve">    </w:t>
      </w:r>
      <w:r>
        <w:rPr>
          <w:rFonts w:ascii="黑体" w:hAnsi="黑体" w:eastAsia="黑体"/>
          <w:color w:val="000000" w:themeColor="text1"/>
          <w:sz w:val="24"/>
          <w:szCs w:val="24"/>
          <w:lang w:val="en-US"/>
        </w:rPr>
        <w:t xml:space="preserve">） </w:t>
      </w:r>
    </w:p>
    <w:p w14:paraId="0A2AFD24">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第五条 验收方及验收标准</w:t>
      </w:r>
    </w:p>
    <w:p w14:paraId="0D85876F">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1、甲方或甲方委托的其他机构应及时对乙方提供的服务进行验收。验收时乙方应派员参加，并提供服务结案报告验收单，共同对验收结果进行确认，并承担相关责任。</w:t>
      </w:r>
    </w:p>
    <w:p w14:paraId="1E49A2D5">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第六条 甲方的权利和义务</w:t>
      </w:r>
    </w:p>
    <w:p w14:paraId="20147BF5">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(一）甲方的权利</w:t>
      </w:r>
    </w:p>
    <w:p w14:paraId="7A7E061E">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1、甲方有权随时向乙方了解项目进度，并要求乙方提供项目相关资料。</w:t>
      </w:r>
    </w:p>
    <w:p w14:paraId="06B7B379">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2、甲方有权对项目资金使用情况进行监督、检查，并要求乙方提供相关资料。</w:t>
      </w:r>
    </w:p>
    <w:p w14:paraId="57985708">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3、甲方有权按照本合同约定或有关法律法规、政府管理的相关职能规定，对本项目进行监督和检查，有权要求乙方按照监督检查情况制定相应措施并加以整改。甲方不因行使该监督和检查权而承担任何责任，也不因此减轻或免除乙方根据本合同约定或相关法律法规规定应承担的任何义务或责任。</w:t>
      </w:r>
    </w:p>
    <w:p w14:paraId="0D79DCE9">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4、甲方有权在乙方履行合同过程中出现损害或可能损害公共利益、公共安全情形时终止本合同。</w:t>
      </w:r>
    </w:p>
    <w:p w14:paraId="7FA960C0">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5、甲方有权根据国家政策或法律法规的变动对服务项目的需求标准和质量要求作出相应变动或者取消项目。</w:t>
      </w:r>
    </w:p>
    <w:p w14:paraId="6F24AB43">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6、甲方有权将乙方履行合同情况及不符合有关管理规定情况，向相关部门报告并纳入不良信用记录、年检（报）、评估、执法等监管体系中。</w:t>
      </w:r>
    </w:p>
    <w:p w14:paraId="3212353C">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(二）甲方的义务</w:t>
      </w:r>
    </w:p>
    <w:p w14:paraId="7B61C00E">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1、甲方应及时向乙方提供与履行本合同相关的所有必须的文件、资料。</w:t>
      </w:r>
    </w:p>
    <w:p w14:paraId="3059593C">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2、甲方应为乙方履行本合同过程中与相关政府部门及其他第三方的沟通、协调提供必要的协助。</w:t>
      </w:r>
    </w:p>
    <w:p w14:paraId="012168BD">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3、甲方应按照合同约定支付服务费用。</w:t>
      </w:r>
    </w:p>
    <w:p w14:paraId="3B2EC9A6">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第七条 乙方的权利和义务</w:t>
      </w:r>
    </w:p>
    <w:p w14:paraId="4C9BF94A">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(一）乙方的权利</w:t>
      </w:r>
    </w:p>
    <w:p w14:paraId="3866EAAF">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1、乙方有权按照本合同约定向甲方收取服务费用。</w:t>
      </w:r>
    </w:p>
    <w:p w14:paraId="465FB215">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2、乙方有权自甲方处获得与提供本合同项下服务相关的所有必须的文件、资料。</w:t>
      </w:r>
    </w:p>
    <w:p w14:paraId="2B24E34D">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(二）乙方的义务</w:t>
      </w:r>
    </w:p>
    <w:p w14:paraId="5980FCB6">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1、乙方应配备具有相应资质、特定经验的工作人员负责项目实施，按照本合同约定的标准、要求和时间完成项目。</w:t>
      </w:r>
    </w:p>
    <w:p w14:paraId="54D60399">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2、乙方不得以任何理由将本合同项下的服务项目分包或转包给第三方承担。</w:t>
      </w:r>
    </w:p>
    <w:p w14:paraId="4D5BA5BE">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3、乙方应全面履行本项目实施过程中的相关安全管理职责，因乙方未尽到管理职责发生安全事故的，由乙方承担相应的法律责任。</w:t>
      </w:r>
    </w:p>
    <w:p w14:paraId="396DCB6F">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4、乙方承诺根据本合同提供的服务及相关的软件和技术资料，均已取得有关知识产权的权利人的合法授权。如发生涉及到专利权、著作权、商标权等争议，乙方负责处理并承担由此引起的全部法律及经济责任。</w:t>
      </w:r>
    </w:p>
    <w:p w14:paraId="0711BED2">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5、乙方应接受并配合甲方或甲方组织的对本合同履行情况的监督与检查，对于甲方指出的问题，应及时作出合理解释或予以纠正。</w:t>
      </w:r>
    </w:p>
    <w:p w14:paraId="6A308D8A">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6、乙方应对项目资金进行规范的财务管理和会计核算，加强自身监督，确保资金规范管理和使用。</w:t>
      </w:r>
    </w:p>
    <w:p w14:paraId="589F2500">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7、乙方应建立健全财务管理与报告制度，按要求向甲方提供资金的使用情况、项目执行情况、成果总结等材料，并配合甲方及甲方组织的监督检查或绩效评价。</w:t>
      </w:r>
    </w:p>
    <w:p w14:paraId="4E990638">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8、乙方应严格按时按质完成本合同约定的服务。</w:t>
      </w:r>
    </w:p>
    <w:p w14:paraId="269D1713">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9、乙方应根据甲方要求，无条件接受和配合甲方或甲方委托的会计师事务所进行的与本合同相关的审计。乙方应保存与本合同相关的记录和账目，保存期限为本合同履行完毕或终止后15年。经提前通知，甲方或甲方委托的会计师事务所有权检查并复制上述记录和账目。</w:t>
      </w:r>
    </w:p>
    <w:p w14:paraId="3A0AA55D">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10、项目交付后，乙方应无条件返还甲方向其提供的文件、资料并向甲方移交项目资料，同时乙方应当自留一份完整的项目档案并予以妥善保存。</w:t>
      </w:r>
    </w:p>
    <w:p w14:paraId="56618AF6">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第八条 违约责任</w:t>
      </w:r>
    </w:p>
    <w:p w14:paraId="5F4A8A6D">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在本合同履行过程中，双方因违约或造成对方经济损失的应当赔偿。</w:t>
      </w:r>
    </w:p>
    <w:p w14:paraId="3B223E4A">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1、甲方无正当理由拒绝接收服务，到期拒付服务费的，甲方向乙方偿付本合同总服务费</w:t>
      </w:r>
      <w:r>
        <w:rPr>
          <w:rFonts w:hint="eastAsia" w:ascii="黑体" w:hAnsi="黑体" w:eastAsia="黑体"/>
          <w:color w:val="000000" w:themeColor="text1"/>
          <w:sz w:val="24"/>
          <w:szCs w:val="24"/>
          <w:u w:val="single"/>
        </w:rPr>
        <w:t xml:space="preserve"> 30 </w:t>
      </w:r>
      <w:r>
        <w:rPr>
          <w:rFonts w:hint="eastAsia" w:ascii="黑体" w:hAnsi="黑体" w:eastAsia="黑体"/>
          <w:color w:val="000000" w:themeColor="text1"/>
          <w:sz w:val="24"/>
          <w:szCs w:val="24"/>
        </w:rPr>
        <w:t>%的违约金。甲方逾期付款的（因财政支付中心原因造成的逾期支付除外），每日按逾期付款金额的</w:t>
      </w:r>
      <w:r>
        <w:rPr>
          <w:rFonts w:hint="eastAsia" w:ascii="黑体" w:hAnsi="黑体" w:eastAsia="黑体"/>
          <w:color w:val="000000" w:themeColor="text1"/>
          <w:sz w:val="24"/>
          <w:szCs w:val="24"/>
          <w:u w:val="single"/>
        </w:rPr>
        <w:t xml:space="preserve"> 1 </w:t>
      </w:r>
      <w:r>
        <w:rPr>
          <w:rFonts w:hint="eastAsia" w:ascii="黑体" w:hAnsi="黑体" w:eastAsia="黑体"/>
          <w:color w:val="000000" w:themeColor="text1"/>
          <w:sz w:val="24"/>
          <w:szCs w:val="24"/>
        </w:rPr>
        <w:t>‰向乙方偿付违约金，最高不超过逾期付款金额的10%。</w:t>
      </w:r>
    </w:p>
    <w:p w14:paraId="3546F053">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2、乙方提供的服务不符合本项目相关文件和本合同规定的，甲方有权解除合同，并要求乙方退还甲方已支付的所有费用，并且乙方须向甲方支付本合同总服务费</w:t>
      </w:r>
      <w:r>
        <w:rPr>
          <w:rFonts w:hint="eastAsia" w:ascii="黑体" w:hAnsi="黑体" w:eastAsia="黑体"/>
          <w:color w:val="000000" w:themeColor="text1"/>
          <w:sz w:val="24"/>
          <w:szCs w:val="24"/>
          <w:u w:val="single"/>
        </w:rPr>
        <w:t xml:space="preserve"> 30</w:t>
      </w:r>
      <w:r>
        <w:rPr>
          <w:rFonts w:hint="eastAsia" w:ascii="黑体" w:hAnsi="黑体" w:eastAsia="黑体"/>
          <w:color w:val="000000" w:themeColor="text1"/>
          <w:sz w:val="24"/>
          <w:szCs w:val="24"/>
        </w:rPr>
        <w:t xml:space="preserve"> %的违约金。</w:t>
      </w:r>
    </w:p>
    <w:p w14:paraId="7D019926">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3、乙方未能按照本合同约定时间提供服务或完成约定的项目服务内容的，从逾期之日起每日按本合同总服务费</w:t>
      </w:r>
      <w:r>
        <w:rPr>
          <w:rFonts w:hint="eastAsia" w:ascii="黑体" w:hAnsi="黑体" w:eastAsia="黑体"/>
          <w:color w:val="000000" w:themeColor="text1"/>
          <w:sz w:val="24"/>
          <w:szCs w:val="24"/>
          <w:u w:val="single"/>
        </w:rPr>
        <w:t xml:space="preserve">1 </w:t>
      </w:r>
      <w:r>
        <w:rPr>
          <w:rFonts w:hint="eastAsia" w:ascii="黑体" w:hAnsi="黑体" w:eastAsia="黑体"/>
          <w:color w:val="000000" w:themeColor="text1"/>
          <w:sz w:val="24"/>
          <w:szCs w:val="24"/>
        </w:rPr>
        <w:t>‰的数额向甲方支付违约金；逾期</w:t>
      </w:r>
      <w:r>
        <w:rPr>
          <w:rFonts w:hint="eastAsia" w:ascii="黑体" w:hAnsi="黑体" w:eastAsia="黑体"/>
          <w:color w:val="000000" w:themeColor="text1"/>
          <w:sz w:val="24"/>
          <w:szCs w:val="24"/>
          <w:u w:val="single"/>
        </w:rPr>
        <w:t>15</w:t>
      </w:r>
      <w:r>
        <w:rPr>
          <w:rFonts w:hint="eastAsia" w:ascii="黑体" w:hAnsi="黑体" w:eastAsia="黑体"/>
          <w:color w:val="000000" w:themeColor="text1"/>
          <w:sz w:val="24"/>
          <w:szCs w:val="24"/>
        </w:rPr>
        <w:t>日以上的，甲方有权终止合同，由此造成的甲方经济损失由乙方承担。</w:t>
      </w:r>
    </w:p>
    <w:p w14:paraId="733DDD3F">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4、未经甲方同意，乙方不得擅自将本合同服务分包或转包给第三方承担。如擅自转包或分包，则乙方应支付给甲方本合同总服务费</w:t>
      </w:r>
      <w:r>
        <w:rPr>
          <w:rFonts w:hint="eastAsia" w:ascii="黑体" w:hAnsi="黑体" w:eastAsia="黑体"/>
          <w:color w:val="000000" w:themeColor="text1"/>
          <w:sz w:val="24"/>
          <w:szCs w:val="24"/>
          <w:u w:val="single"/>
        </w:rPr>
        <w:t xml:space="preserve">30 </w:t>
      </w:r>
      <w:r>
        <w:rPr>
          <w:rFonts w:hint="eastAsia" w:ascii="黑体" w:hAnsi="黑体" w:eastAsia="黑体"/>
          <w:color w:val="000000" w:themeColor="text1"/>
          <w:sz w:val="24"/>
          <w:szCs w:val="24"/>
        </w:rPr>
        <w:t>%的违约金，甲方有权解除本合同，并要求乙方退还甲方已支付的所有费用。</w:t>
      </w:r>
    </w:p>
    <w:p w14:paraId="0B86D340">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5、乙方如泄露甲方的数据，甲方有权要求乙方赔偿，具体赔偿金额按泄露数据造成的经济损失决定，最高不超过合同总金额。</w:t>
      </w:r>
    </w:p>
    <w:p w14:paraId="5922F59B">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6、其他违约责任按《中华人民共和国民法典》处理。</w:t>
      </w:r>
    </w:p>
    <w:p w14:paraId="0A54DDDA">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第九条 知识产权归属</w:t>
      </w:r>
    </w:p>
    <w:p w14:paraId="56176669">
      <w:pPr>
        <w:snapToGrid w:val="0"/>
        <w:spacing w:line="360" w:lineRule="auto"/>
        <w:ind w:firstLine="480" w:firstLineChars="200"/>
        <w:rPr>
          <w:rFonts w:ascii="黑体" w:hAnsi="黑体" w:eastAsia="黑体"/>
          <w:color w:val="000000" w:themeColor="text1"/>
          <w:sz w:val="24"/>
          <w:szCs w:val="24"/>
        </w:rPr>
      </w:pPr>
      <w:r>
        <w:rPr>
          <w:rFonts w:hint="eastAsia" w:eastAsia="黑体"/>
          <w:color w:val="000000" w:themeColor="text1"/>
          <w:sz w:val="24"/>
          <w:szCs w:val="24"/>
        </w:rPr>
        <w:t> </w:t>
      </w:r>
      <w:r>
        <w:rPr>
          <w:rFonts w:hint="eastAsia" w:ascii="黑体" w:hAnsi="黑体" w:eastAsia="黑体"/>
          <w:color w:val="000000" w:themeColor="text1"/>
          <w:sz w:val="24"/>
          <w:szCs w:val="24"/>
        </w:rPr>
        <w:t>本项目数据所有权归甲方所有，乙方不得留存、复用，服务结束后将所有数据交由甲方。</w:t>
      </w:r>
    </w:p>
    <w:p w14:paraId="51C8F00C">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第十条 保密条款</w:t>
      </w:r>
    </w:p>
    <w:p w14:paraId="49CC223B">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乙方应遵守国家有关保密的法律法规和行业规定，并对甲方提供的资料负有保密义务。未经甲方同意，不得将承接政府公共服务项目获得的政府、公民个人等各种信息和资料提供给其他单位和个人。如发生以上情况，甲方有权索赔。</w:t>
      </w:r>
    </w:p>
    <w:p w14:paraId="63B2098F">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2、乙方须采取加密、脱敏、访问控制等安全措施保护数据安全与个人信息。</w:t>
      </w:r>
    </w:p>
    <w:p w14:paraId="42741037">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3、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6C4E2C96">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第十一条 争议的解决</w:t>
      </w:r>
    </w:p>
    <w:p w14:paraId="3F0E0981">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本合同在履行过程中发生的任何争议，如双方不能通过友好协商解决，通过甲方所在地有管辖权的人民法院诉讼处理。</w:t>
      </w:r>
    </w:p>
    <w:p w14:paraId="2DD9B153">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第十二条 不可抗力</w:t>
      </w:r>
    </w:p>
    <w:p w14:paraId="6B474FB3">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任何一方由于不可抗力原因不能履行合同时，应在不可抗力事件发生后3日内向对方通报，以减轻可能给对方造成的损失，在取得有关机构的不可抗力证明或双方谅解确认后，允许延期履行或修订合同，并可根据具体情况部分或全部免于承担违约责任。</w:t>
      </w:r>
    </w:p>
    <w:p w14:paraId="58B07A47">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第十三条 合同的终止</w:t>
      </w:r>
    </w:p>
    <w:p w14:paraId="78032620">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1、本合同期满，双方未续签合同的；</w:t>
      </w:r>
    </w:p>
    <w:p w14:paraId="0D6492A6">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2、乙方服务能力丧失，致使本合同服务无法正常提供的；</w:t>
      </w:r>
    </w:p>
    <w:p w14:paraId="0F74AC1F">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3、在履行合同过程中，发现乙方已不符合承接主体应具备的条件，造成合同无法履行的；</w:t>
      </w:r>
    </w:p>
    <w:p w14:paraId="33046DF4">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4、受国家政策或法律法规变动影响，经双方协商终止本合同的。</w:t>
      </w:r>
    </w:p>
    <w:p w14:paraId="6091A947">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第十四条 税费发生与履行</w:t>
      </w:r>
    </w:p>
    <w:p w14:paraId="224F6617">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本合同有关的一切税费均由乙方负担。</w:t>
      </w:r>
    </w:p>
    <w:p w14:paraId="049EEBCB">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第十五条 其他</w:t>
      </w:r>
    </w:p>
    <w:p w14:paraId="3A401993">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1、在履行本合同过程中，所有经双方签署确认的文件（包括会议纪要、补充协议、往来信函）即成为本合同的有效组成部分。</w:t>
      </w:r>
    </w:p>
    <w:p w14:paraId="68FFBBEE">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2、如一方地址、电话、传真号码及乙方银行账户信息有变更，应在变更当日书面通知对方，否则，应承担相应责任。</w:t>
      </w:r>
    </w:p>
    <w:p w14:paraId="121E6EEF">
      <w:pPr>
        <w:snapToGrid w:val="0"/>
        <w:spacing w:line="360" w:lineRule="auto"/>
        <w:rPr>
          <w:rFonts w:ascii="黑体" w:hAnsi="黑体" w:eastAsia="黑体"/>
          <w:b/>
          <w:color w:val="000000" w:themeColor="text1"/>
          <w:sz w:val="24"/>
          <w:szCs w:val="24"/>
        </w:rPr>
      </w:pPr>
      <w:r>
        <w:rPr>
          <w:rFonts w:hint="eastAsia" w:ascii="黑体" w:hAnsi="黑体" w:eastAsia="黑体"/>
          <w:b/>
          <w:color w:val="000000" w:themeColor="text1"/>
          <w:sz w:val="24"/>
          <w:szCs w:val="24"/>
        </w:rPr>
        <w:t>第十六条 合同生效</w:t>
      </w:r>
    </w:p>
    <w:p w14:paraId="433C758F">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1、本合同订立时间：</w:t>
      </w:r>
      <w:r>
        <w:rPr>
          <w:rFonts w:hint="eastAsia" w:ascii="黑体" w:hAnsi="黑体" w:eastAsia="黑体"/>
          <w:color w:val="000000" w:themeColor="text1"/>
          <w:sz w:val="24"/>
          <w:szCs w:val="24"/>
          <w:u w:val="single"/>
        </w:rPr>
        <w:t xml:space="preserve">      </w:t>
      </w:r>
      <w:r>
        <w:rPr>
          <w:rFonts w:hint="eastAsia" w:eastAsia="黑体"/>
          <w:color w:val="000000" w:themeColor="text1"/>
          <w:sz w:val="24"/>
          <w:szCs w:val="24"/>
        </w:rPr>
        <w:t> </w:t>
      </w:r>
      <w:r>
        <w:rPr>
          <w:rFonts w:hint="eastAsia" w:ascii="黑体" w:hAnsi="黑体" w:eastAsia="黑体"/>
          <w:color w:val="000000" w:themeColor="text1"/>
          <w:sz w:val="24"/>
          <w:szCs w:val="24"/>
        </w:rPr>
        <w:t>年</w:t>
      </w:r>
      <w:r>
        <w:rPr>
          <w:rFonts w:hint="eastAsia" w:eastAsia="黑体"/>
          <w:color w:val="000000" w:themeColor="text1"/>
          <w:sz w:val="24"/>
          <w:szCs w:val="24"/>
        </w:rPr>
        <w:t> </w:t>
      </w:r>
      <w:r>
        <w:rPr>
          <w:rFonts w:hint="eastAsia" w:ascii="黑体" w:hAnsi="黑体" w:eastAsia="黑体"/>
          <w:color w:val="000000" w:themeColor="text1"/>
          <w:sz w:val="24"/>
          <w:szCs w:val="24"/>
          <w:u w:val="single"/>
        </w:rPr>
        <w:t xml:space="preserve">    </w:t>
      </w:r>
      <w:r>
        <w:rPr>
          <w:rFonts w:hint="eastAsia" w:ascii="黑体" w:hAnsi="黑体" w:eastAsia="黑体"/>
          <w:color w:val="000000" w:themeColor="text1"/>
          <w:sz w:val="24"/>
          <w:szCs w:val="24"/>
        </w:rPr>
        <w:t>月</w:t>
      </w:r>
      <w:r>
        <w:rPr>
          <w:rFonts w:hint="eastAsia" w:ascii="黑体" w:hAnsi="黑体" w:eastAsia="黑体"/>
          <w:color w:val="000000" w:themeColor="text1"/>
          <w:sz w:val="24"/>
          <w:szCs w:val="24"/>
          <w:u w:val="single"/>
        </w:rPr>
        <w:t xml:space="preserve">      </w:t>
      </w:r>
      <w:r>
        <w:rPr>
          <w:rFonts w:hint="eastAsia" w:ascii="黑体" w:hAnsi="黑体" w:eastAsia="黑体"/>
          <w:color w:val="000000" w:themeColor="text1"/>
          <w:sz w:val="24"/>
          <w:szCs w:val="24"/>
        </w:rPr>
        <w:t>日。</w:t>
      </w:r>
    </w:p>
    <w:p w14:paraId="092B0804">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2、本合同订立地点：</w:t>
      </w:r>
      <w:r>
        <w:rPr>
          <w:rFonts w:hint="eastAsia" w:ascii="黑体" w:hAnsi="黑体" w:eastAsia="黑体"/>
          <w:color w:val="000000" w:themeColor="text1"/>
          <w:sz w:val="24"/>
          <w:szCs w:val="24"/>
          <w:u w:val="single"/>
        </w:rPr>
        <w:t xml:space="preserve">         </w:t>
      </w:r>
      <w:r>
        <w:rPr>
          <w:rFonts w:hint="eastAsia" w:ascii="黑体" w:hAnsi="黑体" w:eastAsia="黑体"/>
          <w:color w:val="000000" w:themeColor="text1"/>
          <w:sz w:val="24"/>
          <w:szCs w:val="24"/>
        </w:rPr>
        <w:t>。</w:t>
      </w:r>
    </w:p>
    <w:p w14:paraId="5264DED5">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3、本合同在甲、乙双方法定代表人或其授权代表签章之日起生效。</w:t>
      </w:r>
    </w:p>
    <w:p w14:paraId="2ADE6334">
      <w:pPr>
        <w:snapToGrid w:val="0"/>
        <w:spacing w:line="360" w:lineRule="auto"/>
        <w:ind w:firstLine="480" w:firstLineChars="200"/>
        <w:rPr>
          <w:rFonts w:ascii="黑体" w:hAnsi="黑体" w:eastAsia="黑体"/>
          <w:color w:val="000000" w:themeColor="text1"/>
          <w:sz w:val="24"/>
          <w:szCs w:val="24"/>
        </w:rPr>
      </w:pPr>
      <w:r>
        <w:rPr>
          <w:rFonts w:hint="eastAsia" w:ascii="黑体" w:hAnsi="黑体" w:eastAsia="黑体"/>
          <w:color w:val="000000" w:themeColor="text1"/>
          <w:sz w:val="24"/>
          <w:szCs w:val="24"/>
        </w:rPr>
        <w:t>4、本合同一式肆份，甲乙双方各执贰份。</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0"/>
        <w:gridCol w:w="4500"/>
      </w:tblGrid>
      <w:tr w14:paraId="6F1E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3" w:hRule="atLeast"/>
        </w:trPr>
        <w:tc>
          <w:tcPr>
            <w:tcW w:w="4140" w:type="dxa"/>
            <w:vAlign w:val="center"/>
          </w:tcPr>
          <w:p w14:paraId="24E6EAC5">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甲方（章）</w:t>
            </w:r>
          </w:p>
          <w:p w14:paraId="3E3399B9">
            <w:pPr>
              <w:spacing w:line="360" w:lineRule="auto"/>
              <w:rPr>
                <w:rFonts w:ascii="黑体" w:hAnsi="黑体" w:eastAsia="黑体"/>
                <w:color w:val="000000" w:themeColor="text1"/>
                <w:sz w:val="24"/>
                <w:szCs w:val="24"/>
              </w:rPr>
            </w:pPr>
          </w:p>
          <w:p w14:paraId="438CE7AD">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 xml:space="preserve">                  </w:t>
            </w:r>
          </w:p>
          <w:p w14:paraId="32DF1026">
            <w:pPr>
              <w:spacing w:line="360" w:lineRule="auto"/>
              <w:rPr>
                <w:rFonts w:ascii="黑体" w:hAnsi="黑体" w:eastAsia="黑体"/>
                <w:color w:val="000000" w:themeColor="text1"/>
                <w:sz w:val="24"/>
                <w:szCs w:val="24"/>
              </w:rPr>
            </w:pPr>
          </w:p>
          <w:p w14:paraId="1B947193">
            <w:pPr>
              <w:spacing w:line="360" w:lineRule="auto"/>
              <w:ind w:firstLine="2040" w:firstLineChars="850"/>
              <w:rPr>
                <w:rFonts w:ascii="黑体" w:hAnsi="黑体" w:eastAsia="黑体"/>
                <w:color w:val="000000" w:themeColor="text1"/>
                <w:sz w:val="24"/>
                <w:szCs w:val="24"/>
              </w:rPr>
            </w:pPr>
            <w:r>
              <w:rPr>
                <w:rFonts w:hint="eastAsia" w:ascii="黑体" w:hAnsi="黑体" w:eastAsia="黑体"/>
                <w:color w:val="000000" w:themeColor="text1"/>
                <w:sz w:val="24"/>
                <w:szCs w:val="24"/>
              </w:rPr>
              <w:t>年   月   日</w:t>
            </w:r>
          </w:p>
        </w:tc>
        <w:tc>
          <w:tcPr>
            <w:tcW w:w="4500" w:type="dxa"/>
            <w:vAlign w:val="center"/>
          </w:tcPr>
          <w:p w14:paraId="2891F6EB">
            <w:pPr>
              <w:spacing w:line="360" w:lineRule="auto"/>
              <w:rPr>
                <w:rFonts w:ascii="黑体" w:hAnsi="黑体" w:eastAsia="黑体"/>
                <w:color w:val="000000" w:themeColor="text1"/>
                <w:sz w:val="24"/>
                <w:szCs w:val="24"/>
              </w:rPr>
            </w:pPr>
          </w:p>
          <w:p w14:paraId="615DD0E6">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乙方（章）</w:t>
            </w:r>
          </w:p>
          <w:p w14:paraId="21E108EE">
            <w:pPr>
              <w:spacing w:line="360" w:lineRule="auto"/>
              <w:rPr>
                <w:rFonts w:ascii="黑体" w:hAnsi="黑体" w:eastAsia="黑体"/>
                <w:color w:val="000000" w:themeColor="text1"/>
                <w:sz w:val="24"/>
                <w:szCs w:val="24"/>
              </w:rPr>
            </w:pPr>
          </w:p>
          <w:p w14:paraId="71252B8C">
            <w:pPr>
              <w:spacing w:line="360" w:lineRule="auto"/>
              <w:rPr>
                <w:rFonts w:ascii="黑体" w:hAnsi="黑体" w:eastAsia="黑体"/>
                <w:color w:val="000000" w:themeColor="text1"/>
                <w:sz w:val="24"/>
                <w:szCs w:val="24"/>
              </w:rPr>
            </w:pPr>
          </w:p>
          <w:p w14:paraId="3FC2C495">
            <w:pPr>
              <w:spacing w:line="360" w:lineRule="auto"/>
              <w:rPr>
                <w:rFonts w:ascii="黑体" w:hAnsi="黑体" w:eastAsia="黑体"/>
                <w:color w:val="000000" w:themeColor="text1"/>
                <w:sz w:val="24"/>
                <w:szCs w:val="24"/>
              </w:rPr>
            </w:pPr>
          </w:p>
          <w:p w14:paraId="33E592DF">
            <w:pPr>
              <w:spacing w:line="360" w:lineRule="auto"/>
              <w:rPr>
                <w:rFonts w:ascii="黑体" w:hAnsi="黑体" w:eastAsia="黑体"/>
                <w:color w:val="000000" w:themeColor="text1"/>
                <w:sz w:val="24"/>
                <w:szCs w:val="24"/>
              </w:rPr>
            </w:pPr>
          </w:p>
          <w:p w14:paraId="696F2DB4">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 xml:space="preserve">                 年   月   日</w:t>
            </w:r>
          </w:p>
        </w:tc>
      </w:tr>
      <w:tr w14:paraId="0242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4140" w:type="dxa"/>
            <w:vAlign w:val="center"/>
          </w:tcPr>
          <w:p w14:paraId="08C94A45">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 xml:space="preserve">单位地址： </w:t>
            </w:r>
          </w:p>
        </w:tc>
        <w:tc>
          <w:tcPr>
            <w:tcW w:w="4500" w:type="dxa"/>
            <w:vAlign w:val="center"/>
          </w:tcPr>
          <w:p w14:paraId="0750D745">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单位地址：</w:t>
            </w:r>
          </w:p>
        </w:tc>
      </w:tr>
      <w:tr w14:paraId="489C4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4140" w:type="dxa"/>
            <w:vAlign w:val="center"/>
          </w:tcPr>
          <w:p w14:paraId="66EBE05A">
            <w:pPr>
              <w:snapToGrid w:val="0"/>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 xml:space="preserve">法定代表人（签字或盖章）： </w:t>
            </w:r>
          </w:p>
        </w:tc>
        <w:tc>
          <w:tcPr>
            <w:tcW w:w="4500" w:type="dxa"/>
            <w:vAlign w:val="center"/>
          </w:tcPr>
          <w:p w14:paraId="443CAF5B">
            <w:pPr>
              <w:snapToGrid w:val="0"/>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法定代表人（签字或盖章）：</w:t>
            </w:r>
          </w:p>
        </w:tc>
      </w:tr>
      <w:tr w14:paraId="6878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4140" w:type="dxa"/>
            <w:vAlign w:val="center"/>
          </w:tcPr>
          <w:p w14:paraId="7EB2F804">
            <w:pPr>
              <w:snapToGrid w:val="0"/>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委托代理人（签字）：</w:t>
            </w:r>
          </w:p>
        </w:tc>
        <w:tc>
          <w:tcPr>
            <w:tcW w:w="4500" w:type="dxa"/>
            <w:vAlign w:val="center"/>
          </w:tcPr>
          <w:p w14:paraId="78838857">
            <w:pPr>
              <w:snapToGrid w:val="0"/>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委托代理人（签字）：</w:t>
            </w:r>
          </w:p>
        </w:tc>
      </w:tr>
      <w:tr w14:paraId="5F3E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4140" w:type="dxa"/>
            <w:vAlign w:val="center"/>
          </w:tcPr>
          <w:p w14:paraId="62DE0AF7">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电话：</w:t>
            </w:r>
          </w:p>
        </w:tc>
        <w:tc>
          <w:tcPr>
            <w:tcW w:w="4500" w:type="dxa"/>
            <w:vAlign w:val="center"/>
          </w:tcPr>
          <w:p w14:paraId="6AF3A066">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电话：</w:t>
            </w:r>
          </w:p>
        </w:tc>
      </w:tr>
      <w:tr w14:paraId="55563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140" w:type="dxa"/>
            <w:vAlign w:val="center"/>
          </w:tcPr>
          <w:p w14:paraId="4D86CDB6">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电子邮箱：</w:t>
            </w:r>
          </w:p>
        </w:tc>
        <w:tc>
          <w:tcPr>
            <w:tcW w:w="4500" w:type="dxa"/>
            <w:vAlign w:val="center"/>
          </w:tcPr>
          <w:p w14:paraId="5A8F31A4">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电子邮箱：</w:t>
            </w:r>
          </w:p>
        </w:tc>
      </w:tr>
      <w:tr w14:paraId="673F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4140" w:type="dxa"/>
            <w:vAlign w:val="center"/>
          </w:tcPr>
          <w:p w14:paraId="1FB8387F">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开户银行：</w:t>
            </w:r>
          </w:p>
        </w:tc>
        <w:tc>
          <w:tcPr>
            <w:tcW w:w="4500" w:type="dxa"/>
            <w:vAlign w:val="center"/>
          </w:tcPr>
          <w:p w14:paraId="40773B20">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开户银行：</w:t>
            </w:r>
          </w:p>
        </w:tc>
      </w:tr>
      <w:tr w14:paraId="53639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4140" w:type="dxa"/>
            <w:vAlign w:val="center"/>
          </w:tcPr>
          <w:p w14:paraId="60748DD4">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账号：</w:t>
            </w:r>
          </w:p>
        </w:tc>
        <w:tc>
          <w:tcPr>
            <w:tcW w:w="4500" w:type="dxa"/>
            <w:vAlign w:val="center"/>
          </w:tcPr>
          <w:p w14:paraId="07190324">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账号：</w:t>
            </w:r>
          </w:p>
        </w:tc>
      </w:tr>
      <w:tr w14:paraId="2B07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4140" w:type="dxa"/>
            <w:vAlign w:val="center"/>
          </w:tcPr>
          <w:p w14:paraId="05056E3B">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邮政编码：</w:t>
            </w:r>
          </w:p>
        </w:tc>
        <w:tc>
          <w:tcPr>
            <w:tcW w:w="4500" w:type="dxa"/>
            <w:vAlign w:val="center"/>
          </w:tcPr>
          <w:p w14:paraId="2A8AEC92">
            <w:pPr>
              <w:spacing w:line="360" w:lineRule="auto"/>
              <w:rPr>
                <w:rFonts w:ascii="黑体" w:hAnsi="黑体" w:eastAsia="黑体"/>
                <w:color w:val="000000" w:themeColor="text1"/>
                <w:sz w:val="24"/>
                <w:szCs w:val="24"/>
              </w:rPr>
            </w:pPr>
            <w:r>
              <w:rPr>
                <w:rFonts w:hint="eastAsia" w:ascii="黑体" w:hAnsi="黑体" w:eastAsia="黑体"/>
                <w:color w:val="000000" w:themeColor="text1"/>
                <w:sz w:val="24"/>
                <w:szCs w:val="24"/>
              </w:rPr>
              <w:t>邮政编码：</w:t>
            </w:r>
          </w:p>
        </w:tc>
      </w:tr>
    </w:tbl>
    <w:p w14:paraId="334BF1D3">
      <w:pPr>
        <w:pStyle w:val="4"/>
        <w:spacing w:before="160" w:line="360" w:lineRule="auto"/>
        <w:ind w:left="458" w:right="-56"/>
        <w:rPr>
          <w:rFonts w:ascii="黑体" w:hAnsi="黑体" w:eastAsia="黑体"/>
          <w:color w:val="000000" w:themeColor="text1"/>
        </w:rPr>
      </w:pPr>
    </w:p>
    <w:p w14:paraId="0ADA5DEC">
      <w:pPr>
        <w:pStyle w:val="7"/>
        <w:spacing w:line="360" w:lineRule="auto"/>
        <w:rPr>
          <w:rFonts w:ascii="黑体" w:hAnsi="黑体" w:eastAsia="黑体"/>
          <w:color w:val="000000" w:themeColor="text1"/>
          <w:sz w:val="24"/>
          <w:szCs w:val="24"/>
        </w:rPr>
      </w:pPr>
    </w:p>
    <w:p w14:paraId="59DB9F30">
      <w:pPr>
        <w:spacing w:line="360" w:lineRule="auto"/>
        <w:rPr>
          <w:rFonts w:ascii="黑体" w:hAnsi="黑体" w:eastAsia="黑体"/>
          <w:color w:val="000000" w:themeColor="text1"/>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549"/>
    <w:rsid w:val="00047832"/>
    <w:rsid w:val="00050EAA"/>
    <w:rsid w:val="000A4985"/>
    <w:rsid w:val="000A4A3B"/>
    <w:rsid w:val="000B2C83"/>
    <w:rsid w:val="000E5E6A"/>
    <w:rsid w:val="001078B5"/>
    <w:rsid w:val="00196199"/>
    <w:rsid w:val="001D5A99"/>
    <w:rsid w:val="00225403"/>
    <w:rsid w:val="002B3F0B"/>
    <w:rsid w:val="002D3D9A"/>
    <w:rsid w:val="0035717B"/>
    <w:rsid w:val="0036016E"/>
    <w:rsid w:val="00444B81"/>
    <w:rsid w:val="00455698"/>
    <w:rsid w:val="004A4103"/>
    <w:rsid w:val="004B3DB4"/>
    <w:rsid w:val="004D2A09"/>
    <w:rsid w:val="004F129A"/>
    <w:rsid w:val="00547118"/>
    <w:rsid w:val="00552549"/>
    <w:rsid w:val="005676E6"/>
    <w:rsid w:val="005716E8"/>
    <w:rsid w:val="005E24E1"/>
    <w:rsid w:val="00602F40"/>
    <w:rsid w:val="00722851"/>
    <w:rsid w:val="00856231"/>
    <w:rsid w:val="00871504"/>
    <w:rsid w:val="008C7882"/>
    <w:rsid w:val="00937A6C"/>
    <w:rsid w:val="00957246"/>
    <w:rsid w:val="0097657C"/>
    <w:rsid w:val="00BF0E2A"/>
    <w:rsid w:val="00C67B3A"/>
    <w:rsid w:val="00CA2C72"/>
    <w:rsid w:val="00D26B93"/>
    <w:rsid w:val="00D3717C"/>
    <w:rsid w:val="00D44A2E"/>
    <w:rsid w:val="00DA378F"/>
    <w:rsid w:val="00DB55DB"/>
    <w:rsid w:val="00E44A1B"/>
    <w:rsid w:val="00E47F61"/>
    <w:rsid w:val="00E9143C"/>
    <w:rsid w:val="00EC00BE"/>
    <w:rsid w:val="00EE2DEC"/>
    <w:rsid w:val="00EF5440"/>
    <w:rsid w:val="00F23280"/>
    <w:rsid w:val="00F25840"/>
    <w:rsid w:val="00F46232"/>
    <w:rsid w:val="00F56F66"/>
    <w:rsid w:val="49121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kern w:val="0"/>
      <w:sz w:val="22"/>
      <w:szCs w:val="22"/>
      <w:lang w:val="zh-CN" w:eastAsia="zh-CN" w:bidi="zh-CN"/>
    </w:rPr>
  </w:style>
  <w:style w:type="paragraph" w:styleId="3">
    <w:name w:val="heading 1"/>
    <w:basedOn w:val="1"/>
    <w:next w:val="1"/>
    <w:link w:val="10"/>
    <w:qFormat/>
    <w:uiPriority w:val="1"/>
    <w:pPr>
      <w:spacing w:before="209"/>
      <w:ind w:right="576"/>
      <w:jc w:val="center"/>
      <w:outlineLvl w:val="0"/>
    </w:pPr>
    <w:rPr>
      <w:b/>
      <w:bCs/>
      <w:sz w:val="32"/>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uiPriority w:val="99"/>
    <w:pPr>
      <w:ind w:firstLine="420" w:firstLineChars="200"/>
    </w:pPr>
  </w:style>
  <w:style w:type="paragraph" w:styleId="4">
    <w:name w:val="Body Text"/>
    <w:basedOn w:val="1"/>
    <w:next w:val="1"/>
    <w:link w:val="11"/>
    <w:qFormat/>
    <w:uiPriority w:val="1"/>
    <w:pPr>
      <w:ind w:left="938"/>
    </w:pPr>
    <w:rPr>
      <w:sz w:val="24"/>
      <w:szCs w:val="24"/>
    </w:rPr>
  </w:style>
  <w:style w:type="paragraph" w:styleId="5">
    <w:name w:val="footer"/>
    <w:basedOn w:val="1"/>
    <w:link w:val="14"/>
    <w:semiHidden/>
    <w:unhideWhenUsed/>
    <w:qFormat/>
    <w:uiPriority w:val="99"/>
    <w:pPr>
      <w:tabs>
        <w:tab w:val="center" w:pos="4153"/>
        <w:tab w:val="right" w:pos="8306"/>
      </w:tabs>
      <w:snapToGrid w:val="0"/>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12"/>
    <w:qFormat/>
    <w:uiPriority w:val="0"/>
    <w:pPr>
      <w:spacing w:after="120" w:line="480" w:lineRule="auto"/>
    </w:pPr>
    <w:rPr>
      <w:szCs w:val="20"/>
    </w:rPr>
  </w:style>
  <w:style w:type="character" w:customStyle="1" w:styleId="10">
    <w:name w:val="标题 1 Char"/>
    <w:basedOn w:val="9"/>
    <w:link w:val="3"/>
    <w:uiPriority w:val="1"/>
    <w:rPr>
      <w:rFonts w:ascii="宋体" w:hAnsi="宋体" w:eastAsia="宋体" w:cs="宋体"/>
      <w:b/>
      <w:bCs/>
      <w:kern w:val="0"/>
      <w:sz w:val="32"/>
      <w:szCs w:val="32"/>
      <w:lang w:val="zh-CN" w:bidi="zh-CN"/>
    </w:rPr>
  </w:style>
  <w:style w:type="character" w:customStyle="1" w:styleId="11">
    <w:name w:val="正文文本 Char"/>
    <w:basedOn w:val="9"/>
    <w:link w:val="4"/>
    <w:uiPriority w:val="1"/>
    <w:rPr>
      <w:rFonts w:ascii="宋体" w:hAnsi="宋体" w:eastAsia="宋体" w:cs="宋体"/>
      <w:kern w:val="0"/>
      <w:sz w:val="24"/>
      <w:szCs w:val="24"/>
      <w:lang w:val="zh-CN" w:bidi="zh-CN"/>
    </w:rPr>
  </w:style>
  <w:style w:type="character" w:customStyle="1" w:styleId="12">
    <w:name w:val="正文文本 2 Char"/>
    <w:basedOn w:val="9"/>
    <w:link w:val="7"/>
    <w:qFormat/>
    <w:uiPriority w:val="0"/>
    <w:rPr>
      <w:rFonts w:ascii="宋体" w:hAnsi="宋体" w:eastAsia="宋体" w:cs="宋体"/>
      <w:kern w:val="0"/>
      <w:sz w:val="22"/>
      <w:szCs w:val="20"/>
      <w:lang w:val="zh-CN" w:bidi="zh-CN"/>
    </w:rPr>
  </w:style>
  <w:style w:type="character" w:customStyle="1" w:styleId="13">
    <w:name w:val="页眉 Char"/>
    <w:basedOn w:val="9"/>
    <w:link w:val="6"/>
    <w:semiHidden/>
    <w:uiPriority w:val="99"/>
    <w:rPr>
      <w:rFonts w:ascii="宋体" w:hAnsi="宋体" w:eastAsia="宋体" w:cs="宋体"/>
      <w:kern w:val="0"/>
      <w:sz w:val="18"/>
      <w:szCs w:val="18"/>
      <w:lang w:val="zh-CN" w:bidi="zh-CN"/>
    </w:rPr>
  </w:style>
  <w:style w:type="character" w:customStyle="1" w:styleId="14">
    <w:name w:val="页脚 Char"/>
    <w:basedOn w:val="9"/>
    <w:link w:val="5"/>
    <w:semiHidden/>
    <w:uiPriority w:val="99"/>
    <w:rPr>
      <w:rFonts w:ascii="宋体" w:hAnsi="宋体" w:eastAsia="宋体" w:cs="宋体"/>
      <w:kern w:val="0"/>
      <w:sz w:val="18"/>
      <w:szCs w:val="18"/>
      <w:lang w:val="zh-CN" w:bidi="zh-CN"/>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4087</Words>
  <Characters>4127</Characters>
  <Lines>31</Lines>
  <Paragraphs>8</Paragraphs>
  <TotalTime>14</TotalTime>
  <ScaleCrop>false</ScaleCrop>
  <LinksUpToDate>false</LinksUpToDate>
  <CharactersWithSpaces>4337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2026-05-19T10:17:00Z</dcterms:created>
  <dc:creator>hld</dc:creator>
  <cp:lastModifiedBy>呜呼拉嘿</cp:lastModifiedBy>
  <dcterms:modified xsi:type="dcterms:W3CDTF">2026-07-20T07:07:56Z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eyJoZGlkIjoiMjFmNjVmNDI4NWNiZGI2MWNjNDcyOWQ1MWJmY2VkYjciLCJ1c2VySWQiOiIzMTk1NTk3MDEifQ==</vt:lpwstr>
  </property>
  <property fmtid="{D5CDD505-2E9C-101B-9397-08002B2CF9AE}" pid="3" name="KSOProductBuildVer">
    <vt:lpwstr>2052-12.1.0.26895</vt:lpwstr>
  </property>
  <property fmtid="{D5CDD505-2E9C-101B-9397-08002B2CF9AE}" pid="4" name="ICV">
    <vt:lpwstr>378007AE4FB14FF49B9033B210C81009_13</vt:lpwstr>
  </property>
</Properties>
</file>