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版本号：HRC-ZBDL-2026-0060620260618001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2026年高新区太平河马丰滩桥上下游水毁修复工程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HRC-ZBDL-2026-00606</w:t>
      </w:r>
      <w:r>
        <w:br/>
      </w:r>
      <w:r>
        <w:br/>
      </w:r>
      <w:r>
        <w:br/>
      </w:r>
    </w:p>
    <w:p>
      <w:pPr>
        <w:pStyle w:val="null3"/>
        <w:jc w:val="center"/>
        <w:outlineLvl w:val="2"/>
      </w:pPr>
      <w:r>
        <w:rPr>
          <w:rFonts w:ascii="仿宋_GB2312" w:hAnsi="仿宋_GB2312" w:cs="仿宋_GB2312" w:eastAsia="仿宋_GB2312"/>
          <w:sz w:val="28"/>
          <w:b/>
        </w:rPr>
        <w:t>西安市长安区沣河管理站</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西安市长安区沣河管理站</w:t>
      </w:r>
      <w:r>
        <w:rPr>
          <w:rFonts w:ascii="仿宋_GB2312" w:hAnsi="仿宋_GB2312" w:cs="仿宋_GB2312" w:eastAsia="仿宋_GB2312"/>
        </w:rPr>
        <w:t>委托，拟对</w:t>
      </w:r>
      <w:r>
        <w:rPr>
          <w:rFonts w:ascii="仿宋_GB2312" w:hAnsi="仿宋_GB2312" w:cs="仿宋_GB2312" w:eastAsia="仿宋_GB2312"/>
        </w:rPr>
        <w:t>2026年高新区太平河马丰滩桥上下游水毁修复工程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HRC-ZBDL-2026-00606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2026年高新区太平河马丰滩桥上下游水毁修复工程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高新区太平河马丰滩桥上下游水毁修复工程，主要建设内容：1.滚水坝挡墙修复：对现状2#、6#、7#滚水坝下游侧墙冲毁处进行修复，共7处。其中2#滚水坝2处C30自密石砼填充修补、6#滚水坝2处C30自密石砼填充修补+C30砼护脚、7#滚水坝3处C30自密石砼填充修补。2.滚水坝侧墙加高：对现状6#滚水坝下游侧墙加高修复，采用M10浆砌石结构，长度为52.0m，其中左岸27.0m，右岸25.0m。3.浆砌石护岸修复加固：对现状太平河马丰滩桥下游右岸浆砌石护坡进行修复加固，采用C25埋石砼护脚和浆砌石护坡结构，长度为110m（具体详见工程量清单及图纸所含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的能力：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供应商应授权合法的人员参加磋商全过程：法定代表人亲自参加磋商的，须出具法定代表人身份证明及身份证，法定代表人委托代理人参加磋商的，须出具法定代表人授权委托书及身份证，并提供法定代表人或被授权人开标前三个月内任意一个月在本单位缴纳的社保证明材料；</w:t>
      </w:r>
    </w:p>
    <w:p>
      <w:pPr>
        <w:pStyle w:val="null3"/>
      </w:pPr>
      <w:r>
        <w:rPr>
          <w:rFonts w:ascii="仿宋_GB2312" w:hAnsi="仿宋_GB2312" w:cs="仿宋_GB2312" w:eastAsia="仿宋_GB2312"/>
        </w:rPr>
        <w:t>3、供应商资质：供应商须具备水利水电工程施工总承包三级及以上资质，且具备建设行政主管部门颁发的安全生产许可证；</w:t>
      </w:r>
    </w:p>
    <w:p>
      <w:pPr>
        <w:pStyle w:val="null3"/>
      </w:pPr>
      <w:r>
        <w:rPr>
          <w:rFonts w:ascii="仿宋_GB2312" w:hAnsi="仿宋_GB2312" w:cs="仿宋_GB2312" w:eastAsia="仿宋_GB2312"/>
        </w:rPr>
        <w:t>4、拟派项目经理：拟派项目经理须具备水利水电工程专业二级及以上注册建造师证书及水行政主管部门颁发的安全生产考核合格证书，在本单位注册且无在建工程（提供无在建项目承诺书）；</w:t>
      </w:r>
    </w:p>
    <w:p>
      <w:pPr>
        <w:pStyle w:val="null3"/>
      </w:pPr>
      <w:r>
        <w:rPr>
          <w:rFonts w:ascii="仿宋_GB2312" w:hAnsi="仿宋_GB2312" w:cs="仿宋_GB2312" w:eastAsia="仿宋_GB2312"/>
        </w:rPr>
        <w:t>5、供应商信用信息：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pPr>
        <w:pStyle w:val="null3"/>
      </w:pPr>
      <w:r>
        <w:rPr>
          <w:rFonts w:ascii="仿宋_GB2312" w:hAnsi="仿宋_GB2312" w:cs="仿宋_GB2312" w:eastAsia="仿宋_GB2312"/>
        </w:rPr>
        <w:t>6、非联合体磋商：本项目不接受联合体磋商。单位负责人为同一人或者存在直接控股、管理关系的不同单位不得同时参加。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西安市长安区沣河管理站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西安市长安区马王街道沣桥街2号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韩慧敏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029-85851340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029-85393806/19802926791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采购包1：1,378,900.00元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在领取《成交通知书》时，一次性向招标代理机构支付。招标代理服务费为人民币壹万壹仟捌佰元整（￥11800.00元）。缴纳账户信息：开户名称：华睿诚项目管理有限公司，开户行：西安银行小寨东路支行，账号：816011580000101224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西安市长安区沣河管理站</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西安市长安区沣河管理站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西安市长安区沣河管理站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开展该项工作的全部原始资料、中间过渡及最终成果所有权属于采购人。未经采购人书面授权许可，成交（中标）供应商不得擅自将原始资料、中间过渡和最终成果复制自留或提供给其他任何单位和个人使用，为自己或其他任何单位和个人谋取利益。本次成果所有权、使用权和著作权均属于采购人。成交（中标）供应商应确保提供服务过程中不会侵犯任何第三方的知识产权，否则承担由此产生的一切法律和经济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联系人：赵静</w:t>
      </w:r>
    </w:p>
    <w:p>
      <w:pPr>
        <w:pStyle w:val="null3"/>
      </w:pPr>
      <w:r>
        <w:rPr>
          <w:rFonts w:ascii="仿宋_GB2312" w:hAnsi="仿宋_GB2312" w:cs="仿宋_GB2312" w:eastAsia="仿宋_GB2312"/>
        </w:rPr>
        <w:t>联系电话：029-85393806</w:t>
      </w:r>
    </w:p>
    <w:p>
      <w:pPr>
        <w:pStyle w:val="null3"/>
      </w:pPr>
      <w:r>
        <w:rPr>
          <w:rFonts w:ascii="仿宋_GB2312" w:hAnsi="仿宋_GB2312" w:cs="仿宋_GB2312" w:eastAsia="仿宋_GB2312"/>
        </w:rPr>
        <w:t>地址：西安市曲江新区雁翔路3269号旺座曲江E座29层2901号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1,378,900.00</w:t>
      </w:r>
    </w:p>
    <w:p>
      <w:pPr>
        <w:pStyle w:val="null3"/>
      </w:pPr>
      <w:r>
        <w:rPr>
          <w:rFonts w:ascii="仿宋_GB2312" w:hAnsi="仿宋_GB2312" w:cs="仿宋_GB2312" w:eastAsia="仿宋_GB2312"/>
        </w:rPr>
        <w:t>采购包最高限价（元）: 1,378,900.00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2026年高新区太平河马丰滩桥上下游水毁修复工程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1,378,900.00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标的名称：2026年高新区太平河马丰滩桥上下游水毁修复工程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一、项目概况及采购内容：</w:t>
            </w:r>
          </w:p>
          <w:p>
            <w:pPr>
              <w:pStyle w:val="null3"/>
              <w:ind w:firstLine="200"/>
              <w:jc w:val="both"/>
            </w:pPr>
            <w:r>
              <w:rPr>
                <w:rFonts w:ascii="仿宋_GB2312" w:hAnsi="仿宋_GB2312" w:cs="仿宋_GB2312" w:eastAsia="仿宋_GB2312"/>
                <w:sz w:val="18"/>
              </w:rPr>
              <w:t>2026年高新区太平河马丰滩桥上下游水毁修复工程</w:t>
            </w:r>
            <w:r>
              <w:rPr>
                <w:rFonts w:ascii="仿宋_GB2312" w:hAnsi="仿宋_GB2312" w:cs="仿宋_GB2312" w:eastAsia="仿宋_GB2312"/>
                <w:sz w:val="18"/>
              </w:rPr>
              <w:t>，主要建设内容：</w:t>
            </w:r>
            <w:r>
              <w:rPr>
                <w:rFonts w:ascii="仿宋_GB2312" w:hAnsi="仿宋_GB2312" w:cs="仿宋_GB2312" w:eastAsia="仿宋_GB2312"/>
                <w:sz w:val="18"/>
              </w:rPr>
              <w:t>1.滚水坝挡墙修复：对现状2#、6#、7#滚水坝下游侧墙冲毁处进行修复，共7处。其中2#滚水坝2处C30自密石砼填充修补、6#滚水坝2处C30自密石砼填充修补+C30砼护脚、7#滚水坝3处C30自密石砼填充修补。2.滚水坝侧墙加高：对现状6#滚水坝下游侧墙加高修复，采用M10浆砌石结构，长度为52.0m，其中左岸27.0m，右岸25.0m。3.浆砌石护岸修复加固：对现状太平河马丰滩桥下游右岸浆砌石护坡进行修复加固，采用C25埋石砼护脚和浆砌石护坡结构，长度为110m（具体详见工程量清单及图纸所含全部内容）</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二、工程量清单编制依据</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2026年高新区太平河马丰滩桥上下游水毁修复工程</w:t>
            </w:r>
            <w:r>
              <w:rPr>
                <w:rFonts w:ascii="仿宋_GB2312" w:hAnsi="仿宋_GB2312" w:cs="仿宋_GB2312" w:eastAsia="仿宋_GB2312"/>
                <w:sz w:val="18"/>
              </w:rPr>
              <w:t>实施方案》、《</w:t>
            </w:r>
            <w:r>
              <w:rPr>
                <w:rFonts w:ascii="仿宋_GB2312" w:hAnsi="仿宋_GB2312" w:cs="仿宋_GB2312" w:eastAsia="仿宋_GB2312"/>
                <w:sz w:val="18"/>
              </w:rPr>
              <w:t>2026年高新区太平河马丰滩桥上下游水毁修复工程</w:t>
            </w:r>
            <w:r>
              <w:rPr>
                <w:rFonts w:ascii="仿宋_GB2312" w:hAnsi="仿宋_GB2312" w:cs="仿宋_GB2312" w:eastAsia="仿宋_GB2312"/>
                <w:sz w:val="18"/>
              </w:rPr>
              <w:t>图纸及审计报告》；</w:t>
            </w:r>
          </w:p>
          <w:p>
            <w:pPr>
              <w:pStyle w:val="null3"/>
              <w:jc w:val="left"/>
            </w:pPr>
            <w:r>
              <w:rPr>
                <w:rFonts w:ascii="仿宋_GB2312" w:hAnsi="仿宋_GB2312" w:cs="仿宋_GB2312" w:eastAsia="仿宋_GB2312"/>
                <w:sz w:val="18"/>
              </w:rPr>
              <w:t>2、清单编制依据《水利工程工程量清单计价规范》（GB50501-2007）及其配套文件中工程量计算办法；</w:t>
            </w:r>
          </w:p>
          <w:p>
            <w:pPr>
              <w:pStyle w:val="null3"/>
              <w:jc w:val="left"/>
            </w:pPr>
            <w:r>
              <w:rPr>
                <w:rFonts w:ascii="仿宋_GB2312" w:hAnsi="仿宋_GB2312" w:cs="仿宋_GB2312" w:eastAsia="仿宋_GB2312"/>
                <w:sz w:val="18"/>
              </w:rPr>
              <w:t>3、依据符合水利水电工程施工规范的施工组织设计及施工方法；</w:t>
            </w:r>
          </w:p>
          <w:p>
            <w:pPr>
              <w:pStyle w:val="null3"/>
              <w:jc w:val="left"/>
            </w:pPr>
            <w:r>
              <w:rPr>
                <w:rFonts w:ascii="仿宋_GB2312" w:hAnsi="仿宋_GB2312" w:cs="仿宋_GB2312" w:eastAsia="仿宋_GB2312"/>
                <w:sz w:val="18"/>
              </w:rPr>
              <w:t>4、施工图设计中采用的相关施工规范及验收规范。</w:t>
            </w:r>
          </w:p>
          <w:p>
            <w:pPr>
              <w:pStyle w:val="null3"/>
              <w:jc w:val="left"/>
            </w:pPr>
            <w:r>
              <w:rPr>
                <w:rFonts w:ascii="仿宋_GB2312" w:hAnsi="仿宋_GB2312" w:cs="仿宋_GB2312" w:eastAsia="仿宋_GB2312"/>
                <w:sz w:val="18"/>
              </w:rPr>
              <w:t>三、其他说明</w:t>
            </w:r>
          </w:p>
          <w:p>
            <w:pPr>
              <w:pStyle w:val="null3"/>
              <w:jc w:val="left"/>
            </w:pPr>
            <w:r>
              <w:rPr>
                <w:rFonts w:ascii="仿宋_GB2312" w:hAnsi="仿宋_GB2312" w:cs="仿宋_GB2312" w:eastAsia="仿宋_GB2312"/>
                <w:sz w:val="18"/>
              </w:rPr>
              <w:t>1、混凝土采用商品混凝土；</w:t>
            </w:r>
          </w:p>
          <w:p>
            <w:pPr>
              <w:pStyle w:val="null3"/>
              <w:jc w:val="left"/>
            </w:pPr>
            <w:r>
              <w:rPr>
                <w:rFonts w:ascii="仿宋_GB2312" w:hAnsi="仿宋_GB2312" w:cs="仿宋_GB2312" w:eastAsia="仿宋_GB2312"/>
                <w:sz w:val="18"/>
              </w:rPr>
              <w:t>2、本工程采用天宇e算水利水电工程造价软件（版本号V1.2.2（202509-4））编制；</w:t>
            </w:r>
          </w:p>
          <w:p>
            <w:pPr>
              <w:pStyle w:val="null3"/>
              <w:jc w:val="left"/>
            </w:pPr>
            <w:r>
              <w:rPr>
                <w:rFonts w:ascii="仿宋_GB2312" w:hAnsi="仿宋_GB2312" w:cs="仿宋_GB2312" w:eastAsia="仿宋_GB2312"/>
                <w:sz w:val="18"/>
              </w:rPr>
              <w:t>3、施工安全生产专项投资= (建安工程投资+机电设备及安装工程投资+金属结构设备及安装工程投资-设备费+施工导流工程投资+施工交通工程投资）*（1+其他施工临时工程费率）*2.5%；</w:t>
            </w:r>
          </w:p>
          <w:p>
            <w:pPr>
              <w:pStyle w:val="null3"/>
              <w:jc w:val="left"/>
            </w:pPr>
            <w:r>
              <w:rPr>
                <w:rFonts w:ascii="仿宋_GB2312" w:hAnsi="仿宋_GB2312" w:cs="仿宋_GB2312" w:eastAsia="仿宋_GB2312"/>
                <w:sz w:val="18"/>
              </w:rPr>
              <w:t>4、其他施工临时工程投资= (建筑工程投资+机电设备及安装工程投资+金属结构设备及安装工程投资-设备费+施工导流工程投资+施工交通工程投资+施工专项工程投资+施工供电工程投资+施工房屋建筑工程投资)*其他施工临时工程费率(2.0%)；</w:t>
            </w:r>
          </w:p>
          <w:p>
            <w:pPr>
              <w:pStyle w:val="null3"/>
              <w:jc w:val="left"/>
            </w:pPr>
            <w:r>
              <w:rPr>
                <w:rFonts w:ascii="仿宋_GB2312" w:hAnsi="仿宋_GB2312" w:cs="仿宋_GB2312" w:eastAsia="仿宋_GB2312"/>
                <w:sz w:val="18"/>
              </w:rPr>
              <w:t>5、工程保险费=（建筑工程+金属结构设备及安装工程+机电设备及安装工程+施工临时工程）*0.45%；</w:t>
            </w:r>
          </w:p>
          <w:p>
            <w:pPr>
              <w:pStyle w:val="null3"/>
              <w:jc w:val="both"/>
            </w:pPr>
            <w:r>
              <w:rPr>
                <w:rFonts w:ascii="仿宋_GB2312" w:hAnsi="仿宋_GB2312" w:cs="仿宋_GB2312" w:eastAsia="仿宋_GB2312"/>
                <w:sz w:val="18"/>
              </w:rPr>
              <w:t>6、暂列金按58842.00元计入；</w:t>
            </w:r>
          </w:p>
          <w:p>
            <w:pPr>
              <w:pStyle w:val="null3"/>
              <w:jc w:val="both"/>
            </w:pPr>
            <w:r>
              <w:rPr>
                <w:rFonts w:ascii="仿宋_GB2312" w:hAnsi="仿宋_GB2312" w:cs="仿宋_GB2312" w:eastAsia="仿宋_GB2312"/>
                <w:sz w:val="18"/>
              </w:rPr>
              <w:t>7、水保独立投资按照35116.46元计入；</w:t>
            </w:r>
          </w:p>
          <w:p>
            <w:pPr>
              <w:pStyle w:val="null3"/>
              <w:jc w:val="both"/>
            </w:pPr>
            <w:r>
              <w:rPr>
                <w:rFonts w:ascii="仿宋_GB2312" w:hAnsi="仿宋_GB2312" w:cs="仿宋_GB2312" w:eastAsia="仿宋_GB2312"/>
                <w:sz w:val="18"/>
              </w:rPr>
              <w:t>8、环保独立投资按照14124.28元计入；</w:t>
            </w:r>
          </w:p>
          <w:p>
            <w:pPr>
              <w:pStyle w:val="null3"/>
              <w:jc w:val="both"/>
            </w:pPr>
            <w:r>
              <w:rPr>
                <w:rFonts w:ascii="仿宋_GB2312" w:hAnsi="仿宋_GB2312" w:cs="仿宋_GB2312" w:eastAsia="仿宋_GB2312"/>
                <w:sz w:val="18"/>
              </w:rPr>
              <w:t>9、代理服务费按照11800.00元计入。</w:t>
            </w:r>
          </w:p>
          <w:p>
            <w:pPr>
              <w:pStyle w:val="null3"/>
            </w:pPr>
            <w:r>
              <w:rPr>
                <w:rFonts w:ascii="仿宋_GB2312" w:hAnsi="仿宋_GB2312" w:cs="仿宋_GB2312" w:eastAsia="仿宋_GB2312"/>
                <w:sz w:val="18"/>
              </w:rPr>
              <w:t>四、</w:t>
            </w:r>
            <w:r>
              <w:rPr>
                <w:rFonts w:ascii="仿宋_GB2312" w:hAnsi="仿宋_GB2312" w:cs="仿宋_GB2312" w:eastAsia="仿宋_GB2312"/>
                <w:sz w:val="18"/>
              </w:rPr>
              <w:t>“工程量清单”详见附件。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商务要求：</w:t>
            </w:r>
          </w:p>
          <w:p>
            <w:pPr>
              <w:pStyle w:val="null3"/>
              <w:jc w:val="both"/>
            </w:pPr>
            <w:r>
              <w:rPr>
                <w:rFonts w:ascii="仿宋_GB2312" w:hAnsi="仿宋_GB2312" w:cs="仿宋_GB2312" w:eastAsia="仿宋_GB2312"/>
                <w:sz w:val="18"/>
              </w:rPr>
              <w:t>1、工期：自合同签订之日起60日历天。</w:t>
            </w:r>
          </w:p>
          <w:p>
            <w:pPr>
              <w:pStyle w:val="null3"/>
              <w:jc w:val="both"/>
            </w:pPr>
            <w:r>
              <w:rPr>
                <w:rFonts w:ascii="仿宋_GB2312" w:hAnsi="仿宋_GB2312" w:cs="仿宋_GB2312" w:eastAsia="仿宋_GB2312"/>
                <w:sz w:val="18"/>
              </w:rPr>
              <w:t>2、施工</w:t>
            </w:r>
            <w:r>
              <w:rPr>
                <w:rFonts w:ascii="仿宋_GB2312" w:hAnsi="仿宋_GB2312" w:cs="仿宋_GB2312" w:eastAsia="仿宋_GB2312"/>
                <w:sz w:val="18"/>
              </w:rPr>
              <w:t>地点：西安高新区太平河马丰滩桥上下游。</w:t>
            </w:r>
          </w:p>
          <w:p>
            <w:pPr>
              <w:pStyle w:val="null3"/>
              <w:jc w:val="both"/>
            </w:pPr>
            <w:r>
              <w:rPr>
                <w:rFonts w:ascii="仿宋_GB2312" w:hAnsi="仿宋_GB2312" w:cs="仿宋_GB2312" w:eastAsia="仿宋_GB2312"/>
                <w:sz w:val="18"/>
              </w:rPr>
              <w:t>3、质量标准：达到国家现行施工验收规范“合格”标准。</w:t>
            </w:r>
          </w:p>
          <w:p>
            <w:pPr>
              <w:pStyle w:val="null3"/>
              <w:jc w:val="both"/>
            </w:pPr>
            <w:r>
              <w:rPr>
                <w:rFonts w:ascii="仿宋_GB2312" w:hAnsi="仿宋_GB2312" w:cs="仿宋_GB2312" w:eastAsia="仿宋_GB2312"/>
                <w:sz w:val="18"/>
              </w:rPr>
              <w:t>4、缺陷责任期（工程质量保修期）：合同工程完工验收合格之日起12个月。</w:t>
            </w:r>
          </w:p>
          <w:p>
            <w:pPr>
              <w:pStyle w:val="null3"/>
              <w:jc w:val="both"/>
            </w:pPr>
            <w:r>
              <w:rPr>
                <w:rFonts w:ascii="仿宋_GB2312" w:hAnsi="仿宋_GB2312" w:cs="仿宋_GB2312" w:eastAsia="仿宋_GB2312"/>
                <w:sz w:val="18"/>
              </w:rPr>
              <w:t>5、付款方式：</w:t>
            </w:r>
            <w:r>
              <w:rPr>
                <w:rFonts w:ascii="仿宋_GB2312" w:hAnsi="仿宋_GB2312" w:cs="仿宋_GB2312" w:eastAsia="仿宋_GB2312"/>
                <w:sz w:val="18"/>
                <w:color w:val="000000"/>
              </w:rPr>
              <w:t>合同签订后，甲方向乙方支付合同价款的</w:t>
            </w:r>
            <w:r>
              <w:rPr>
                <w:rFonts w:ascii="仿宋_GB2312" w:hAnsi="仿宋_GB2312" w:cs="仿宋_GB2312" w:eastAsia="仿宋_GB2312"/>
                <w:sz w:val="18"/>
                <w:color w:val="000000"/>
              </w:rPr>
              <w:t>30%作为预付款；工程完工验收合格且结算审核完成后，支付至结算价款的97%；剩余3%作为质保金，质保金在缺陷责任期满后且无任何质量问题后甲方一次性付清剩余价款。</w:t>
            </w:r>
          </w:p>
          <w:p>
            <w:pPr>
              <w:pStyle w:val="null3"/>
              <w:jc w:val="both"/>
            </w:pPr>
            <w:r>
              <w:rPr>
                <w:rFonts w:ascii="仿宋_GB2312" w:hAnsi="仿宋_GB2312" w:cs="仿宋_GB2312" w:eastAsia="仿宋_GB2312"/>
                <w:sz w:val="18"/>
              </w:rPr>
              <w:t>6、施工过程中，拟派项目经理为承包人派驻施工场地的全权负责人，项目经理每月在施工现场应不少于26日，若短期离开施工场地，应事先征得监理人同意，并委派代表代行其职责。</w:t>
            </w:r>
          </w:p>
          <w:p>
            <w:pPr>
              <w:pStyle w:val="null3"/>
              <w:jc w:val="both"/>
            </w:pPr>
            <w:r>
              <w:rPr>
                <w:rFonts w:ascii="仿宋_GB2312" w:hAnsi="仿宋_GB2312" w:cs="仿宋_GB2312" w:eastAsia="仿宋_GB2312"/>
                <w:sz w:val="18"/>
              </w:rPr>
              <w:t>7、运输、进度：成交供应商负责施工过程中材料的运输、施工及其他伴随服务。</w:t>
            </w:r>
          </w:p>
          <w:p>
            <w:pPr>
              <w:pStyle w:val="null3"/>
              <w:jc w:val="both"/>
            </w:pPr>
            <w:r>
              <w:rPr>
                <w:rFonts w:ascii="仿宋_GB2312" w:hAnsi="仿宋_GB2312" w:cs="仿宋_GB2312" w:eastAsia="仿宋_GB2312"/>
                <w:sz w:val="18"/>
              </w:rPr>
              <w:t>8、技术规范及要求：执行国家、省、市现行的相关规定及标准文件。</w:t>
            </w:r>
          </w:p>
          <w:p>
            <w:pPr>
              <w:pStyle w:val="null3"/>
              <w:jc w:val="both"/>
            </w:pPr>
            <w:r>
              <w:rPr>
                <w:rFonts w:ascii="仿宋_GB2312" w:hAnsi="仿宋_GB2312" w:cs="仿宋_GB2312" w:eastAsia="仿宋_GB2312"/>
                <w:sz w:val="18"/>
              </w:rPr>
              <w:t>9、竣工验收：（1）竣工须达到的标准和具备工程验收的条件；（2）工程验收规范、标准，验收的组织实施；（3）工程验收合格须移交的工程资料和竣工图纸等。</w:t>
            </w:r>
          </w:p>
          <w:p>
            <w:pPr>
              <w:pStyle w:val="null3"/>
              <w:jc w:val="both"/>
            </w:pPr>
            <w:r>
              <w:rPr>
                <w:rFonts w:ascii="仿宋_GB2312" w:hAnsi="仿宋_GB2312" w:cs="仿宋_GB2312" w:eastAsia="仿宋_GB2312"/>
                <w:sz w:val="18"/>
              </w:rPr>
              <w:t>10、验收依据：（1）合同文本及合同补充文件（条款）；（2）磋商文件及成交单位的磋商响应文件；（3）国家、省、市现行的施工验收标准及相关规定文件。（4）国家相关法律法规。</w:t>
            </w:r>
          </w:p>
          <w:p>
            <w:pPr>
              <w:pStyle w:val="null3"/>
            </w:pPr>
            <w:r>
              <w:rPr>
                <w:rFonts w:ascii="仿宋_GB2312" w:hAnsi="仿宋_GB2312" w:cs="仿宋_GB2312" w:eastAsia="仿宋_GB2312"/>
                <w:sz w:val="18"/>
              </w:rPr>
              <w:t>11、违约责任：（1）按《中华人民共和国民法典》中的相关条款执行。（2）未按合同要求工程质量不能满足技术要求，采购方有权终止合同，并对供方违约行为进行追究，同时按《中华人民共和国政府采购法》的有关规定进行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的磋商报价应是为完成本项目磋商文件中所提出的施工范围及要求的全部价格体现，包括供应商实施本项目所需的直接费、间接费、利润、税金及其它相关的一切费用。包括但不限于：人工费、材料费、设备费、管理费、保险、运输、维护、缺陷修复及合同所有责任、义务和风险等全部费用。2.项目属性：工程，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供应商具有独立承担民事责任的能力：在中华人民共和国境内注册，依法取得并有效存续的营业执照（含电子营业执照）\事业单位法人证书\民办非企业单位登记证书\非企业专业服务机构执业许可证等；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亲自参加磋商的，须出具法定代表人身份证明及身份证，法定代表人委托代理人参加磋商的，须出具法定代表人授权委托书及身份证，并提供法定代表人或被授权人开标前三个月内任意一个月在本单位缴纳的社保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供应商须具备水利水电工程施工总承包三级及以上资质，且具备建设行政主管部门颁发的安全生产许可证；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拟派项目经理须具备水利水电工程专业二级及以上注册建造师证书及水行政主管部门颁发的安全生产考核合格证书，在本单位注册且无在建工程（提供无在建项目承诺书）；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至少以下三处的项目名称、项目编号、合同包（未分合同包的除外）与本项目完全一致：（1）响应文件封面；（2）投标（响应）函；（3）法定代表人（单位负责人）委托授权书\身份证明。</w:t>
            </w:r>
          </w:p>
        </w:tc>
        <w:tc>
          <w:tcPr>
            <w:tcW w:type="dxa" w:w="1661"/>
          </w:tcPr>
          <w:p>
            <w:pPr>
              <w:pStyle w:val="null3"/>
            </w:pPr>
            <w:r>
              <w:rPr>
                <w:rFonts w:ascii="仿宋_GB2312" w:hAnsi="仿宋_GB2312" w:cs="仿宋_GB2312" w:eastAsia="仿宋_GB2312"/>
              </w:rPr>
              <w:t>响应文件封面 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商务要求偏离表 已标价工程量清单 技术要求偏离表 技术响应方案 中小企业声明函 合同条款响应表 响应文件封面 残疾人福利性单位声明函 报价函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商务要求偏离表 已标价工程量清单 技术要求偏离表 技术响应方案 中小企业声明函 合同条款响应表 响应文件封面 残疾人福利性单位声明函 报价函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合同条款响应表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工期、质量标准</w:t>
            </w:r>
          </w:p>
        </w:tc>
        <w:tc>
          <w:tcPr>
            <w:tcW w:type="dxa" w:w="3322"/>
          </w:tcPr>
          <w:p>
            <w:pPr>
              <w:pStyle w:val="null3"/>
            </w:pPr>
            <w:r>
              <w:rPr>
                <w:rFonts w:ascii="仿宋_GB2312" w:hAnsi="仿宋_GB2312" w:cs="仿宋_GB2312" w:eastAsia="仿宋_GB2312"/>
              </w:rPr>
              <w:t>应满足磋商文件中要求的工期、质量标准。</w:t>
            </w:r>
          </w:p>
        </w:tc>
        <w:tc>
          <w:tcPr>
            <w:tcW w:type="dxa" w:w="1661"/>
          </w:tcPr>
          <w:p>
            <w:pPr>
              <w:pStyle w:val="null3"/>
            </w:pPr>
            <w:r>
              <w:rPr>
                <w:rFonts w:ascii="仿宋_GB2312" w:hAnsi="仿宋_GB2312" w:cs="仿宋_GB2312" w:eastAsia="仿宋_GB2312"/>
              </w:rPr>
              <w:t>商务要求偏离表 合同条款响应表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商务要求偏离表 技术要求偏离表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有详细的①施工方案（包含冬雨季施工方案）；②施工场地管理方案；③场地人员管理方案；④技术组织措施；⑤文明施工、环境保护及“治污减霾”的保障措施。以上能有效地保障项目实施过程的衔接、保证项目整体质量，评审专家根据各供应商的内容进行评审，每小项计1-4分，未提供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工程进度计划保证措施</w:t>
            </w:r>
          </w:p>
        </w:tc>
        <w:tc>
          <w:tcPr>
            <w:tcW w:type="dxa" w:w="2492"/>
          </w:tcPr>
          <w:p>
            <w:pPr>
              <w:pStyle w:val="null3"/>
            </w:pPr>
            <w:r>
              <w:rPr>
                <w:rFonts w:ascii="仿宋_GB2312" w:hAnsi="仿宋_GB2312" w:cs="仿宋_GB2312" w:eastAsia="仿宋_GB2312"/>
              </w:rPr>
              <w:t>针对本项目有切实可行的①进度计划安排；②进度计划实施方案；③确保工期的技术组织措施。针对性强，内容完整、科学合理，每小项计1-2分，未提供得0分。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针对本项目有切实可行的①质量管理制度、管理体系与职责；②质量控制与质量检查方案；③确保工程质量的技术组织措施。针对性强，内容完整、科学合理，每小项计1-2分，未提供得0分。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针对本项目有切实可行的①施工人员安全培训措施；②设施、设备安全检查措施；③安全施工保障措施。针对性强，内容完整、科学合理，每小项计1-2分，未提供得0分。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针对本项目有详细的①项目特点、关键技术问题的认识；②项目重点、难点分析；③重点、难点应对措施。针对性强，内容完整、科学合理，每小项计1-2分，未提供得0分。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针对本项目有详细的①项目管理机构配备计划；②人员岗位职责；③团队人员配备情况（人员数量、专业分工、机构健全等）。针对性强，内容完整、科学合理，每小项计1-2分，未提供得0分。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供应商针对本项目有完善的①施工机械配备；②材料投入计划。以上方案能保障项目顺利实施，保证项目质量，评审专家根据各供应商的内容进行评审，每小项计1-2分，未提供得0分。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针对本项目有切实可行的①突发事故应急预案；②应急响应与处置措施；③应急能力及物资保障措施。以上方案针对性强，能保障项目顺利实施，根据各供应商的内容进行评审，每小项计1-2分，未提供得0分。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供应商针对本项目有具体的服务承诺及合理化建议：①施工材料、所用产品质量、项目人员配备的承诺；②后续服务的承诺；③针对本项目的合理化建议。所做承诺内容具体、可行，合理化建议详细、合理，评审专家根据各供应商的内容进行评审，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供应商2023年1月1日以来承接过类似项目业绩（以合同签订时间为准)。每提供一项业绩得2分，最高得4分。须提供合同复印件或扫描件并加盖公章，未提供不计分。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3.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3%的扣除，用扣除后的价格参加评审。承接本项目的供应商符合相应条件时，给予3%的价格扣除，即：评标价=最后报价×（1-3%）;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详见附件：合同条款响应表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详见附件：技术响应方案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