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14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274"/>
        <w:gridCol w:w="7735"/>
        <w:gridCol w:w="929"/>
        <w:gridCol w:w="790"/>
      </w:tblGrid>
      <w:tr w14:paraId="719856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709" w:type="dxa"/>
            <w:vAlign w:val="center"/>
          </w:tcPr>
          <w:p w14:paraId="0529F11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274" w:type="dxa"/>
            <w:vAlign w:val="center"/>
          </w:tcPr>
          <w:p w14:paraId="7BECA37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产品名称</w:t>
            </w:r>
          </w:p>
        </w:tc>
        <w:tc>
          <w:tcPr>
            <w:tcW w:w="7735" w:type="dxa"/>
            <w:vAlign w:val="center"/>
          </w:tcPr>
          <w:p w14:paraId="1C181882">
            <w:pPr>
              <w:widowControl/>
              <w:tabs>
                <w:tab w:val="left" w:pos="11492"/>
              </w:tabs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规格参数</w:t>
            </w:r>
          </w:p>
        </w:tc>
        <w:tc>
          <w:tcPr>
            <w:tcW w:w="929" w:type="dxa"/>
            <w:vAlign w:val="center"/>
          </w:tcPr>
          <w:p w14:paraId="682EEEB5">
            <w:pPr>
              <w:widowControl/>
              <w:tabs>
                <w:tab w:val="left" w:pos="11492"/>
              </w:tabs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  <w:lang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  <w:lang w:eastAsia="zh-CN" w:bidi="ar"/>
              </w:rPr>
              <w:t>单位</w:t>
            </w:r>
          </w:p>
        </w:tc>
        <w:tc>
          <w:tcPr>
            <w:tcW w:w="790" w:type="dxa"/>
            <w:vAlign w:val="center"/>
          </w:tcPr>
          <w:p w14:paraId="077A4525">
            <w:pPr>
              <w:widowControl/>
              <w:tabs>
                <w:tab w:val="left" w:pos="11492"/>
              </w:tabs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  <w:lang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  <w:lang w:eastAsia="zh-CN" w:bidi="ar"/>
              </w:rPr>
              <w:t>数量</w:t>
            </w:r>
          </w:p>
        </w:tc>
      </w:tr>
      <w:tr w14:paraId="1B4A89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5" w:hRule="atLeast"/>
          <w:jc w:val="center"/>
        </w:trPr>
        <w:tc>
          <w:tcPr>
            <w:tcW w:w="709" w:type="dxa"/>
            <w:vAlign w:val="center"/>
          </w:tcPr>
          <w:p w14:paraId="58674C6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1274" w:type="dxa"/>
            <w:vAlign w:val="center"/>
          </w:tcPr>
          <w:p w14:paraId="615B317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防火墙</w:t>
            </w:r>
          </w:p>
        </w:tc>
        <w:tc>
          <w:tcPr>
            <w:tcW w:w="7735" w:type="dxa"/>
            <w:vAlign w:val="center"/>
          </w:tcPr>
          <w:p w14:paraId="1F31D94E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配置国产化CPU和国产化操作系统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≥16*千兆电接口，≥8*千兆光接口，≥4*万兆光接口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网络层吞吐量≥10G,应用层吞吐量≥3G,最大并发连接数≥250万,新建连接数≥3万，含3年原厂质保及系统升级服务。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支持路由模式、透明（网桥）模式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支持DNAT、SNAT模式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支持基于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应用层协议、五元组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进行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安全策略配置。</w:t>
            </w:r>
          </w:p>
          <w:p w14:paraId="3BF42B16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属于《网络关键设备和网络安全专用产品目录》内的品类，提供“网络安全专用产品安全认证证书”或“安全检测证书”</w:t>
            </w:r>
          </w:p>
          <w:p w14:paraId="2BA0C8CA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提”</w:t>
            </w:r>
          </w:p>
          <w:p w14:paraId="13EB2588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提供计算机软件著作权</w:t>
            </w:r>
          </w:p>
        </w:tc>
        <w:tc>
          <w:tcPr>
            <w:tcW w:w="929" w:type="dxa"/>
            <w:vAlign w:val="center"/>
          </w:tcPr>
          <w:p w14:paraId="14336B2C">
            <w:pPr>
              <w:widowControl/>
              <w:tabs>
                <w:tab w:val="left" w:pos="11492"/>
              </w:tabs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套</w:t>
            </w:r>
          </w:p>
        </w:tc>
        <w:tc>
          <w:tcPr>
            <w:tcW w:w="790" w:type="dxa"/>
            <w:vAlign w:val="center"/>
          </w:tcPr>
          <w:p w14:paraId="0F239F20">
            <w:pPr>
              <w:widowControl/>
              <w:tabs>
                <w:tab w:val="left" w:pos="11492"/>
              </w:tabs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1</w:t>
            </w:r>
          </w:p>
        </w:tc>
      </w:tr>
      <w:tr w14:paraId="340FE7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5" w:hRule="atLeast"/>
          <w:jc w:val="center"/>
        </w:trPr>
        <w:tc>
          <w:tcPr>
            <w:tcW w:w="709" w:type="dxa"/>
            <w:vAlign w:val="center"/>
          </w:tcPr>
          <w:p w14:paraId="14A929F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1274" w:type="dxa"/>
            <w:vAlign w:val="center"/>
          </w:tcPr>
          <w:p w14:paraId="07E686B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防火墙</w:t>
            </w:r>
          </w:p>
        </w:tc>
        <w:tc>
          <w:tcPr>
            <w:tcW w:w="7735" w:type="dxa"/>
            <w:vAlign w:val="center"/>
          </w:tcPr>
          <w:p w14:paraId="01107826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配置国产化CPU和国产化操作系统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≥16*千兆电接口，≥8*千兆光接口，≥4*万兆光接口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网络层吞吐量≥10G,应用层吞吐量≥3G,最大并发连接数≥250万,新建连接数≥3万，配置入侵防护/病毒防护功能，含3年原厂质保及系统升级服务。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支持路由模式、透明（网桥）模式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支持DNAT、SNAT模式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支持基于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应用层协议、五元组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进行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安全策略配置。</w:t>
            </w:r>
          </w:p>
          <w:p w14:paraId="73199519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属于《网络关键设备和网络安全专用产品目录》内的品类，提供“网络安全专用产品安全认证证书”或“安全检测证书”</w:t>
            </w:r>
            <w:bookmarkStart w:id="0" w:name="_GoBack"/>
            <w:bookmarkEnd w:id="0"/>
          </w:p>
          <w:p w14:paraId="10407495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提”</w:t>
            </w:r>
          </w:p>
          <w:p w14:paraId="0187ACAB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提供计算机软件著作权</w:t>
            </w:r>
          </w:p>
        </w:tc>
        <w:tc>
          <w:tcPr>
            <w:tcW w:w="929" w:type="dxa"/>
            <w:vAlign w:val="center"/>
          </w:tcPr>
          <w:p w14:paraId="6AD74E6F">
            <w:pPr>
              <w:widowControl/>
              <w:tabs>
                <w:tab w:val="left" w:pos="11492"/>
              </w:tabs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套</w:t>
            </w:r>
          </w:p>
        </w:tc>
        <w:tc>
          <w:tcPr>
            <w:tcW w:w="790" w:type="dxa"/>
            <w:vAlign w:val="center"/>
          </w:tcPr>
          <w:p w14:paraId="11950BD0">
            <w:pPr>
              <w:widowControl/>
              <w:tabs>
                <w:tab w:val="left" w:pos="11492"/>
              </w:tabs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1</w:t>
            </w:r>
          </w:p>
        </w:tc>
      </w:tr>
      <w:tr w14:paraId="231222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7" w:hRule="atLeast"/>
          <w:jc w:val="center"/>
        </w:trPr>
        <w:tc>
          <w:tcPr>
            <w:tcW w:w="709" w:type="dxa"/>
            <w:vAlign w:val="center"/>
          </w:tcPr>
          <w:p w14:paraId="4CD350B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1274" w:type="dxa"/>
            <w:vAlign w:val="center"/>
          </w:tcPr>
          <w:p w14:paraId="0ABF821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入侵防护系统</w:t>
            </w:r>
          </w:p>
        </w:tc>
        <w:tc>
          <w:tcPr>
            <w:tcW w:w="7735" w:type="dxa"/>
            <w:vAlign w:val="center"/>
          </w:tcPr>
          <w:p w14:paraId="080F647C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配置国产化CPU和国产化操作系统，冗余电源，≥6*千兆电口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1路硬件bypass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，≥4*千兆光口，应用层吞吐量≥2G，网络层吞吐量≥10G，含3年原厂质保及系统、特征库升级服务。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系统内置攻击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 w:bidi="ar"/>
              </w:rPr>
              <w:t>防护策略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能够有效抵御SQL注入、XSS注入、webshell等多种常见的应用层安全威胁</w:t>
            </w:r>
          </w:p>
          <w:p w14:paraId="1CFF0B06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支持访问控制策略，可基于IP地址、端口、协议、动作进行访问策略配置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。</w:t>
            </w:r>
          </w:p>
          <w:p w14:paraId="6C5BE19E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属于《网络关键设备和网络安全专用产品目录》内的品类，提供“网络安全专用产品安全认证证书”或“安全检测证书”</w:t>
            </w:r>
          </w:p>
          <w:p w14:paraId="7585969B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提”</w:t>
            </w:r>
          </w:p>
          <w:p w14:paraId="2C567333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提供计算机软件著作权</w:t>
            </w:r>
          </w:p>
        </w:tc>
        <w:tc>
          <w:tcPr>
            <w:tcW w:w="929" w:type="dxa"/>
            <w:vAlign w:val="center"/>
          </w:tcPr>
          <w:p w14:paraId="71B7A29A">
            <w:pPr>
              <w:widowControl/>
              <w:tabs>
                <w:tab w:val="left" w:pos="11492"/>
              </w:tabs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套</w:t>
            </w:r>
          </w:p>
        </w:tc>
        <w:tc>
          <w:tcPr>
            <w:tcW w:w="790" w:type="dxa"/>
            <w:vAlign w:val="center"/>
          </w:tcPr>
          <w:p w14:paraId="0F4E3ADC">
            <w:pPr>
              <w:widowControl/>
              <w:tabs>
                <w:tab w:val="left" w:pos="11492"/>
              </w:tabs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1</w:t>
            </w:r>
          </w:p>
        </w:tc>
      </w:tr>
      <w:tr w14:paraId="28D791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7" w:hRule="atLeast"/>
          <w:jc w:val="center"/>
        </w:trPr>
        <w:tc>
          <w:tcPr>
            <w:tcW w:w="709" w:type="dxa"/>
            <w:vAlign w:val="center"/>
          </w:tcPr>
          <w:p w14:paraId="5770247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1274" w:type="dxa"/>
            <w:vAlign w:val="center"/>
          </w:tcPr>
          <w:p w14:paraId="3CF9568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上网行为管理</w:t>
            </w:r>
          </w:p>
        </w:tc>
        <w:tc>
          <w:tcPr>
            <w:tcW w:w="7735" w:type="dxa"/>
            <w:vAlign w:val="center"/>
          </w:tcPr>
          <w:p w14:paraId="323DC058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配置国产化CPU和国产化操作系统，冗余电源，≥10个千兆电口，网络层吞吐量≥6G，应用层吞吐量≥3G，含3年原厂质保及系统、特征库升级服务。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支持分别部署透明模式、旁路模式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。</w:t>
            </w:r>
          </w:p>
          <w:p w14:paraId="1EEF41A6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支持对上网行为进行审计，若为透明模式，可对风险行为进行阻断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属于《网络关键设备和网络安全专用产品目录》内的品类，提供“网络安全专用产品安全认证证书”或“安全检测证书”</w:t>
            </w:r>
          </w:p>
          <w:p w14:paraId="1525E0F7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提”</w:t>
            </w:r>
          </w:p>
          <w:p w14:paraId="58CD288B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提供计算机软件著作权</w:t>
            </w:r>
          </w:p>
        </w:tc>
        <w:tc>
          <w:tcPr>
            <w:tcW w:w="929" w:type="dxa"/>
            <w:vAlign w:val="center"/>
          </w:tcPr>
          <w:p w14:paraId="378DE148">
            <w:pPr>
              <w:widowControl/>
              <w:tabs>
                <w:tab w:val="left" w:pos="11492"/>
              </w:tabs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套</w:t>
            </w:r>
          </w:p>
        </w:tc>
        <w:tc>
          <w:tcPr>
            <w:tcW w:w="790" w:type="dxa"/>
            <w:vAlign w:val="center"/>
          </w:tcPr>
          <w:p w14:paraId="1D93887A">
            <w:pPr>
              <w:widowControl/>
              <w:tabs>
                <w:tab w:val="left" w:pos="11492"/>
              </w:tabs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1</w:t>
            </w:r>
          </w:p>
        </w:tc>
      </w:tr>
      <w:tr w14:paraId="2AB6C9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5" w:hRule="atLeast"/>
          <w:jc w:val="center"/>
        </w:trPr>
        <w:tc>
          <w:tcPr>
            <w:tcW w:w="709" w:type="dxa"/>
            <w:vAlign w:val="center"/>
          </w:tcPr>
          <w:p w14:paraId="2F06503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1274" w:type="dxa"/>
            <w:vAlign w:val="center"/>
          </w:tcPr>
          <w:p w14:paraId="0B59AFE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日志审计</w:t>
            </w:r>
          </w:p>
        </w:tc>
        <w:tc>
          <w:tcPr>
            <w:tcW w:w="7735" w:type="dxa"/>
            <w:vAlign w:val="center"/>
          </w:tcPr>
          <w:p w14:paraId="093BF1E0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配置国产化CPU和国产化操作系统，≥6*千兆GE电口，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硬盘容量≥4TB，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授权接入不少于200个日志源，日志处理能力≥2000eps，含3年原厂质保及系统升级服务。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系统支持的数据采集方式包括但不限于SYSLOG、RSYSLOG、SNMP Trap、FTP、KAFKA等方式采集日志。</w:t>
            </w:r>
          </w:p>
          <w:p w14:paraId="79129A6E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支持对采集的日志进行深度安全分析。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属于《网络关键设备和网络安全专用产品目录》内的品类，提供“网络安全专用产品安全认证证书”或“安全检测证书”</w:t>
            </w:r>
          </w:p>
          <w:p w14:paraId="49920469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提”</w:t>
            </w:r>
          </w:p>
          <w:p w14:paraId="4E208CA1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B050"/>
                <w:kern w:val="0"/>
                <w:sz w:val="18"/>
                <w:szCs w:val="18"/>
                <w:highlight w:val="green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提供计算机软件著作权</w:t>
            </w:r>
          </w:p>
        </w:tc>
        <w:tc>
          <w:tcPr>
            <w:tcW w:w="929" w:type="dxa"/>
            <w:vAlign w:val="center"/>
          </w:tcPr>
          <w:p w14:paraId="0710B7CF">
            <w:pPr>
              <w:widowControl/>
              <w:tabs>
                <w:tab w:val="left" w:pos="11492"/>
              </w:tabs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套</w:t>
            </w:r>
          </w:p>
        </w:tc>
        <w:tc>
          <w:tcPr>
            <w:tcW w:w="790" w:type="dxa"/>
            <w:vAlign w:val="center"/>
          </w:tcPr>
          <w:p w14:paraId="13AB4059">
            <w:pPr>
              <w:widowControl/>
              <w:tabs>
                <w:tab w:val="left" w:pos="11492"/>
              </w:tabs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1</w:t>
            </w:r>
          </w:p>
        </w:tc>
      </w:tr>
      <w:tr w14:paraId="6C035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1" w:hRule="atLeast"/>
          <w:jc w:val="center"/>
        </w:trPr>
        <w:tc>
          <w:tcPr>
            <w:tcW w:w="709" w:type="dxa"/>
            <w:vAlign w:val="center"/>
          </w:tcPr>
          <w:p w14:paraId="01DB45A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1274" w:type="dxa"/>
            <w:vAlign w:val="center"/>
          </w:tcPr>
          <w:p w14:paraId="7EC0612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运维审计</w:t>
            </w:r>
          </w:p>
        </w:tc>
        <w:tc>
          <w:tcPr>
            <w:tcW w:w="7735" w:type="dxa"/>
            <w:vAlign w:val="center"/>
          </w:tcPr>
          <w:p w14:paraId="25ABA2F6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配置国产化CPU和国产化操作系统，冗余电源，≥10个千兆电口，授权管理不少于200台设备，字符并发会话数≥800，图形并发会话数≥500，含3年原厂质保及系统升级服务。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支持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用户登录堡垒机支持多种认证方式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。</w:t>
            </w:r>
          </w:p>
          <w:p w14:paraId="52477CD1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支持Oracle、MSSQL、MySQL、PostgreSQL、DB2、MongoDB等数据库协议代理</w:t>
            </w:r>
          </w:p>
          <w:p w14:paraId="0F429CC5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cyan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支持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基于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角色和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资源进行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静态授权，通过不同授权模型满足运维管控要求。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支持RDP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NC、SSH、TELNET、SFTP、FTP协议的运维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。</w:t>
            </w:r>
          </w:p>
          <w:p w14:paraId="05D2A3E4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属于《网络关键设备和网络安全专用产品目录》内的品类，提供“网络安全专用产品安全认证证书”或“安全检测证书”</w:t>
            </w:r>
          </w:p>
          <w:p w14:paraId="1FDADDBF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提”</w:t>
            </w:r>
          </w:p>
          <w:p w14:paraId="3AC2105C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strike/>
                <w:color w:val="EE0000"/>
                <w:kern w:val="0"/>
                <w:sz w:val="18"/>
                <w:szCs w:val="18"/>
                <w:highlight w:val="green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提供计算机软件著作权</w:t>
            </w:r>
          </w:p>
        </w:tc>
        <w:tc>
          <w:tcPr>
            <w:tcW w:w="929" w:type="dxa"/>
            <w:vAlign w:val="center"/>
          </w:tcPr>
          <w:p w14:paraId="12280EA1">
            <w:pPr>
              <w:widowControl/>
              <w:tabs>
                <w:tab w:val="left" w:pos="11492"/>
              </w:tabs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套</w:t>
            </w:r>
          </w:p>
        </w:tc>
        <w:tc>
          <w:tcPr>
            <w:tcW w:w="790" w:type="dxa"/>
            <w:vAlign w:val="center"/>
          </w:tcPr>
          <w:p w14:paraId="405707E7">
            <w:pPr>
              <w:widowControl/>
              <w:tabs>
                <w:tab w:val="left" w:pos="11492"/>
              </w:tabs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1</w:t>
            </w:r>
          </w:p>
        </w:tc>
      </w:tr>
      <w:tr w14:paraId="0F2C8B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5" w:hRule="atLeast"/>
          <w:jc w:val="center"/>
        </w:trPr>
        <w:tc>
          <w:tcPr>
            <w:tcW w:w="709" w:type="dxa"/>
            <w:vAlign w:val="center"/>
          </w:tcPr>
          <w:p w14:paraId="2A2748D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1274" w:type="dxa"/>
            <w:vAlign w:val="center"/>
          </w:tcPr>
          <w:p w14:paraId="788255E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漏洞扫描</w:t>
            </w:r>
          </w:p>
        </w:tc>
        <w:tc>
          <w:tcPr>
            <w:tcW w:w="7735" w:type="dxa"/>
            <w:vAlign w:val="center"/>
          </w:tcPr>
          <w:p w14:paraId="3FB4C825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配置国产化CPU和国产化操作系统，≥6*千兆电口，最大并发主机数≥50，最大并发任务数≥10，配置系统漏洞扫描、弱口令扫描、web漏洞扫描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配置不少于200个可扫描IP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含3年原厂质保及系统、漏洞库升级服务。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支持扫描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非国产操作系统、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国产操作系统、应用及软件的安全漏洞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。</w:t>
            </w:r>
          </w:p>
          <w:p w14:paraId="7DFCF943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支持报告生成功能，可基于扫描结果生成漏洞扫描报告。</w:t>
            </w:r>
          </w:p>
          <w:p w14:paraId="71D57405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属于《网络关键设备和网络安全专用产品目录》内的品类，提供“网络安全专用产品安全认证证书”或“安全检测证书”</w:t>
            </w:r>
          </w:p>
          <w:p w14:paraId="36849887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提”</w:t>
            </w:r>
          </w:p>
          <w:p w14:paraId="6B84EB93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strike/>
                <w:color w:val="EE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提供计算机软件著作权</w:t>
            </w:r>
          </w:p>
        </w:tc>
        <w:tc>
          <w:tcPr>
            <w:tcW w:w="929" w:type="dxa"/>
            <w:vAlign w:val="center"/>
          </w:tcPr>
          <w:p w14:paraId="1C6EFD34">
            <w:pPr>
              <w:widowControl/>
              <w:tabs>
                <w:tab w:val="left" w:pos="11492"/>
              </w:tabs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套</w:t>
            </w:r>
          </w:p>
        </w:tc>
        <w:tc>
          <w:tcPr>
            <w:tcW w:w="790" w:type="dxa"/>
            <w:vAlign w:val="center"/>
          </w:tcPr>
          <w:p w14:paraId="41FCBDDB">
            <w:pPr>
              <w:widowControl/>
              <w:tabs>
                <w:tab w:val="left" w:pos="11492"/>
              </w:tabs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1</w:t>
            </w:r>
          </w:p>
        </w:tc>
      </w:tr>
      <w:tr w14:paraId="08553E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5" w:hRule="atLeast"/>
          <w:jc w:val="center"/>
        </w:trPr>
        <w:tc>
          <w:tcPr>
            <w:tcW w:w="709" w:type="dxa"/>
            <w:vAlign w:val="center"/>
          </w:tcPr>
          <w:p w14:paraId="5C7F3E1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1274" w:type="dxa"/>
            <w:vAlign w:val="center"/>
          </w:tcPr>
          <w:p w14:paraId="3FFD775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终端杀毒</w:t>
            </w:r>
          </w:p>
        </w:tc>
        <w:tc>
          <w:tcPr>
            <w:tcW w:w="7735" w:type="dxa"/>
            <w:vAlign w:val="center"/>
          </w:tcPr>
          <w:p w14:paraId="1F081A77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配置国产化终端杀毒软件，配置200个客户端授权，提供3年系统及病毒库升级服务，控制中心支持国产化和非国产化环境部署，客户端兼容以下操作系统： Windows支持：Windows XP（32位）、Windows 7、Windows 8/8.1、Windows 10、Windows 11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国产化操作系统支持但不仅限于如下操作系统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银河麒麟、统信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。</w:t>
            </w:r>
          </w:p>
          <w:p w14:paraId="5BD3DA9A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支持终端文件安全监控，及时处置恶意程序。</w:t>
            </w:r>
          </w:p>
          <w:p w14:paraId="2354ED9C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属于《网络关键设备和网络安全专用产品目录》内的品类，提供“网络安全专用产品安全认证证书”或“安全检测证书”</w:t>
            </w:r>
          </w:p>
          <w:p w14:paraId="5978557B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提”</w:t>
            </w:r>
          </w:p>
          <w:p w14:paraId="6BE1E6D9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green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提供计算机软件著作权</w:t>
            </w:r>
          </w:p>
        </w:tc>
        <w:tc>
          <w:tcPr>
            <w:tcW w:w="929" w:type="dxa"/>
            <w:vAlign w:val="center"/>
          </w:tcPr>
          <w:p w14:paraId="078CC6C5">
            <w:pPr>
              <w:widowControl/>
              <w:tabs>
                <w:tab w:val="left" w:pos="11492"/>
              </w:tabs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套</w:t>
            </w:r>
          </w:p>
        </w:tc>
        <w:tc>
          <w:tcPr>
            <w:tcW w:w="790" w:type="dxa"/>
            <w:vAlign w:val="center"/>
          </w:tcPr>
          <w:p w14:paraId="6B521550">
            <w:pPr>
              <w:widowControl/>
              <w:tabs>
                <w:tab w:val="left" w:pos="11492"/>
              </w:tabs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1</w:t>
            </w:r>
          </w:p>
        </w:tc>
      </w:tr>
      <w:tr w14:paraId="5072C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6" w:hRule="atLeast"/>
          <w:jc w:val="center"/>
        </w:trPr>
        <w:tc>
          <w:tcPr>
            <w:tcW w:w="709" w:type="dxa"/>
            <w:vAlign w:val="center"/>
          </w:tcPr>
          <w:p w14:paraId="5C2923A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1274" w:type="dxa"/>
            <w:vAlign w:val="center"/>
          </w:tcPr>
          <w:p w14:paraId="3318791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安全态势管理中心</w:t>
            </w:r>
          </w:p>
        </w:tc>
        <w:tc>
          <w:tcPr>
            <w:tcW w:w="7735" w:type="dxa"/>
            <w:vAlign w:val="center"/>
          </w:tcPr>
          <w:p w14:paraId="1AAA81CB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配置国产化CPU和国产化操作系统，冗余电源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硬盘≥8T*4，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含3年原厂质保及系统、特征库升级服务。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支持http、ftp、dns等协议的流量采集监测。</w:t>
            </w:r>
          </w:p>
          <w:p w14:paraId="7A193C55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支持资产管理、威胁监测、安全事件管理、安全数据统计等功能。</w:t>
            </w:r>
          </w:p>
          <w:p w14:paraId="39E00CD0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属于《网络关键设备和网络安全专用产品目录》内的品类，提供“网络安全专用产品安全认证证书”或“安全检测证书”</w:t>
            </w:r>
          </w:p>
          <w:p w14:paraId="2A84DE95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提”</w:t>
            </w:r>
          </w:p>
          <w:p w14:paraId="00F53D32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strike/>
                <w:color w:val="EE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提供计算机软件著作权</w:t>
            </w:r>
          </w:p>
        </w:tc>
        <w:tc>
          <w:tcPr>
            <w:tcW w:w="929" w:type="dxa"/>
            <w:vAlign w:val="center"/>
          </w:tcPr>
          <w:p w14:paraId="1F18139A">
            <w:pPr>
              <w:widowControl/>
              <w:tabs>
                <w:tab w:val="left" w:pos="11492"/>
              </w:tabs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套</w:t>
            </w:r>
          </w:p>
        </w:tc>
        <w:tc>
          <w:tcPr>
            <w:tcW w:w="790" w:type="dxa"/>
            <w:vAlign w:val="center"/>
          </w:tcPr>
          <w:p w14:paraId="79E3FE41">
            <w:pPr>
              <w:widowControl/>
              <w:tabs>
                <w:tab w:val="left" w:pos="11492"/>
              </w:tabs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8"/>
                <w:szCs w:val="18"/>
                <w:lang w:val="en-US" w:eastAsia="zh-CN" w:bidi="ar"/>
              </w:rPr>
              <w:t>1</w:t>
            </w:r>
          </w:p>
        </w:tc>
      </w:tr>
      <w:tr w14:paraId="3C2DE2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1" w:hRule="atLeast"/>
          <w:jc w:val="center"/>
        </w:trPr>
        <w:tc>
          <w:tcPr>
            <w:tcW w:w="709" w:type="dxa"/>
            <w:vAlign w:val="center"/>
          </w:tcPr>
          <w:p w14:paraId="21F6AC8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1274" w:type="dxa"/>
            <w:vAlign w:val="center"/>
          </w:tcPr>
          <w:p w14:paraId="7927B8A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IT综合网管系统</w:t>
            </w:r>
          </w:p>
        </w:tc>
        <w:tc>
          <w:tcPr>
            <w:tcW w:w="7735" w:type="dxa"/>
            <w:vAlign w:val="center"/>
          </w:tcPr>
          <w:p w14:paraId="2F793253">
            <w:pPr>
              <w:widowControl/>
              <w:numPr>
                <w:ilvl w:val="0"/>
                <w:numId w:val="1"/>
              </w:numPr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包含用户管理、拓扑管理、权限管理、运行管理、异常告警等功能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。</w:t>
            </w:r>
          </w:p>
          <w:p w14:paraId="3D85B4E7">
            <w:pPr>
              <w:widowControl/>
              <w:numPr>
                <w:ilvl w:val="0"/>
                <w:numId w:val="1"/>
              </w:numPr>
              <w:tabs>
                <w:tab w:val="left" w:pos="11492"/>
              </w:tabs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主机监控：支持SNMPV1/V2/V3、SSH、TELNET协议。支持windows、linux等操作系统监测 。支持系统的CPU、内存、进程、服务、端口等状态监测。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green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3、网络监控：针对网络设备的CPU、内存、风扇和电源的监测，</w:t>
            </w:r>
          </w:p>
          <w:p w14:paraId="1666717F">
            <w:pPr>
              <w:widowControl/>
              <w:numPr>
                <w:ilvl w:val="0"/>
                <w:numId w:val="0"/>
              </w:numPr>
              <w:tabs>
                <w:tab w:val="left" w:pos="11492"/>
              </w:tabs>
              <w:ind w:leftChars="0"/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4、支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持SNMPV1、V2、V3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5、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数据库监控:支持MYSQL、ORACLE、DB2、达梦、人大金仓等数据库的实时监测</w:t>
            </w:r>
          </w:p>
          <w:p w14:paraId="6DC0D5E0">
            <w:pPr>
              <w:widowControl/>
              <w:numPr>
                <w:ilvl w:val="0"/>
                <w:numId w:val="0"/>
              </w:numPr>
              <w:tabs>
                <w:tab w:val="left" w:pos="11492"/>
              </w:tabs>
              <w:ind w:leftChars="0"/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6、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中间件监控：支持对WEBLOGIC、IIS、TOMCAT、APACHE等中间件监控，</w:t>
            </w:r>
          </w:p>
          <w:p w14:paraId="7E8A09C3">
            <w:pPr>
              <w:widowControl/>
              <w:numPr>
                <w:ilvl w:val="0"/>
                <w:numId w:val="0"/>
              </w:numPr>
              <w:tabs>
                <w:tab w:val="left" w:pos="11492"/>
              </w:tabs>
              <w:ind w:leftChars="0"/>
              <w:jc w:val="both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7、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支持对服务器节点的状态监测。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green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8、支持报告管理功能。</w:t>
            </w:r>
          </w:p>
        </w:tc>
        <w:tc>
          <w:tcPr>
            <w:tcW w:w="929" w:type="dxa"/>
            <w:vAlign w:val="center"/>
          </w:tcPr>
          <w:p w14:paraId="67F4CEAD">
            <w:pPr>
              <w:widowControl/>
              <w:numPr>
                <w:ilvl w:val="0"/>
                <w:numId w:val="0"/>
              </w:numPr>
              <w:tabs>
                <w:tab w:val="left" w:pos="11492"/>
              </w:tabs>
              <w:ind w:left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套</w:t>
            </w:r>
          </w:p>
        </w:tc>
        <w:tc>
          <w:tcPr>
            <w:tcW w:w="790" w:type="dxa"/>
            <w:vAlign w:val="center"/>
          </w:tcPr>
          <w:p w14:paraId="3F4CF753">
            <w:pPr>
              <w:widowControl/>
              <w:numPr>
                <w:ilvl w:val="0"/>
                <w:numId w:val="0"/>
              </w:numPr>
              <w:tabs>
                <w:tab w:val="left" w:pos="11492"/>
              </w:tabs>
              <w:ind w:leftChars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1</w:t>
            </w:r>
          </w:p>
        </w:tc>
      </w:tr>
      <w:tr w14:paraId="0291ED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9" w:hRule="atLeast"/>
          <w:jc w:val="center"/>
        </w:trPr>
        <w:tc>
          <w:tcPr>
            <w:tcW w:w="709" w:type="dxa"/>
            <w:vAlign w:val="center"/>
          </w:tcPr>
          <w:p w14:paraId="223A620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1274" w:type="dxa"/>
            <w:vAlign w:val="center"/>
          </w:tcPr>
          <w:p w14:paraId="5F0B099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信息消磁清除系统</w:t>
            </w:r>
          </w:p>
        </w:tc>
        <w:tc>
          <w:tcPr>
            <w:tcW w:w="7735" w:type="dxa"/>
            <w:vAlign w:val="center"/>
          </w:tcPr>
          <w:p w14:paraId="095B1545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额定电压：220V/ 50Hz，消磁功能： 硬盘（固态硬盘除外）、软盘、磁带、磁卡等磁性存储介质；有效消磁区最低场强高于10000(Gs)，销毁标准：国家保密局一级销毁标准；清除功能：硬盘、U盘、IC卡等可读写介质；支持消磁日志管理：消磁过程有详细消磁日志记录，并可查询消磁记录，通过管理软件将本机消磁日志导入计算机便于管理，打印；支持计算机管理：能够实现计算机对消磁过程的全面管理，通过授权身份登录管理界面进行记录消磁操作员、监消员、介质类型、销毁时间、所属部门、消磁电压、消磁场强、消磁结果等。</w:t>
            </w:r>
          </w:p>
        </w:tc>
        <w:tc>
          <w:tcPr>
            <w:tcW w:w="929" w:type="dxa"/>
            <w:vAlign w:val="center"/>
          </w:tcPr>
          <w:p w14:paraId="090D74B2">
            <w:pPr>
              <w:widowControl/>
              <w:tabs>
                <w:tab w:val="left" w:pos="11492"/>
              </w:tabs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台</w:t>
            </w:r>
          </w:p>
        </w:tc>
        <w:tc>
          <w:tcPr>
            <w:tcW w:w="790" w:type="dxa"/>
            <w:vAlign w:val="center"/>
          </w:tcPr>
          <w:p w14:paraId="3883B9B3">
            <w:pPr>
              <w:widowControl/>
              <w:tabs>
                <w:tab w:val="left" w:pos="11492"/>
              </w:tabs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1</w:t>
            </w:r>
          </w:p>
        </w:tc>
      </w:tr>
      <w:tr w14:paraId="24BA57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709" w:type="dxa"/>
            <w:vAlign w:val="center"/>
          </w:tcPr>
          <w:p w14:paraId="2849585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1274" w:type="dxa"/>
            <w:vAlign w:val="center"/>
          </w:tcPr>
          <w:p w14:paraId="56106E1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辅材</w:t>
            </w:r>
          </w:p>
        </w:tc>
        <w:tc>
          <w:tcPr>
            <w:tcW w:w="7735" w:type="dxa"/>
            <w:vAlign w:val="center"/>
          </w:tcPr>
          <w:p w14:paraId="15359CE1">
            <w:pPr>
              <w:widowControl/>
              <w:tabs>
                <w:tab w:val="left" w:pos="11492"/>
              </w:tabs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光电模块、转换头、线览等</w:t>
            </w:r>
          </w:p>
        </w:tc>
        <w:tc>
          <w:tcPr>
            <w:tcW w:w="929" w:type="dxa"/>
            <w:vAlign w:val="center"/>
          </w:tcPr>
          <w:p w14:paraId="334EDF73">
            <w:pPr>
              <w:widowControl/>
              <w:tabs>
                <w:tab w:val="left" w:pos="11492"/>
              </w:tabs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批</w:t>
            </w:r>
          </w:p>
        </w:tc>
        <w:tc>
          <w:tcPr>
            <w:tcW w:w="790" w:type="dxa"/>
            <w:vAlign w:val="center"/>
          </w:tcPr>
          <w:p w14:paraId="276EC7ED">
            <w:pPr>
              <w:widowControl/>
              <w:tabs>
                <w:tab w:val="left" w:pos="11492"/>
              </w:tabs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1</w:t>
            </w:r>
          </w:p>
        </w:tc>
      </w:tr>
    </w:tbl>
    <w:p w14:paraId="28B0A703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0DA07B"/>
    <w:multiLevelType w:val="singleLevel"/>
    <w:tmpl w:val="0F0DA07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D34342"/>
    <w:rsid w:val="25D34342"/>
    <w:rsid w:val="3019022C"/>
    <w:rsid w:val="78F20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2359</Words>
  <Characters>2675</Characters>
  <Lines>0</Lines>
  <Paragraphs>0</Paragraphs>
  <TotalTime>15</TotalTime>
  <ScaleCrop>false</ScaleCrop>
  <LinksUpToDate>false</LinksUpToDate>
  <CharactersWithSpaces>2686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2026-07-02T02:07:00Z</dcterms:created>
  <dc:creator>凉水喝到醉</dc:creator>
  <cp:lastModifiedBy>宋璟雯</cp:lastModifiedBy>
  <dcterms:modified xsi:type="dcterms:W3CDTF">2026-07-24T00:49:50Z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12CBA3E61B5645B2AE09F2ACE76CA841_11</vt:lpwstr>
  </property>
  <property fmtid="{D5CDD505-2E9C-101B-9397-08002B2CF9AE}" pid="4" name="KSOTemplateDocerSaveRecord">
    <vt:lpwstr>eyJoZGlkIjoiYjA5MDIyNjdmNTI0MTU3OWI3N2I2NTczMTFmZjA1YzciLCJ1c2VySWQiOiIxNDU1MjAyNDM0In0=</vt:lpwstr>
  </property>
</Properties>
</file>