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版本号：YMD-2026077F20260604001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“挑战杯”大学生创业计划竞赛训练营项目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YMD-2026077F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“挑战杯”大学生创业计划竞赛训练营项目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YMD-2026077F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“挑战杯”大学生创业计划竞赛训练营项目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通过构建系统化、专业化的培训体系，为参与第十三届“挑战杯”陕西省大学生创业计划竞赛的学生提供全方位的指导与支持，主要包括：赛事解读与选题方向、立项训练营、大赛文本撰写指导、项目路演指导，助力我院选手在竞赛中脱颖而出，取得理想的成绩，促进学校创新创业教育的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采购包1（西安职业技术学院“挑战杯”大学生创业计划竞赛训练营项目）：属于专门面向中小企业采购。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88519212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进行收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通过构建系统化、专业化的培训体系，为参与第十三届“挑战杯”陕西省大学生创业计划竞赛的学生提供全方位的指导与支持，主要包括：赛事解读与选题方向、立项训练营、大赛文本撰写指导、项目路演指导，助力我院选手在竞赛中脱颖而出，取得理想的成绩，促进学校创新创业教育的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挑战杯大学生创业计划竞赛 训练营项目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标的名称：挑战杯大学生创业计划竞赛 训练营项目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00"/>
              </w:rPr>
              <w:t>一、服务内容</w:t>
            </w:r>
          </w:p>
          <w:p>
            <w:pPr>
              <w:pStyle w:val="null3"/>
              <w:jc w:val="left"/>
            </w:pPr>
            <w:r>
              <w:rPr>
                <w:rFonts w:ascii="仿宋_GB2312" w:hAnsi="仿宋_GB2312" w:cs="仿宋_GB2312" w:eastAsia="仿宋_GB2312"/>
                <w:sz w:val="20"/>
                <w:color w:val="000000"/>
              </w:rPr>
              <w:t>（一）赛事深度解读</w:t>
            </w:r>
          </w:p>
          <w:p>
            <w:pPr>
              <w:pStyle w:val="null3"/>
              <w:jc w:val="left"/>
            </w:pPr>
            <w:r>
              <w:rPr>
                <w:rFonts w:ascii="仿宋_GB2312" w:hAnsi="仿宋_GB2312" w:cs="仿宋_GB2312" w:eastAsia="仿宋_GB2312"/>
                <w:sz w:val="20"/>
                <w:color w:val="000000"/>
              </w:rPr>
              <w:t>邀请具有</w:t>
            </w:r>
            <w:r>
              <w:rPr>
                <w:rFonts w:ascii="仿宋_GB2312" w:hAnsi="仿宋_GB2312" w:cs="仿宋_GB2312" w:eastAsia="仿宋_GB2312"/>
                <w:sz w:val="20"/>
                <w:color w:val="000000"/>
              </w:rPr>
              <w:t>“挑战杯”大学生创业计划竞赛国赛、省赛评审经验的权威专家，深入解读最新评审规则变化、获奖项目特征与备赛策略要点，帮助师生精准把握竞赛导向与要求。结合近年获奖案例，剖析高职组项目的设计逻辑、创新要点与呈现技巧。至少开展 2 次讲座。</w:t>
            </w:r>
          </w:p>
          <w:p>
            <w:pPr>
              <w:pStyle w:val="null3"/>
              <w:jc w:val="left"/>
            </w:pPr>
            <w:r>
              <w:rPr>
                <w:rFonts w:ascii="仿宋_GB2312" w:hAnsi="仿宋_GB2312" w:cs="仿宋_GB2312" w:eastAsia="仿宋_GB2312"/>
                <w:sz w:val="20"/>
                <w:color w:val="000000"/>
              </w:rPr>
              <w:t>（二）全流程评审支持</w:t>
            </w:r>
          </w:p>
          <w:p>
            <w:pPr>
              <w:pStyle w:val="null3"/>
              <w:jc w:val="left"/>
            </w:pPr>
            <w:r>
              <w:rPr>
                <w:rFonts w:ascii="仿宋_GB2312" w:hAnsi="仿宋_GB2312" w:cs="仿宋_GB2312" w:eastAsia="仿宋_GB2312"/>
                <w:sz w:val="20"/>
                <w:color w:val="000000"/>
              </w:rPr>
              <w:t>1.校级初审与复审。组建跨领域专家库（技术、商业、投资），采用双盲评审机制确保公平性，提供结构化评分反馈。每轮评审至少邀请 2 名评委。</w:t>
            </w:r>
          </w:p>
          <w:p>
            <w:pPr>
              <w:pStyle w:val="null3"/>
              <w:jc w:val="left"/>
            </w:pPr>
            <w:r>
              <w:rPr>
                <w:rFonts w:ascii="仿宋_GB2312" w:hAnsi="仿宋_GB2312" w:cs="仿宋_GB2312" w:eastAsia="仿宋_GB2312"/>
                <w:sz w:val="20"/>
                <w:color w:val="000000"/>
              </w:rPr>
              <w:t>2.校级决赛评审。模拟省赛环境组织路演答辩，安排专业评审团（含产业专家、投资人、往届获奖导师），至少邀请 3 名评委进行全流程评审，并选出优秀项目推荐至省赛。</w:t>
            </w:r>
          </w:p>
          <w:p>
            <w:pPr>
              <w:pStyle w:val="null3"/>
              <w:jc w:val="left"/>
            </w:pPr>
            <w:r>
              <w:rPr>
                <w:rFonts w:ascii="仿宋_GB2312" w:hAnsi="仿宋_GB2312" w:cs="仿宋_GB2312" w:eastAsia="仿宋_GB2312"/>
                <w:sz w:val="20"/>
                <w:color w:val="000000"/>
              </w:rPr>
              <w:t>（三）省赛项目精耕</w:t>
            </w:r>
          </w:p>
          <w:p>
            <w:pPr>
              <w:pStyle w:val="null3"/>
              <w:jc w:val="left"/>
            </w:pPr>
            <w:r>
              <w:rPr>
                <w:rFonts w:ascii="仿宋_GB2312" w:hAnsi="仿宋_GB2312" w:cs="仿宋_GB2312" w:eastAsia="仿宋_GB2312"/>
                <w:sz w:val="20"/>
                <w:color w:val="000000"/>
              </w:rPr>
              <w:t>1.模拟答辩会。参照省赛标准设置全真环境，针对答辩时间控制、提问应答策略等环节进行专项强化，至少开展 3 次模拟演练。</w:t>
            </w:r>
          </w:p>
          <w:p>
            <w:pPr>
              <w:pStyle w:val="null3"/>
              <w:jc w:val="left"/>
            </w:pPr>
            <w:r>
              <w:rPr>
                <w:rFonts w:ascii="仿宋_GB2312" w:hAnsi="仿宋_GB2312" w:cs="仿宋_GB2312" w:eastAsia="仿宋_GB2312"/>
                <w:sz w:val="20"/>
                <w:color w:val="000000"/>
              </w:rPr>
              <w:t>2.一对一项目打磨。指派资深导师对 10 个项目提供至少 4 轮“一对一”深度辅导和跟踪服务，确保每个项目都能得到充分的关注和支持。</w:t>
            </w:r>
          </w:p>
          <w:p>
            <w:pPr>
              <w:pStyle w:val="null3"/>
              <w:jc w:val="left"/>
            </w:pPr>
            <w:r>
              <w:rPr>
                <w:rFonts w:ascii="仿宋_GB2312" w:hAnsi="仿宋_GB2312" w:cs="仿宋_GB2312" w:eastAsia="仿宋_GB2312"/>
                <w:sz w:val="20"/>
                <w:color w:val="000000"/>
              </w:rPr>
              <w:t>（四）项目耗材</w:t>
            </w:r>
          </w:p>
          <w:p>
            <w:pPr>
              <w:pStyle w:val="null3"/>
              <w:jc w:val="left"/>
            </w:pPr>
            <w:r>
              <w:rPr>
                <w:rFonts w:ascii="仿宋_GB2312" w:hAnsi="仿宋_GB2312" w:cs="仿宋_GB2312" w:eastAsia="仿宋_GB2312"/>
                <w:sz w:val="20"/>
                <w:color w:val="000000"/>
              </w:rPr>
              <w:t>为参赛学生团队在项目研发、样品制作、调研、商业计划书打印等环节提供必要的耗材支持，保障作品质量。校级初筛后，为</w:t>
            </w:r>
            <w:r>
              <w:rPr>
                <w:rFonts w:ascii="仿宋_GB2312" w:hAnsi="仿宋_GB2312" w:cs="仿宋_GB2312" w:eastAsia="仿宋_GB2312"/>
                <w:sz w:val="20"/>
                <w:color w:val="000000"/>
              </w:rPr>
              <w:t>36 支团队提供基础耗材包（每团队 500 元标准）。推荐省赛的10 支团队，额外提供深度耗材包（每团队 2500 元标准）。</w:t>
            </w:r>
          </w:p>
          <w:p>
            <w:pPr>
              <w:pStyle w:val="null3"/>
              <w:jc w:val="left"/>
            </w:pPr>
            <w:r>
              <w:rPr>
                <w:rFonts w:ascii="仿宋_GB2312" w:hAnsi="仿宋_GB2312" w:cs="仿宋_GB2312" w:eastAsia="仿宋_GB2312"/>
                <w:sz w:val="20"/>
                <w:color w:val="000000"/>
              </w:rPr>
              <w:t>（五）</w:t>
            </w:r>
            <w:r>
              <w:rPr>
                <w:rFonts w:ascii="仿宋_GB2312" w:hAnsi="仿宋_GB2312" w:cs="仿宋_GB2312" w:eastAsia="仿宋_GB2312"/>
                <w:sz w:val="20"/>
                <w:color w:val="000000"/>
              </w:rPr>
              <w:t>“挑战杯”竞赛奖品</w:t>
            </w:r>
          </w:p>
          <w:p>
            <w:pPr>
              <w:pStyle w:val="null3"/>
            </w:pPr>
            <w:r>
              <w:rPr>
                <w:rFonts w:ascii="仿宋_GB2312" w:hAnsi="仿宋_GB2312" w:cs="仿宋_GB2312" w:eastAsia="仿宋_GB2312"/>
                <w:sz w:val="20"/>
                <w:color w:val="000000"/>
              </w:rPr>
              <w:t>洗衣液、抽纸等日用品</w:t>
            </w:r>
            <w:r>
              <w:rPr>
                <w:rFonts w:ascii="仿宋_GB2312" w:hAnsi="仿宋_GB2312" w:cs="仿宋_GB2312" w:eastAsia="仿宋_GB2312"/>
                <w:sz w:val="20"/>
                <w:color w:val="000000"/>
              </w:rPr>
              <w:t>1100 份；品牌小家电 36 份。奖品主要为扩大“挑战杯”赛事影响力、营造校园创新创业氛围。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color w:val="000000"/>
              </w:rPr>
              <w:t>二、技术要求</w:t>
            </w:r>
          </w:p>
          <w:p>
            <w:pPr>
              <w:pStyle w:val="null3"/>
            </w:pPr>
            <w:r>
              <w:rPr>
                <w:rFonts w:ascii="仿宋_GB2312" w:hAnsi="仿宋_GB2312" w:cs="仿宋_GB2312" w:eastAsia="仿宋_GB2312"/>
                <w:sz w:val="20"/>
                <w:color w:val="000000"/>
              </w:rPr>
              <w:t>以年度大赛项目规定要求为准。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color w:val="000000"/>
              </w:rPr>
              <w:t>三、服务要求</w:t>
            </w:r>
          </w:p>
          <w:tbl>
            <w:tblPr>
              <w:tblInd w:type="dxa" w:w="120"/>
              <w:tblBorders>
                <w:top w:val="none" w:color="000000" w:sz="4"/>
                <w:left w:val="none" w:color="000000" w:sz="4"/>
                <w:bottom w:val="none" w:color="000000" w:sz="4"/>
                <w:right w:val="none" w:color="000000" w:sz="4"/>
                <w:insideH w:val="none"/>
                <w:insideV w:val="none"/>
              </w:tblBorders>
            </w:tblPr>
            <w:tblGrid>
              <w:gridCol w:w="666"/>
              <w:gridCol w:w="1887"/>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服务模块</w:t>
                  </w:r>
                </w:p>
              </w:tc>
              <w:tc>
                <w:tcPr>
                  <w:tcW w:type="dxa" w:w="1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要求</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赛事深度解读</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场次与时长：至少开展</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场专题讲座，每场</w:t>
                  </w:r>
                  <w:r>
                    <w:rPr>
                      <w:rFonts w:ascii="仿宋_GB2312" w:hAnsi="仿宋_GB2312" w:cs="仿宋_GB2312" w:eastAsia="仿宋_GB2312"/>
                      <w:sz w:val="20"/>
                      <w:color w:val="000000"/>
                    </w:rPr>
                    <w:t xml:space="preserve">2-3 </w:t>
                  </w:r>
                  <w:r>
                    <w:rPr>
                      <w:rFonts w:ascii="仿宋_GB2312" w:hAnsi="仿宋_GB2312" w:cs="仿宋_GB2312" w:eastAsia="仿宋_GB2312"/>
                      <w:sz w:val="20"/>
                      <w:color w:val="000000"/>
                    </w:rPr>
                    <w:t>学时，总时长</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6 </w:t>
                  </w:r>
                  <w:r>
                    <w:rPr>
                      <w:rFonts w:ascii="仿宋_GB2312" w:hAnsi="仿宋_GB2312" w:cs="仿宋_GB2312" w:eastAsia="仿宋_GB2312"/>
                      <w:sz w:val="20"/>
                      <w:color w:val="000000"/>
                    </w:rPr>
                    <w:t>学时。</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导师配置：邀请专家中应包含至少</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名具有国赛评审经验的权威专家。</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全流程评审支持</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评审轮次与评委</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）初审</w:t>
                  </w:r>
                  <w:r>
                    <w:rPr>
                      <w:rFonts w:ascii="仿宋_GB2312" w:hAnsi="仿宋_GB2312" w:cs="仿宋_GB2312" w:eastAsia="仿宋_GB2312"/>
                      <w:sz w:val="20"/>
                      <w:color w:val="000000"/>
                    </w:rPr>
                    <w:t>/</w:t>
                  </w:r>
                  <w:r>
                    <w:rPr>
                      <w:rFonts w:ascii="仿宋_GB2312" w:hAnsi="仿宋_GB2312" w:cs="仿宋_GB2312" w:eastAsia="仿宋_GB2312"/>
                      <w:sz w:val="20"/>
                      <w:color w:val="000000"/>
                    </w:rPr>
                    <w:t>复审：每轮由至少</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名来自技术、商业、投资等不同领域的专家进行双盲评审。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）校级决赛：邀请至少</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名评委，其中应包含至少</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名产业专家或投资人。</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反馈要求：每轮评审均需提供结构化的书面评分表。</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省赛项目精耕计划</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模拟答辩：邀请至少</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名评委，针对省赛推荐项目，开展不少于</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次全真模拟演练。</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一对一打磨：遴选</w:t>
                  </w:r>
                  <w:r>
                    <w:rPr>
                      <w:rFonts w:ascii="仿宋_GB2312" w:hAnsi="仿宋_GB2312" w:cs="仿宋_GB2312" w:eastAsia="仿宋_GB2312"/>
                      <w:sz w:val="20"/>
                      <w:color w:val="000000"/>
                    </w:rPr>
                    <w:t xml:space="preserve">10 </w:t>
                  </w:r>
                  <w:r>
                    <w:rPr>
                      <w:rFonts w:ascii="仿宋_GB2312" w:hAnsi="仿宋_GB2312" w:cs="仿宋_GB2312" w:eastAsia="仿宋_GB2312"/>
                      <w:sz w:val="20"/>
                      <w:color w:val="000000"/>
                    </w:rPr>
                    <w:t>个重点种子项目，每个项目配备</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名资深导师，进行至少</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轮一对一辅导，每轮辅导需有明确目标与成果。</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项目耗材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为参赛学生团队在项目研发、样品制作、调研、商业计划书打印等环节提供必要的耗材支持，保障作品质量。</w:t>
                  </w:r>
                </w:p>
                <w:p>
                  <w:pPr>
                    <w:pStyle w:val="null3"/>
                    <w:jc w:val="left"/>
                  </w:pPr>
                  <w:r>
                    <w:rPr>
                      <w:rFonts w:ascii="仿宋_GB2312" w:hAnsi="仿宋_GB2312" w:cs="仿宋_GB2312" w:eastAsia="仿宋_GB2312"/>
                      <w:sz w:val="20"/>
                      <w:color w:val="000000"/>
                    </w:rPr>
                    <w:t>耗材支持范围：样品</w:t>
                  </w:r>
                  <w:r>
                    <w:rPr>
                      <w:rFonts w:ascii="仿宋_GB2312" w:hAnsi="仿宋_GB2312" w:cs="仿宋_GB2312" w:eastAsia="仿宋_GB2312"/>
                      <w:sz w:val="20"/>
                      <w:color w:val="000000"/>
                    </w:rPr>
                    <w:t>/</w:t>
                  </w:r>
                  <w:r>
                    <w:rPr>
                      <w:rFonts w:ascii="仿宋_GB2312" w:hAnsi="仿宋_GB2312" w:cs="仿宋_GB2312" w:eastAsia="仿宋_GB2312"/>
                      <w:sz w:val="20"/>
                      <w:color w:val="000000"/>
                    </w:rPr>
                    <w:t>原型制</w:t>
                  </w:r>
                </w:p>
                <w:p>
                  <w:pPr>
                    <w:pStyle w:val="null3"/>
                    <w:jc w:val="left"/>
                  </w:pPr>
                  <w:r>
                    <w:rPr>
                      <w:rFonts w:ascii="仿宋_GB2312" w:hAnsi="仿宋_GB2312" w:cs="仿宋_GB2312" w:eastAsia="仿宋_GB2312"/>
                      <w:sz w:val="20"/>
                      <w:color w:val="000000"/>
                    </w:rPr>
                    <w:t>作材料（如电子元器件、</w:t>
                  </w:r>
                  <w:r>
                    <w:rPr>
                      <w:rFonts w:ascii="仿宋_GB2312" w:hAnsi="仿宋_GB2312" w:cs="仿宋_GB2312" w:eastAsia="仿宋_GB2312"/>
                      <w:sz w:val="20"/>
                      <w:color w:val="000000"/>
                    </w:rPr>
                    <w:t xml:space="preserve">3D </w:t>
                  </w:r>
                  <w:r>
                    <w:rPr>
                      <w:rFonts w:ascii="仿宋_GB2312" w:hAnsi="仿宋_GB2312" w:cs="仿宋_GB2312" w:eastAsia="仿宋_GB2312"/>
                      <w:sz w:val="20"/>
                      <w:color w:val="000000"/>
                    </w:rPr>
                    <w:t>打印线材、模型材料、化学试剂等）；</w:t>
                  </w:r>
                </w:p>
                <w:p>
                  <w:pPr>
                    <w:pStyle w:val="null3"/>
                    <w:jc w:val="left"/>
                  </w:pPr>
                  <w:r>
                    <w:rPr>
                      <w:rFonts w:ascii="仿宋_GB2312" w:hAnsi="仿宋_GB2312" w:cs="仿宋_GB2312" w:eastAsia="仿宋_GB2312"/>
                      <w:sz w:val="20"/>
                      <w:color w:val="000000"/>
                    </w:rPr>
                    <w:t>调研耗材（如问卷打印、交通补贴、录音笔使用等）；</w:t>
                  </w:r>
                </w:p>
                <w:p>
                  <w:pPr>
                    <w:pStyle w:val="null3"/>
                    <w:jc w:val="left"/>
                  </w:pPr>
                  <w:r>
                    <w:rPr>
                      <w:rFonts w:ascii="仿宋_GB2312" w:hAnsi="仿宋_GB2312" w:cs="仿宋_GB2312" w:eastAsia="仿宋_GB2312"/>
                      <w:sz w:val="20"/>
                      <w:color w:val="000000"/>
                    </w:rPr>
                    <w:t>商业计划书及附件打印装订（校赛、省赛阶段），展板</w:t>
                  </w:r>
                  <w:r>
                    <w:rPr>
                      <w:rFonts w:ascii="仿宋_GB2312" w:hAnsi="仿宋_GB2312" w:cs="仿宋_GB2312" w:eastAsia="仿宋_GB2312"/>
                      <w:sz w:val="20"/>
                      <w:color w:val="000000"/>
                    </w:rPr>
                    <w:t>/</w:t>
                  </w:r>
                  <w:r>
                    <w:rPr>
                      <w:rFonts w:ascii="仿宋_GB2312" w:hAnsi="仿宋_GB2312" w:cs="仿宋_GB2312" w:eastAsia="仿宋_GB2312"/>
                      <w:sz w:val="20"/>
                      <w:color w:val="000000"/>
                    </w:rPr>
                    <w:t>海报制作（校赛决赛路演）</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“挑战杯”竞赛奖品设计制作</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洗衣液、抽纸等日用品：</w:t>
                  </w:r>
                  <w:r>
                    <w:rPr>
                      <w:rFonts w:ascii="仿宋_GB2312" w:hAnsi="仿宋_GB2312" w:cs="仿宋_GB2312" w:eastAsia="仿宋_GB2312"/>
                      <w:sz w:val="20"/>
                      <w:color w:val="000000"/>
                    </w:rPr>
                    <w:t xml:space="preserve">1100 </w:t>
                  </w:r>
                  <w:r>
                    <w:rPr>
                      <w:rFonts w:ascii="仿宋_GB2312" w:hAnsi="仿宋_GB2312" w:cs="仿宋_GB2312" w:eastAsia="仿宋_GB2312"/>
                      <w:sz w:val="20"/>
                      <w:color w:val="000000"/>
                    </w:rPr>
                    <w:t>份，奖品预算</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20 </w:t>
                  </w:r>
                  <w:r>
                    <w:rPr>
                      <w:rFonts w:ascii="仿宋_GB2312" w:hAnsi="仿宋_GB2312" w:cs="仿宋_GB2312" w:eastAsia="仿宋_GB2312"/>
                      <w:sz w:val="20"/>
                      <w:color w:val="000000"/>
                    </w:rPr>
                    <w:t>元</w:t>
                  </w:r>
                  <w:r>
                    <w:rPr>
                      <w:rFonts w:ascii="仿宋_GB2312" w:hAnsi="仿宋_GB2312" w:cs="仿宋_GB2312" w:eastAsia="仿宋_GB2312"/>
                      <w:sz w:val="20"/>
                      <w:color w:val="000000"/>
                    </w:rPr>
                    <w:t>/</w:t>
                  </w:r>
                  <w:r>
                    <w:rPr>
                      <w:rFonts w:ascii="仿宋_GB2312" w:hAnsi="仿宋_GB2312" w:cs="仿宋_GB2312" w:eastAsia="仿宋_GB2312"/>
                      <w:sz w:val="20"/>
                      <w:color w:val="000000"/>
                    </w:rPr>
                    <w:t>份。用于奖励进入校赛初赛的学生团队成员。</w:t>
                  </w:r>
                </w:p>
                <w:p>
                  <w:pPr>
                    <w:pStyle w:val="null3"/>
                    <w:jc w:val="left"/>
                  </w:pPr>
                  <w:r>
                    <w:rPr>
                      <w:rFonts w:ascii="仿宋_GB2312" w:hAnsi="仿宋_GB2312" w:cs="仿宋_GB2312" w:eastAsia="仿宋_GB2312"/>
                      <w:sz w:val="20"/>
                      <w:color w:val="000000"/>
                    </w:rPr>
                    <w:t>品牌小家电：</w:t>
                  </w:r>
                  <w:r>
                    <w:rPr>
                      <w:rFonts w:ascii="仿宋_GB2312" w:hAnsi="仿宋_GB2312" w:cs="仿宋_GB2312" w:eastAsia="仿宋_GB2312"/>
                      <w:sz w:val="20"/>
                      <w:color w:val="000000"/>
                    </w:rPr>
                    <w:t xml:space="preserve">36 </w:t>
                  </w:r>
                  <w:r>
                    <w:rPr>
                      <w:rFonts w:ascii="仿宋_GB2312" w:hAnsi="仿宋_GB2312" w:cs="仿宋_GB2312" w:eastAsia="仿宋_GB2312"/>
                      <w:sz w:val="20"/>
                      <w:color w:val="000000"/>
                    </w:rPr>
                    <w:t>份，奖品预算</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200 </w:t>
                  </w:r>
                  <w:r>
                    <w:rPr>
                      <w:rFonts w:ascii="仿宋_GB2312" w:hAnsi="仿宋_GB2312" w:cs="仿宋_GB2312" w:eastAsia="仿宋_GB2312"/>
                      <w:sz w:val="20"/>
                      <w:color w:val="000000"/>
                    </w:rPr>
                    <w:t>元</w:t>
                  </w:r>
                  <w:r>
                    <w:rPr>
                      <w:rFonts w:ascii="仿宋_GB2312" w:hAnsi="仿宋_GB2312" w:cs="仿宋_GB2312" w:eastAsia="仿宋_GB2312"/>
                      <w:sz w:val="20"/>
                      <w:color w:val="000000"/>
                    </w:rPr>
                    <w:t>/</w:t>
                  </w:r>
                  <w:r>
                    <w:rPr>
                      <w:rFonts w:ascii="仿宋_GB2312" w:hAnsi="仿宋_GB2312" w:cs="仿宋_GB2312" w:eastAsia="仿宋_GB2312"/>
                      <w:sz w:val="20"/>
                      <w:color w:val="000000"/>
                    </w:rPr>
                    <w:t>份。奖励校级决赛获奖的团队</w:t>
                  </w:r>
                  <w:r>
                    <w:rPr>
                      <w:rFonts w:ascii="仿宋_GB2312" w:hAnsi="仿宋_GB2312" w:cs="仿宋_GB2312" w:eastAsia="仿宋_GB2312"/>
                      <w:sz w:val="20"/>
                      <w:color w:val="000000"/>
                    </w:rPr>
                    <w:t>负责人。</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0"/>
                <w:color w:val="000000"/>
              </w:rPr>
              <w:t>四、其他</w:t>
            </w:r>
          </w:p>
          <w:p>
            <w:pPr>
              <w:pStyle w:val="null3"/>
              <w:jc w:val="left"/>
            </w:pPr>
            <w:r>
              <w:rPr>
                <w:rFonts w:ascii="仿宋_GB2312" w:hAnsi="仿宋_GB2312" w:cs="仿宋_GB2312" w:eastAsia="仿宋_GB2312"/>
                <w:sz w:val="20"/>
                <w:color w:val="000000"/>
              </w:rPr>
              <w:t>（一）进度要求</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启动与动员阶段。集中完成全部</w:t>
            </w:r>
            <w:r>
              <w:rPr>
                <w:rFonts w:ascii="仿宋_GB2312" w:hAnsi="仿宋_GB2312" w:cs="仿宋_GB2312" w:eastAsia="仿宋_GB2312"/>
                <w:sz w:val="20"/>
                <w:color w:val="000000"/>
              </w:rPr>
              <w:t>2 场讲座，旨在全校范围内启动赛事、普及规则、营造氛围。</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校赛评审与选拔期。邀请</w:t>
            </w:r>
            <w:r>
              <w:rPr>
                <w:rFonts w:ascii="仿宋_GB2312" w:hAnsi="仿宋_GB2312" w:cs="仿宋_GB2312" w:eastAsia="仿宋_GB2312"/>
                <w:sz w:val="20"/>
                <w:color w:val="000000"/>
              </w:rPr>
              <w:t>2 名专家，完成项目初审、复审。邀请 3 名专家担任校级决赛评委。</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省赛冲刺打磨期。邀请不少于</w:t>
            </w:r>
            <w:r>
              <w:rPr>
                <w:rFonts w:ascii="仿宋_GB2312" w:hAnsi="仿宋_GB2312" w:cs="仿宋_GB2312" w:eastAsia="仿宋_GB2312"/>
                <w:sz w:val="20"/>
                <w:color w:val="000000"/>
              </w:rPr>
              <w:t>2 名专家，密集进行至少 3 次模拟答辩及后续打磨，每轮模拟后针对性辅导。</w:t>
            </w:r>
          </w:p>
          <w:p>
            <w:pPr>
              <w:pStyle w:val="null3"/>
              <w:jc w:val="left"/>
            </w:pPr>
            <w:r>
              <w:rPr>
                <w:rFonts w:ascii="仿宋_GB2312" w:hAnsi="仿宋_GB2312" w:cs="仿宋_GB2312" w:eastAsia="仿宋_GB2312"/>
                <w:sz w:val="20"/>
                <w:color w:val="000000"/>
              </w:rPr>
              <w:t>（二）成果交付要求</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专题讲座：每场专题讲座结束后，须交付讲座课件（</w:t>
            </w:r>
            <w:r>
              <w:rPr>
                <w:rFonts w:ascii="仿宋_GB2312" w:hAnsi="仿宋_GB2312" w:cs="仿宋_GB2312" w:eastAsia="仿宋_GB2312"/>
                <w:sz w:val="20"/>
                <w:color w:val="000000"/>
              </w:rPr>
              <w:t xml:space="preserve">PPT </w:t>
            </w:r>
            <w:r>
              <w:rPr>
                <w:rFonts w:ascii="仿宋_GB2312" w:hAnsi="仿宋_GB2312" w:cs="仿宋_GB2312" w:eastAsia="仿宋_GB2312"/>
                <w:sz w:val="20"/>
                <w:color w:val="000000"/>
              </w:rPr>
              <w:t>格式）电子版</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套；参训师生签到表扫描件</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份；现场活动照片不少于</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张。</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项目评审：每轮评审（初审、复审、校级决赛）结束后，须提供当轮评审专家名单及专家资质证明材料（如职称证书、聘书或所属单位证明）。每名评委独立填写的双盲评审评分表原件扫描件或电子版。全部评审结束后，提供最终推荐参加省赛的项目名单。</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模拟答辩：每场模拟答辩后，须提交该场评委评分汇总表、每名评委的点评记录，以及至少</w:t>
            </w:r>
            <w:r>
              <w:rPr>
                <w:rFonts w:ascii="仿宋_GB2312" w:hAnsi="仿宋_GB2312" w:cs="仿宋_GB2312" w:eastAsia="仿宋_GB2312"/>
                <w:sz w:val="20"/>
                <w:color w:val="000000"/>
              </w:rPr>
              <w:t xml:space="preserve">5 </w:t>
            </w:r>
            <w:r>
              <w:rPr>
                <w:rFonts w:ascii="仿宋_GB2312" w:hAnsi="仿宋_GB2312" w:cs="仿宋_GB2312" w:eastAsia="仿宋_GB2312"/>
                <w:sz w:val="20"/>
                <w:color w:val="000000"/>
              </w:rPr>
              <w:t>分钟的现场答辩视频片段。共需提供不少于</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次模拟答辩的完整材料。</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一对一项目打磨：针对遴选的</w:t>
            </w:r>
            <w:r>
              <w:rPr>
                <w:rFonts w:ascii="仿宋_GB2312" w:hAnsi="仿宋_GB2312" w:cs="仿宋_GB2312" w:eastAsia="仿宋_GB2312"/>
                <w:sz w:val="20"/>
                <w:color w:val="000000"/>
              </w:rPr>
              <w:t>10</w:t>
            </w:r>
            <w:r>
              <w:rPr>
                <w:rFonts w:ascii="仿宋_GB2312" w:hAnsi="仿宋_GB2312" w:cs="仿宋_GB2312" w:eastAsia="仿宋_GB2312"/>
                <w:sz w:val="20"/>
                <w:color w:val="000000"/>
              </w:rPr>
              <w:t>个重点种子项目，每个项目须建立独立辅导档案，包含至少</w:t>
            </w:r>
            <w:r>
              <w:rPr>
                <w:rFonts w:ascii="仿宋_GB2312" w:hAnsi="仿宋_GB2312" w:cs="仿宋_GB2312" w:eastAsia="仿宋_GB2312"/>
                <w:sz w:val="20"/>
                <w:color w:val="000000"/>
              </w:rPr>
              <w:t>4</w:t>
            </w:r>
            <w:r>
              <w:rPr>
                <w:rFonts w:ascii="仿宋_GB2312" w:hAnsi="仿宋_GB2312" w:cs="仿宋_GB2312" w:eastAsia="仿宋_GB2312"/>
                <w:sz w:val="20"/>
                <w:color w:val="000000"/>
              </w:rPr>
              <w:t>轮一对一辅导记录。每轮辅导记录应包含：辅导时间、参与人员、问题诊断清单、改进方案、本轮完成情况。</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项目耗材：基础耗材包（</w:t>
            </w:r>
            <w:r>
              <w:rPr>
                <w:rFonts w:ascii="仿宋_GB2312" w:hAnsi="仿宋_GB2312" w:cs="仿宋_GB2312" w:eastAsia="仿宋_GB2312"/>
                <w:sz w:val="20"/>
                <w:color w:val="000000"/>
              </w:rPr>
              <w:t xml:space="preserve">36 </w:t>
            </w:r>
            <w:r>
              <w:rPr>
                <w:rFonts w:ascii="仿宋_GB2312" w:hAnsi="仿宋_GB2312" w:cs="仿宋_GB2312" w:eastAsia="仿宋_GB2312"/>
                <w:sz w:val="20"/>
                <w:color w:val="000000"/>
              </w:rPr>
              <w:t>支团队）提供每团队</w:t>
            </w:r>
            <w:r>
              <w:rPr>
                <w:rFonts w:ascii="仿宋_GB2312" w:hAnsi="仿宋_GB2312" w:cs="仿宋_GB2312" w:eastAsia="仿宋_GB2312"/>
                <w:sz w:val="20"/>
                <w:color w:val="000000"/>
              </w:rPr>
              <w:t xml:space="preserve">500 </w:t>
            </w:r>
            <w:r>
              <w:rPr>
                <w:rFonts w:ascii="仿宋_GB2312" w:hAnsi="仿宋_GB2312" w:cs="仿宋_GB2312" w:eastAsia="仿宋_GB2312"/>
                <w:sz w:val="20"/>
                <w:color w:val="000000"/>
              </w:rPr>
              <w:t>元标准的耗材采购凭证或统一配送清单。需包含耗材名称、规格、数量、单价、用途说明。深度耗材包（</w:t>
            </w:r>
            <w:r>
              <w:rPr>
                <w:rFonts w:ascii="仿宋_GB2312" w:hAnsi="仿宋_GB2312" w:cs="仿宋_GB2312" w:eastAsia="仿宋_GB2312"/>
                <w:sz w:val="20"/>
                <w:color w:val="000000"/>
              </w:rPr>
              <w:t xml:space="preserve">10 </w:t>
            </w:r>
            <w:r>
              <w:rPr>
                <w:rFonts w:ascii="仿宋_GB2312" w:hAnsi="仿宋_GB2312" w:cs="仿宋_GB2312" w:eastAsia="仿宋_GB2312"/>
                <w:sz w:val="20"/>
                <w:color w:val="000000"/>
              </w:rPr>
              <w:t>支省赛团队）提供每团队</w:t>
            </w:r>
            <w:r>
              <w:rPr>
                <w:rFonts w:ascii="仿宋_GB2312" w:hAnsi="仿宋_GB2312" w:cs="仿宋_GB2312" w:eastAsia="仿宋_GB2312"/>
                <w:sz w:val="20"/>
                <w:color w:val="000000"/>
              </w:rPr>
              <w:t xml:space="preserve">2500 </w:t>
            </w:r>
            <w:r>
              <w:rPr>
                <w:rFonts w:ascii="仿宋_GB2312" w:hAnsi="仿宋_GB2312" w:cs="仿宋_GB2312" w:eastAsia="仿宋_GB2312"/>
                <w:sz w:val="20"/>
                <w:color w:val="000000"/>
              </w:rPr>
              <w:t>元标准的额外耗材清单及凭证。所有团队提交《项目耗材使用说明》，服务方汇总形成《项目耗材使用总台账》，包括团队名称、耗材内容、金额、与项目关联性简述。若由服务方统一采购，需提供采购合同及分发签收表；若实报实销，需提供发票复印件及团队负责人签收确认。</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“挑战杯”竞赛奖品设计制作：提供采购清单（含品名、规格、单价、数量、总价、供应商信息）、采购发票复印件或照片，以及每类奖品实物照片。</w:t>
            </w:r>
          </w:p>
          <w:p>
            <w:pPr>
              <w:pStyle w:val="null3"/>
              <w:jc w:val="left"/>
            </w:pPr>
            <w:r>
              <w:rPr>
                <w:rFonts w:ascii="仿宋_GB2312" w:hAnsi="仿宋_GB2312" w:cs="仿宋_GB2312" w:eastAsia="仿宋_GB2312"/>
                <w:sz w:val="20"/>
                <w:color w:val="000000"/>
              </w:rPr>
              <w:t>（三）质量验收标准</w:t>
            </w:r>
          </w:p>
          <w:p>
            <w:pPr>
              <w:pStyle w:val="null3"/>
              <w:jc w:val="left"/>
            </w:pPr>
            <w:r>
              <w:rPr>
                <w:rFonts w:ascii="仿宋_GB2312" w:hAnsi="仿宋_GB2312" w:cs="仿宋_GB2312" w:eastAsia="仿宋_GB2312"/>
                <w:sz w:val="20"/>
                <w:color w:val="000000"/>
              </w:rPr>
              <w:t>1.服务过程验收：供应商需按照本需求书约定的服务内容、服务要求、时间节点开展各项服务，每次服务需形成完整的服务记录（含签到表、培训课件、辅导记录、评审打分表等），提交采购人审核，审核通过即为过程验收合格；未按要求开展服务或服务记录不完整的，采购人有权要求供应商限期整改，整改后仍不合格的，视为该阶段服务验收不通过。</w:t>
            </w:r>
          </w:p>
          <w:p>
            <w:pPr>
              <w:pStyle w:val="null3"/>
              <w:jc w:val="left"/>
            </w:pPr>
            <w:r>
              <w:rPr>
                <w:rFonts w:ascii="仿宋_GB2312" w:hAnsi="仿宋_GB2312" w:cs="仿宋_GB2312" w:eastAsia="仿宋_GB2312"/>
                <w:sz w:val="20"/>
                <w:color w:val="000000"/>
              </w:rPr>
              <w:t>2.培训与项目打磨验收：各类培训、训练营需按约定的导师资质、时长、参课人数开展，课后需收集师生满意度评价，满意度达 85%及以上即为验收合格；满意度低于 85%的，供应商需</w:t>
            </w:r>
            <w:r>
              <w:rPr>
                <w:rFonts w:ascii="仿宋_GB2312" w:hAnsi="仿宋_GB2312" w:cs="仿宋_GB2312" w:eastAsia="仿宋_GB2312"/>
                <w:sz w:val="20"/>
                <w:color w:val="000000"/>
              </w:rPr>
              <w:t>重新开展相关服务。</w:t>
            </w:r>
          </w:p>
          <w:p>
            <w:pPr>
              <w:pStyle w:val="null3"/>
              <w:jc w:val="left"/>
            </w:pPr>
            <w:r>
              <w:rPr>
                <w:rFonts w:ascii="仿宋_GB2312" w:hAnsi="仿宋_GB2312" w:cs="仿宋_GB2312" w:eastAsia="仿宋_GB2312"/>
                <w:sz w:val="20"/>
                <w:color w:val="000000"/>
              </w:rPr>
              <w:t>3.项目耗材验收：基础耗材包覆盖 36 支团队，每团队≥500元；深度耗材包覆盖 10 支省赛团队，每团队额外≥1500 元。耗材用途与项目直接相关（由校方抽查《耗材使用说明》，相关性</w:t>
            </w:r>
          </w:p>
          <w:p>
            <w:pPr>
              <w:pStyle w:val="null3"/>
              <w:jc w:val="left"/>
            </w:pPr>
            <w:r>
              <w:rPr>
                <w:rFonts w:ascii="仿宋_GB2312" w:hAnsi="仿宋_GB2312" w:cs="仿宋_GB2312" w:eastAsia="仿宋_GB2312"/>
                <w:sz w:val="20"/>
                <w:color w:val="000000"/>
              </w:rPr>
              <w:t>认可率</w:t>
            </w:r>
            <w:r>
              <w:rPr>
                <w:rFonts w:ascii="仿宋_GB2312" w:hAnsi="仿宋_GB2312" w:cs="仿宋_GB2312" w:eastAsia="仿宋_GB2312"/>
                <w:sz w:val="20"/>
                <w:color w:val="000000"/>
              </w:rPr>
              <w:t>≥90%）。所有采购凭证真实、合法，发放签收完整，无虚报冒领。</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“挑战杯”竞赛奖品设计制作验收：采购数量、单价、总价须与预算一致。每件奖品须印制或粘贴指定标识，随机抽查 </w:t>
            </w:r>
            <w:r>
              <w:rPr>
                <w:rFonts w:ascii="仿宋_GB2312" w:hAnsi="仿宋_GB2312" w:cs="仿宋_GB2312" w:eastAsia="仿宋_GB2312"/>
                <w:sz w:val="20"/>
                <w:color w:val="000000"/>
              </w:rPr>
              <w:t xml:space="preserve">10 </w:t>
            </w:r>
            <w:r>
              <w:rPr>
                <w:rFonts w:ascii="仿宋_GB2312" w:hAnsi="仿宋_GB2312" w:cs="仿宋_GB2312" w:eastAsia="仿宋_GB2312"/>
                <w:sz w:val="20"/>
                <w:color w:val="000000"/>
              </w:rPr>
              <w:t>件，标识缺失率超过</w:t>
            </w:r>
            <w:r>
              <w:rPr>
                <w:rFonts w:ascii="仿宋_GB2312" w:hAnsi="仿宋_GB2312" w:cs="仿宋_GB2312" w:eastAsia="仿宋_GB2312"/>
                <w:sz w:val="20"/>
                <w:color w:val="000000"/>
              </w:rPr>
              <w:t>5%</w:t>
            </w:r>
            <w:r>
              <w:rPr>
                <w:rFonts w:ascii="仿宋_GB2312" w:hAnsi="仿宋_GB2312" w:cs="仿宋_GB2312" w:eastAsia="仿宋_GB2312"/>
                <w:sz w:val="20"/>
                <w:color w:val="000000"/>
              </w:rPr>
              <w:t>视为不合格。</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整体验收：大赛全部赛程结束后，供应商需在</w:t>
            </w:r>
            <w:r>
              <w:rPr>
                <w:rFonts w:ascii="仿宋_GB2312" w:hAnsi="仿宋_GB2312" w:cs="仿宋_GB2312" w:eastAsia="仿宋_GB2312"/>
                <w:sz w:val="20"/>
                <w:color w:val="000000"/>
              </w:rPr>
              <w:t>15 个工作日内提交本次大赛服务的全套资料，采购人在收到资料后 10 个工作日内完成整体验收，所有阶段服务验收合格、资料完整且达到成果要求的，即为整体验收合格。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合同签订之日起至第十三届“挑战杯”陕西省大学生创业计划竞赛结束。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进度款，第十三届“挑战杯”陕西省大学生创业计划竞赛结束且验收合格后，达到付款条件起10个工作日内，支付合同总金额的60.0%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（1）款项结算：合同签订后，达到付款条件起 10 个工作日内，支付合同总金额的 40.00%。 第十三届“挑战杯”陕西省大学生创业计划竞赛结束且验收合格后，达到付款条件起 10 个工作日内，支付合同总金额的 60.00%。（结算方式，以此处为准） （2）违约责任 1.供应商逾期服务的责任：供应商未按本需求书及合同约定的时间节点开展服务、交付成果的，每逾期 1 天，按合同总金额的 0.5%向采购人支付违约金；逾期超过 15 天的，采购人有权单方解除合同，供应商除支付违约金外，还需退还采购人已支付的全部款项，并赔偿采购人因此造成的损失。 2.供应商服务质量不合格的责任：供应商服务过程验收、培训与训练营验收不合格，且未按要求整改或整改后仍不合格的，采购人有权扣除对应阶段(服务模块)的服务费用，且供应商应承担合同总金额10%的违约责任，任一进度阶段如供应商逾期(包括经采购人组织验收不合格而导致的逾期)累计10天交付服务内容的，采购人有权解除本协议;整体验收不合格的，采购人有权拒付服务费，且供应商按合同总金额的20%向采购人支付违约金，给采购人造成损失的还应赔偿损失。 3.供应商擅自变更服务内容的责任:供应商未经采购人书面同意，擅自变更导师资质、减少服务时长、降低服务标准的，采购人有权要求供应商限期恢复并按合同总金额的10%支付违约金;造成赛事成果受损的，供应商还需承担相应的损失赔偿责任。 4.采购人的违约责任:采购人未按合同约定的时间节点支付款项的，每逾期1天，按逾期支付金额的0.05%向供应商支付违约金;因采购人原因导致供应商无法正常开展服务的，采购人需承担相应的责任，且服务期限相应顺延。 5.违约金累计上限:本合同项下供应商支付的违约金累计不超过合同总金额的50%，违约金不足以弥补采购人损失的，供应商还需赔偿超出部分的损失。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8、供应商应授权合法的人员参与磋商全过程，其中法定代表人直接磋商，须附法定代表人身份证明书。法定代表人授权代表参加磋商的，须附法定代表人授权书； 9、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10.本项目不接受联合体磋商。</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残疾人福利性单位声明函 中小企业声明函 服务内容及服务邀请应答表.docx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服务内容及服务邀请应答表.docx 商务应答表.docx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服务内容及服务邀请应答表.docx 商务应答表.docx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评审得分相同的，按照最后报价由低到高的顺序推荐。评审得分且最后报价相同的，按照服务方案及内容优劣顺序推荐。评审得分且最后报价且服务方案及内容得分均相同的，成交候选供应商并列。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服务内容及服务要求响应</w:t>
            </w:r>
          </w:p>
        </w:tc>
        <w:tc>
          <w:tcPr>
            <w:tcW w:type="dxa" w:w="2492"/>
          </w:tcPr>
          <w:p>
            <w:pPr>
              <w:pStyle w:val="null3"/>
            </w:pPr>
            <w:r>
              <w:rPr>
                <w:rFonts w:ascii="仿宋_GB2312" w:hAnsi="仿宋_GB2312" w:cs="仿宋_GB2312" w:eastAsia="仿宋_GB2312"/>
              </w:rPr>
              <w:t>针对“3.2.2中第三条 服务要求（服务模块）”中的五项内容（1.赛事深度解读；2.全流程评审支持；3.省赛项目精耕计划；4.项目耗材；5.“挑战杯”竞赛奖品设计制作。）进行响应，完全满足得15分，任一项有负偏离或内容缺失，每项扣3分（五大项内容中任一子项有负偏离或内容缺失，视为本大项有负偏离或内容缺失）。</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服务方案及内容</w:t>
            </w:r>
          </w:p>
        </w:tc>
        <w:tc>
          <w:tcPr>
            <w:tcW w:type="dxa" w:w="2492"/>
          </w:tcPr>
          <w:p>
            <w:pPr>
              <w:pStyle w:val="null3"/>
            </w:pPr>
            <w:r>
              <w:rPr>
                <w:rFonts w:ascii="仿宋_GB2312" w:hAnsi="仿宋_GB2312" w:cs="仿宋_GB2312" w:eastAsia="仿宋_GB2312"/>
              </w:rPr>
              <w:t>供应商需提供整体详细、合理、可行的服务方案，包括但不限于项目（赛事解读与选题方向、立项训练营、大赛文本撰写指导、项目路演指导等）：1、供应商针对磋商文件技术服务要求提供针对性强且完善的项目实施方案，服务计划书详细、合理、全面，服务方案达到或优于磋商文件标准得10分； 2、供应商针对磋商文件技术服务要求提供项目实施方案，方案基本合理，服务方案符合采购人基本要求得8分； 3、供应商所提供的项目实施方案有缺陷或不尽合理，前后矛盾，服务质量未能达到采购人实际需求得6分。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对项目背景理解</w:t>
            </w:r>
          </w:p>
        </w:tc>
        <w:tc>
          <w:tcPr>
            <w:tcW w:type="dxa" w:w="2492"/>
          </w:tcPr>
          <w:p>
            <w:pPr>
              <w:pStyle w:val="null3"/>
            </w:pPr>
            <w:r>
              <w:rPr>
                <w:rFonts w:ascii="仿宋_GB2312" w:hAnsi="仿宋_GB2312" w:cs="仿宋_GB2312" w:eastAsia="仿宋_GB2312"/>
              </w:rPr>
              <w:t>根据供应商对建设背景、项目需求，建设目标等进行理解及分析描述： 1、供应商需对项目的背景具有深刻的理解，对项目服务目标和服务内容进行完整、合理的阐述得10分； 2、供应商对项目背景的理解基本准确到位，满足采购人基本服务要求得8分； 3、供应商对于本项目的背景理解较差，不能完全满足采购人实际需求得6分。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1.供应商结合本项目要求，配备相关服务团队人员数量及经验，满足磋商文件要求且服务好、专业能力强的服务团队得10分； 2.供应商所配备相关服务团队人员数量及经验基本满足本项目服务需求，相关人员素质较为一般得8分； 3.供应商所配备相关人员素质较差，不能完全满足本项目实际需求，投入人员团队经验不够丰富,数量不足，可能在服务期内出现响应不及时、工作不到位的情况得6分。 注：1.需提供上述人员的简历、学历证书等证明材料。2.导师及评审专家需提供具有本项目相关经验的证明材料。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对比供应商对本项目提供的保障措施方案（质量保障措施、进度保障措施、应急保障措施），对本项保障措施的合理性、全面性、可行性、针对性进行打分： 1.内容完整详细，能充分结合采购人需求现状，完全满足本项目要求得10分； 2.内容较完整，部分内容结合采购人需求现状，基本满足本项目要求得8分； 3.内容不完整，未能充分结合采购人需求现状，无法满足本项目要求得6分；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针对本项目采购需求及项目实际情况，能够提出有价值的合理化建议，且具体切实可行，有利于提升本项目整体服务质量。 1.建议合理、切实可行，内容详尽、全面，得10分； 2.建议较合理、可行，内容较详尽、全面，得8分； 3.建议基本合理、可行，内容基本详尽、全面，得6分。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项目重点难点分析及解决方案：本项目实施面临的重点、难点进行分析及 对本项目重点、难点的解决方案。 1.方案内容详尽全面，具体内容合 理得当得5分； 2.方案不充分，具体内容有欠妥当得3分。未提供本项内容计0分。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针对本项目及采购人实际需求提供的服务承诺（包括但不限于出现问题有可行性方案、解决问题时限、针对本项目工作配合相关的承诺等)。 1.承诺内容详尽全面，具体内容合 理得当得10分； 2.承诺比较全面，具体内容比较合理得8分； 3.承诺不充分，具体内容有欠妥当得6分。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2023年1月1日起至今，磋商响应人承接类似服务项目的业绩(业绩以合同或中标（成交）通知书扫描件为依据，以签订或落款时间为准)，每提供一份有效业绩得2分，最多得10分。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满足磋商文件资格性和符合性要求且提交最后报价最低的供应商的价格为磋商基准价，其价格分为满分。其他供应商的价格分统一按照下列公式计算：磋商报价得分=（磋商基准价/最后磋商报价）×价格分值； 本项目专门面向中小企业采购，故不再进行价格优惠扣除。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