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版本号：SXBH-ZFCG-2026-06620260820001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铜川市未成年人科普教育大厅改造项目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SXBH-ZFCG-2026-066</w:t>
      </w:r>
      <w:r>
        <w:br/>
      </w:r>
      <w:r>
        <w:br/>
      </w:r>
      <w:r>
        <w:br/>
      </w:r>
    </w:p>
    <w:p>
      <w:pPr>
        <w:pStyle w:val="null3"/>
        <w:jc w:val="center"/>
        <w:outlineLvl w:val="2"/>
      </w:pPr>
      <w:r>
        <w:rPr>
          <w:rFonts w:ascii="仿宋_GB2312" w:hAnsi="仿宋_GB2312" w:cs="仿宋_GB2312" w:eastAsia="仿宋_GB2312"/>
          <w:sz w:val="28"/>
          <w:b/>
        </w:rPr>
        <w:t>铜川市民政局</w:t>
      </w:r>
    </w:p>
    <w:p>
      <w:pPr>
        <w:pStyle w:val="null3"/>
        <w:jc w:val="center"/>
        <w:outlineLvl w:val="2"/>
      </w:pPr>
      <w:r>
        <w:rPr>
          <w:rFonts w:ascii="仿宋_GB2312" w:hAnsi="仿宋_GB2312" w:cs="仿宋_GB2312" w:eastAsia="仿宋_GB2312"/>
          <w:sz w:val="28"/>
          <w:b/>
        </w:rPr>
        <w:t>陕西北衡全项目咨询有限公司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陕西北衡全项目咨询有限公司</w:t>
      </w:r>
      <w:r>
        <w:rPr>
          <w:rFonts w:ascii="仿宋_GB2312" w:hAnsi="仿宋_GB2312" w:cs="仿宋_GB2312" w:eastAsia="仿宋_GB2312"/>
        </w:rPr>
        <w:t>（以下简称“代理机构”）受</w:t>
      </w:r>
      <w:r>
        <w:rPr>
          <w:rFonts w:ascii="仿宋_GB2312" w:hAnsi="仿宋_GB2312" w:cs="仿宋_GB2312" w:eastAsia="仿宋_GB2312"/>
        </w:rPr>
        <w:t>铜川市民政局</w:t>
      </w:r>
      <w:r>
        <w:rPr>
          <w:rFonts w:ascii="仿宋_GB2312" w:hAnsi="仿宋_GB2312" w:cs="仿宋_GB2312" w:eastAsia="仿宋_GB2312"/>
        </w:rPr>
        <w:t>委托，拟对</w:t>
      </w:r>
      <w:r>
        <w:rPr>
          <w:rFonts w:ascii="仿宋_GB2312" w:hAnsi="仿宋_GB2312" w:cs="仿宋_GB2312" w:eastAsia="仿宋_GB2312"/>
        </w:rPr>
        <w:t>铜川市未成年人科普教育大厅改造项目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SXBH-ZFCG-2026-066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铜川市未成年人科普教育大厅改造项目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未成年人科普教育大厅相关设备采购及安装调试等。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以上四种形式的资料提供任何一种即可），自然人提供身份证。投标单位需在项目电子化交易系统中按要求上传相应证明文件并进行电子签章。</w:t>
      </w:r>
    </w:p>
    <w:p>
      <w:pPr>
        <w:pStyle w:val="null3"/>
      </w:pPr>
      <w:r>
        <w:rPr>
          <w:rFonts w:ascii="仿宋_GB2312" w:hAnsi="仿宋_GB2312" w:cs="仿宋_GB2312" w:eastAsia="仿宋_GB2312"/>
        </w:rPr>
        <w:t>2、投标单位应提供健全的财务会计制度的证明材料：提供（1）或提供（2）：（1）提供2023年、2024年、2025年任意一年度财务报告复印件，应满足以下要求：①投标单位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投标单位适用《事业单位会计准则》的，财务报告是指上述指定年度整个会计年度财务报表（不要求必须是经审计的），复印件至少须包括资产负债表、收入支出表（或收入费用表）、财政补助收入支出表。③投标单位适用《政府会计准则》的，财务报告是指上述指定年度整个会计年度财务报表（不要求必须是经审计的），复印件至少须包括资产负债表、收入费用表。④投标单位适用《民间非营利组织会计制度》的，财务报告是指上述指定年度整个会计年度财务报表（不要求必须是经审计的），复印件至少须包括资产负债表、业务活动表、现金流量表。⑤投标单位是上述四种情况以外情况的，按照其依法适用的会计制度、财务规则或会计准则提供财务报表复印件（不要求必须是经审计的）。（2）提供资信证明原件或复印件，应满足以下要求：①资信证明须为递交响应文件截止时间前三个月内由投标单位基本账户开户银行出具。②无论开具银行是否标明“复印无效”，投标单位提供的复印件在本次磋商中予以认可（即不因“复印无效”字样而认定资信证明复印件无效）。③银行出具的存款证明不能替代银行资信证明。投标单位需在项目电子化交易系统中按要求上传相应证明文件并进行电子签章。</w:t>
      </w:r>
    </w:p>
    <w:p>
      <w:pPr>
        <w:pStyle w:val="null3"/>
      </w:pPr>
      <w:r>
        <w:rPr>
          <w:rFonts w:ascii="仿宋_GB2312" w:hAnsi="仿宋_GB2312" w:cs="仿宋_GB2312" w:eastAsia="仿宋_GB2312"/>
        </w:rPr>
        <w:t>3、具有良好的商业信誉：提供中国裁判文书网（https://wenshu.court.gov.cn/）无行贿犯罪行为记录的查询截图，并附良好商业信誉声明函（格式自拟，加盖单位公章）。投标单位需在项目电子化交易系统中按要求上传相应证明文件并进行电子签章。</w:t>
      </w:r>
    </w:p>
    <w:p>
      <w:pPr>
        <w:pStyle w:val="null3"/>
      </w:pPr>
      <w:r>
        <w:rPr>
          <w:rFonts w:ascii="仿宋_GB2312" w:hAnsi="仿宋_GB2312" w:cs="仿宋_GB2312" w:eastAsia="仿宋_GB2312"/>
        </w:rPr>
        <w:t>4、有依法缴纳税收的良好记录：提供2025年08月01日至今已缴纳的至少一个月的纳税证明或完税证明（提供增值税、营业税、企业所得税中的至少一种），纳税证明或完税证明上应有代收机构或税务机关的公章或业务专用章。依法免税的单位应提供相关证明材料。投标单位需在项目电子化交易系统中按要求上传相应证明文件并进行电子签章。</w:t>
      </w:r>
    </w:p>
    <w:p>
      <w:pPr>
        <w:pStyle w:val="null3"/>
      </w:pPr>
      <w:r>
        <w:rPr>
          <w:rFonts w:ascii="仿宋_GB2312" w:hAnsi="仿宋_GB2312" w:cs="仿宋_GB2312" w:eastAsia="仿宋_GB2312"/>
        </w:rPr>
        <w:t>5、有依法缴纳社会保障资金的良好记录：提供2025年08月01日至今已缴存的至少一个月的社会保障资金缴存单据或社保机构开具的社会保险参保缴费情况证明。依法不需要缴纳社会保障投标单位需在项目电子化交易系统中按要求上传相应证明文件并进行电子签章。投标单位需在项目电子化交易系统中按要求上传相应证明文件并进行电子签章。</w:t>
      </w:r>
    </w:p>
    <w:p>
      <w:pPr>
        <w:pStyle w:val="null3"/>
      </w:pPr>
      <w:r>
        <w:rPr>
          <w:rFonts w:ascii="仿宋_GB2312" w:hAnsi="仿宋_GB2312" w:cs="仿宋_GB2312" w:eastAsia="仿宋_GB2312"/>
        </w:rPr>
        <w:t>6、书面声明：1、参加政府采购活动前三年内，在经营活动中没有重大违法记录或被起诉。 2、提供非联合体声明。 3、提供单位负责人为同一人或者存在直接控股、管理关系的不同投标单位，不得参加同一合同项下的政府采购活动。 投标单位需在项目电子化交易系统中按要求上传相应证明文件并进行电子签章。</w:t>
      </w:r>
    </w:p>
    <w:p>
      <w:pPr>
        <w:pStyle w:val="null3"/>
      </w:pPr>
      <w:r>
        <w:rPr>
          <w:rFonts w:ascii="仿宋_GB2312" w:hAnsi="仿宋_GB2312" w:cs="仿宋_GB2312" w:eastAsia="仿宋_GB2312"/>
        </w:rPr>
        <w:t>7、法定代表人证明书或法定代表人授权书：法定代表人（负责人）直接参加投标的，须出具法定代表人（负责人）身份证明及身份证复印件，并与营业执照上信息一致；法定代表人授权代表参加投标的，须出具法定代表人授权书及授权代表身份证复印件。投标单位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铜川市民政局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铜川市新区正阳路9号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铜川市民政局经办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0919-3280605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陕西北衡全项目咨询有限公司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铜川市印台区南苑社区惠民佳苑8号楼2楼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常多多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0919-3157176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展厅中控</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代理服务费收费标准：本项目采购代理服务费共计人民币8000.00元（大写：捌仟元整），代理服务费由成交供应商承担，采购代理工作结束后一次性付清。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铜川市民政局</w:t>
      </w:r>
      <w:r>
        <w:rPr>
          <w:rFonts w:ascii="仿宋_GB2312" w:hAnsi="仿宋_GB2312" w:cs="仿宋_GB2312" w:eastAsia="仿宋_GB2312"/>
        </w:rPr>
        <w:t>和</w:t>
      </w:r>
      <w:r>
        <w:rPr>
          <w:rFonts w:ascii="仿宋_GB2312" w:hAnsi="仿宋_GB2312" w:cs="仿宋_GB2312" w:eastAsia="仿宋_GB2312"/>
        </w:rPr>
        <w:t>陕西北衡全项目咨询有限公司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铜川市民政局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陕西北衡全项目咨询有限公司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铜川市民政局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陕西北衡全项目咨询有限公司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采购人在使用本项目任何产品和服务（包括部分使用）时，不会产生因第三方提出侵犯其专利权、商标权或其它知识产权而引起的法律和经济纠纷，如因专利权、商标权或其它知识产权而引起法律和经济纠纷，由中标单位承担所有相关责任。 2.采购人享有本项目实施过程中产生的知识成果及知识产权，并依据实际情况对采购标的涉及的知识产权的进行处理。 3.中标单位如欲在项目实施过程中采用自有知识成果，需在响应文件中声明，并提供相关知识产权证明文件。使用该知识成果后，中标单位需提供相关技术文档，并承诺提供无限期技术支持，采购人享有永久使用权。 4.如采用中标单位所不拥有的知识产权，则在报价中必须包括合法获取该知识产权的相关费用。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要求乙方所供产品质量必须全面且严格符合国家强制性标准及行业质量验收规范，同时需满足相关法规要求。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联系人：常多多</w:t>
      </w:r>
    </w:p>
    <w:p>
      <w:pPr>
        <w:pStyle w:val="null3"/>
      </w:pPr>
      <w:r>
        <w:rPr>
          <w:rFonts w:ascii="仿宋_GB2312" w:hAnsi="仿宋_GB2312" w:cs="仿宋_GB2312" w:eastAsia="仿宋_GB2312"/>
        </w:rPr>
        <w:t>联系电话：18091953010</w:t>
      </w:r>
    </w:p>
    <w:p>
      <w:pPr>
        <w:pStyle w:val="null3"/>
      </w:pPr>
      <w:r>
        <w:rPr>
          <w:rFonts w:ascii="仿宋_GB2312" w:hAnsi="仿宋_GB2312" w:cs="仿宋_GB2312" w:eastAsia="仿宋_GB2312"/>
        </w:rPr>
        <w:t>地址：铜川市耀州区咸丰路街道丹阳国际 15 层</w:t>
      </w:r>
    </w:p>
    <w:p>
      <w:pPr>
        <w:pStyle w:val="null3"/>
      </w:pPr>
      <w:r>
        <w:rPr>
          <w:rFonts w:ascii="仿宋_GB2312" w:hAnsi="仿宋_GB2312" w:cs="仿宋_GB2312" w:eastAsia="仿宋_GB2312"/>
        </w:rPr>
        <w:t>邮编：727000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铜川市未成年人科普教育大厅改造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1,880,000.00</w:t>
      </w:r>
    </w:p>
    <w:p>
      <w:pPr>
        <w:pStyle w:val="null3"/>
      </w:pPr>
      <w:r>
        <w:rPr>
          <w:rFonts w:ascii="仿宋_GB2312" w:hAnsi="仿宋_GB2312" w:cs="仿宋_GB2312" w:eastAsia="仿宋_GB2312"/>
        </w:rPr>
        <w:t>采购包最高限价（元）: 1,880,000.00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铜川市未成年人科普教育大厅改造项目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标的名称：铜川市未成年人科普教育大厅改造项目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具体详见采购清单。</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自合同签订之日起30日历天内安装调试完毕。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进度款，设备安装调试完成，达到付款条件起10个工作日内，支付合同总金额的60.0%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进度款，设备验收合格后且稳定运行6个月后，达到付款条件起10个工作日内，支付合同总金额的10.0%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达到国家及行业质量验收标准。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一年（如中标人承诺的质保时间超过文件要求的，按其承诺时间质保）。质保期内提供24小时服务，在质保期内因质量问题导致的设备不能正常运行的，由供应商免费更换新设备，有任何问题供应商应免费维修，维修产生的所有费用（包括但不限于更换新的部件等）均由供应商自行负责。质保期间项目所含内容的一切质量问题及产品本身质量原因造成的直接经济损失全部由供应商自行负责。 质保期起始时间：自本项目终验合格之日起计算。 所有产品质量必须符合国家有关规范和相关政策。国家没有相应标准、规范的，可使用行业标准、规定；非标产品按采购约定的技术要求和规范。所有设备及辅材必须是未使用过的新产品，质量优良、渠道正当，配置合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实施阶段须将相关工作给具备资质的企业，保障项目顺利推进；2、按《中华人民共和国民法典》中的相关条款执行。3、中标单位未按合同要求执行、质量不能满足要求，采购人可根据中标单位的违约情况，调整成交供应商的供货范围或取消其服务资格，并终止合同，并对供方违约行为进行追究，同时按《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1、为顺利推进政府采购电子化交易平台应用工作，投标人需要在线提交所有通过电子化交易平台实施的政府采购项目的响应文件，同时，线下提交纸质响应文件正本壹份、副本壹份。（非强制提供） 2、纸质响应文件正副本分别胶装（书脊处注明项目名称，项目编号），标明投标人名称密封递交，递交截止时间同在线递交电子响应文件截止时间一致，递交地址：铜川市耀州区咸丰路街道丹阳国际 15 层招标部。（纸质响应文件可邮寄，邮件签收时间应为在线递交电子响应文件截止时间之前，邮寄地址：铜川市耀州区咸丰路街道丹阳国际 15 层招标部，联系人：常多多，联系电话：18091953010）。3、若电子投标文件与纸质投标文件不一致的，以电子投标文件为准。4、核心产品：预防犯罪科普互动平台、交通安全科普互动平台、消防安全科普互动平台、户外安全科普互动平台、心理健康科普互动平台（不同投标人提供的核心产品品牌一致的，按相同品牌产品处理。核心产品的不允许出现品牌相同情况，其余产品不做品牌限制）。 5、本项目明确标注制造商的规模类型（大型、中型、小型、微型），规模认定标准执行《中小企业划型标准规定》，本项目所属行业为工业。《中小企业声明函》未满足上述要求的，按无效声明处理。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2023年、2024年、2025年任意一年度财务报告复印件，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或复印件，应满足以下要求：①资信证明须为递交响应文件截止时间前三个月内由供应商基本账户开户银行出具。②无论开具银行是否标明“复印无效”，供应商提供的复印件在本次磋商中予以认可（即不因“复印无效”字样而认定资信证明复印件无效）。③银行出具的存款证明不能替代银行资信证明。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以上四种形式的资料提供任何一种即可），自然人提供身份证。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投标单位应提供健全的财务会计制度的证明材料</w:t>
            </w:r>
          </w:p>
        </w:tc>
        <w:tc>
          <w:tcPr>
            <w:tcW w:type="dxa" w:w="3322"/>
          </w:tcPr>
          <w:p>
            <w:pPr>
              <w:pStyle w:val="null3"/>
            </w:pPr>
            <w:r>
              <w:rPr>
                <w:rFonts w:ascii="仿宋_GB2312" w:hAnsi="仿宋_GB2312" w:cs="仿宋_GB2312" w:eastAsia="仿宋_GB2312"/>
              </w:rPr>
              <w:t>提供（1）或提供（2）：（1）提供2023年、2024年、2025年任意一年度财务报告复印件，应满足以下要求：①投标单位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投标单位适用《事业单位会计准则》的，财务报告是指上述指定年度整个会计年度财务报表（不要求必须是经审计的），复印件至少须包括资产负债表、收入支出表（或收入费用表）、财政补助收入支出表。③投标单位适用《政府会计准则》的，财务报告是指上述指定年度整个会计年度财务报表（不要求必须是经审计的），复印件至少须包括资产负债表、收入费用表。④投标单位适用《民间非营利组织会计制度》的，财务报告是指上述指定年度整个会计年度财务报表（不要求必须是经审计的），复印件至少须包括资产负债表、业务活动表、现金流量表。⑤投标单位是上述四种情况以外情况的，按照其依法适用的会计制度、财务规则或会计准则提供财务报表复印件（不要求必须是经审计的）。（2）提供资信证明原件或复印件，应满足以下要求：①资信证明须为递交响应文件截止时间前三个月内由投标单位基本账户开户银行出具。②无论开具银行是否标明“复印无效”，投标单位提供的复印件在本次磋商中予以认可（即不因“复印无效”字样而认定资信证明复印件无效）。③银行出具的存款证明不能替代银行资信证明。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提供中国裁判文书网（https://wenshu.court.gov.cn/）无行贿犯罪行为记录的查询截图，并附良好商业信誉声明函（格式自拟，加盖单位公章）。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2025年08月01日至今已缴纳的至少一个月的纳税证明或完税证明（提供增值税、营业税、企业所得税中的至少一种），纳税证明或完税证明上应有代收机构或税务机关的公章或业务专用章。依法免税的单位应提供相关证明材料。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2025年08月01日至今已缴存的至少一个月的社会保障资金缴存单据或社保机构开具的社会保险参保缴费情况证明。依法不需要缴纳社会保障投标单位需在项目电子化交易系统中按要求上传相应证明文件并进行电子签章。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1、参加政府采购活动前三年内，在经营活动中没有重大违法记录或被起诉。 2、提供非联合体声明。 3、提供单位负责人为同一人或者存在直接控股、管理关系的不同投标单位，不得参加同一合同项下的政府采购活动。 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法定代表人证明书或法定代表人授权书</w:t>
            </w:r>
          </w:p>
        </w:tc>
        <w:tc>
          <w:tcPr>
            <w:tcW w:type="dxa" w:w="3322"/>
          </w:tcPr>
          <w:p>
            <w:pPr>
              <w:pStyle w:val="null3"/>
            </w:pPr>
            <w:r>
              <w:rPr>
                <w:rFonts w:ascii="仿宋_GB2312" w:hAnsi="仿宋_GB2312" w:cs="仿宋_GB2312" w:eastAsia="仿宋_GB2312"/>
              </w:rPr>
              <w:t>法定代表人（负责人）直接参加投标的，须出具法定代表人（负责人）身份证明及身份证复印件，并与营业执照上信息一致；法定代表人授权代表参加投标的，须出具法定代表人授权书及授权代表身份证复印件。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法定代表人证明书.docx 投标人应提交的相关资格证明材料 法定代表人授权书.docx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投标人按照招标文件要求上传响应文件。</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同类项目业绩一览表.docx 法定代表人授权书.docx 产品技术参数表 分项报价表.docx 投标函 残疾人福利性单位声明函 标的清单 关于符合本国产品标准的声明函 法定代表人证明书.docx 投标文件封面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签名、盖章</w:t>
            </w:r>
          </w:p>
        </w:tc>
        <w:tc>
          <w:tcPr>
            <w:tcW w:type="dxa" w:w="3322"/>
          </w:tcPr>
          <w:p>
            <w:pPr>
              <w:pStyle w:val="null3"/>
            </w:pPr>
            <w:r>
              <w:rPr>
                <w:rFonts w:ascii="仿宋_GB2312" w:hAnsi="仿宋_GB2312" w:cs="仿宋_GB2312" w:eastAsia="仿宋_GB2312"/>
              </w:rPr>
              <w:t>投标人必须按照招标文件的规定和要求在投标文件中指定的页面落款处加盖公章或由法定代表人或被授权人签名（或盖章），其余页面逐页盖公章，否则将作为无效投标文件处理。招标文件凡是要求法定代表人签名或盖章之处 ，非法人单位的负责人均参照执行。</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同类项目业绩一览表.docx 法定代表人授权书.docx 产品技术参数表 分项报价表.docx 投标函 残疾人福利性单位声明函 标的清单 关于符合本国产品标准的声明函 法定代表人证明书.docx 投标文件封面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投标文件所有报价未超过对应限价。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不得超过招标文件要求的交货期。</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A、投标人的响应报价有选择性报价或者响应报价重新计算后超过本项目采购预算或者最高限价的； B、投标人未经过正常渠道领取招标文件，或投标人名称与领取招标文件时登记的投标人名称不符的； C、投标人针对同一项目递交两份或多份内容不同的响应文件，未书面声明哪一份是有效的或出现选择性报价的； D、提供虚假资质、虚假资料、虚假证明（包括第三方提供的虚假证明）；出现虚假应答、承诺、声明的，除按无效响应文件处理外，还将按照政府采购的有关规定进行处罚； E、投标人在商务响应方面附加了采购单位难以接受的条件或条款的； F、在政府采购或其它重大项目履约过程中有不良记录或未能按期履约的； G、投标人使用虚假印章或印章无法证实为真实有效； H、报价子目出现漏项或报价与要求不符的； I、实质性内容不满足、未完全未响应招标要求或擅自改动技术要求的； G、响应文件的关键内容或字迹模糊、无法辨认的； K、不符合法律、法规规定的其它实质性要求的；L：所提供证明材料在有效期内。</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同类项目业绩一览表.docx 法定代表人授权书.docx 分项报价表.docx 产品技术参数表 投标函 残疾人福利性单位声明函 标的清单 关于符合本国产品标准的声明函 法定代表人证明书.docx 投标文件封面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综合实力 （投标产品）</w:t>
            </w:r>
          </w:p>
        </w:tc>
        <w:tc>
          <w:tcPr>
            <w:tcW w:type="dxa" w:w="2492"/>
          </w:tcPr>
          <w:p>
            <w:pPr>
              <w:pStyle w:val="null3"/>
            </w:pPr>
            <w:r>
              <w:rPr>
                <w:rFonts w:ascii="仿宋_GB2312" w:hAnsi="仿宋_GB2312" w:cs="仿宋_GB2312" w:eastAsia="仿宋_GB2312"/>
              </w:rPr>
              <w:t>评审内容（每项1分，最高得34分） 设备技术参数共计 34 项，每项提供对应佐证材料（技术参数须提供佐证材料(不限于产品彩页、使用说明书、检测报告等）；未提供佐证材料（不包含厂家授权书）、提供的材料模糊不清，或所提供材料无法有效对应证明、与投标产品不相关的，均视为该参数不满足要求，扣该项分值。</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产品来源渠道合法</w:t>
            </w:r>
          </w:p>
        </w:tc>
        <w:tc>
          <w:tcPr>
            <w:tcW w:type="dxa" w:w="2492"/>
          </w:tcPr>
          <w:p>
            <w:pPr>
              <w:pStyle w:val="null3"/>
            </w:pPr>
            <w:r>
              <w:rPr>
                <w:rFonts w:ascii="仿宋_GB2312" w:hAnsi="仿宋_GB2312" w:cs="仿宋_GB2312" w:eastAsia="仿宋_GB2312"/>
              </w:rPr>
              <w:t>若投标人为制造商，提供所投产品来源渠道合法承诺函（格式自拟）得3分，未提供不得分；若投标人为经销商，提供所投产品厂家授权书得3分，未提供不得分。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一、评审内容（每项计4分，最高得12分，未提供不计分） 1、安装调试方案； 2、运输保障方案； 3、验收方案。 二、扣分规则（累计扣分不超过对应评审内容分值，三项内容总扣分无上限，扣完对应分项分值即止） 专门针对本项目编制，切合本项目实际情况及实施要求，内容与要点相符、每个要点均有展开详细的阐述且能够适用于本项目的计12分；以上评审内容每项有缺项扣4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一、评审内容（每项计2分，最高得4分，未提供不计分） 1、具有售后服务机构及人员配置方案； 2、提供保修期外至全寿命周期内零配件及备品备件供应方案（包括：供应时间、安装更换方式）。 二、扣分规则（累计扣分不超过对应评审内容分值，两项内容总扣分无上限，扣完对应分项分值即止） 专门针对本项目编制，切合本项目实际情况及实施要求，内容与要点相符、每个要点均有展开详细的阐述且能够适用于本项目的计4分；以上评审内容每项有缺项扣2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突发应急预案</w:t>
            </w:r>
          </w:p>
        </w:tc>
        <w:tc>
          <w:tcPr>
            <w:tcW w:type="dxa" w:w="2492"/>
          </w:tcPr>
          <w:p>
            <w:pPr>
              <w:pStyle w:val="null3"/>
            </w:pPr>
            <w:r>
              <w:rPr>
                <w:rFonts w:ascii="仿宋_GB2312" w:hAnsi="仿宋_GB2312" w:cs="仿宋_GB2312" w:eastAsia="仿宋_GB2312"/>
              </w:rPr>
              <w:t>一、评审内容（每项计2分，最高得4分，未提供不计分） 针对本项目突发事件的应急响应处理方案： 1、设备故障应急预案； 2、运输途中突发交通事故； 二、扣分规则（累计扣分不超过对应评审内容分值，两项内容总扣分无上限，扣完对应分项分值即止） 专门针对本项目编制，切合本项目实际情况及实施要求，内容与要点相符、每个要点均有展开详细的阐述且能够适用于本项目的计4分；以上评审内容每项有缺项扣4分；存在缺陷，每个缺陷扣0.2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应急响应时间</w:t>
            </w:r>
          </w:p>
        </w:tc>
        <w:tc>
          <w:tcPr>
            <w:tcW w:type="dxa" w:w="2492"/>
          </w:tcPr>
          <w:p>
            <w:pPr>
              <w:pStyle w:val="null3"/>
            </w:pPr>
            <w:r>
              <w:rPr>
                <w:rFonts w:ascii="仿宋_GB2312" w:hAnsi="仿宋_GB2312" w:cs="仿宋_GB2312" w:eastAsia="仿宋_GB2312"/>
              </w:rPr>
              <w:t>评审内容（本项计2分，最高得2分，未提供不计分） 1、应急响应时间能完全保障设备故障后的运行，投标人在接到电话1小时内作出响应并可赶至现场解决问题的计1分；2小时内响应的计0.5分，超过2小时响应的不计分。 2、投标人须提供①售后服务网点、地址；②售后人员名单。提供计1分，未提供或提供不完整不得分）。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提供2023年1月1日以来投标人或制造商已完成同类项目业绩。请提供合同复印件（同时提供合同首页、内容页、盖章页复印件并加盖公章），未按要求完整提供证明文件不得分。 注：①同一个项目提供多份合同的，按一份业绩；每提供一份业绩计2.5分，本项最高得5分； ②若提供制造商业绩附制造商授权书，明确授权其业绩参与投标。</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同类项目业绩一览表.docx</w:t>
            </w:r>
          </w:p>
        </w:tc>
      </w:tr>
      <w:tr>
        <w:tc>
          <w:tcPr>
            <w:tcW w:type="dxa" w:w="831"/>
            <w:vMerge/>
          </w:tcPr>
          <w:p/>
        </w:tc>
        <w:tc>
          <w:tcPr>
            <w:tcW w:type="dxa" w:w="1661"/>
          </w:tcPr>
          <w:p>
            <w:pPr>
              <w:pStyle w:val="null3"/>
            </w:pPr>
            <w:r>
              <w:rPr>
                <w:rFonts w:ascii="仿宋_GB2312" w:hAnsi="仿宋_GB2312" w:cs="仿宋_GB2312" w:eastAsia="仿宋_GB2312"/>
              </w:rPr>
              <w:t>履约承诺</w:t>
            </w:r>
          </w:p>
        </w:tc>
        <w:tc>
          <w:tcPr>
            <w:tcW w:type="dxa" w:w="2492"/>
          </w:tcPr>
          <w:p>
            <w:pPr>
              <w:pStyle w:val="null3"/>
            </w:pPr>
            <w:r>
              <w:rPr>
                <w:rFonts w:ascii="仿宋_GB2312" w:hAnsi="仿宋_GB2312" w:cs="仿宋_GB2312" w:eastAsia="仿宋_GB2312"/>
              </w:rPr>
              <w:t>评审内容：（每提供一项计1分，最高得6分；未提供或未文字说明核心响应点，不计分） 1.提供供货能力承诺（明确承诺交付时限）； 2.提供交付周期承诺（明确承诺按时交付，若因投标人原因延迟的解决办法）； 3.提供瑕疵处理承诺（明确货物存在质量问题，承诺在收到反馈后响应时限）； 4.提供合同履行承诺（明确承诺严格遵守合同所有条款）； 5.产品质量问题退货承诺（明确退货判定标准、退货时限及相关责任划分）； 6. 质量退换货服务承诺（承诺严格执行质量问题退货、换货流程，按时办结退换货，明确权责，保障货品质量与履约时效）。</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100 计算分数时四舍五入取小数点后两位。注：投标人报价明显低于其他实质性响应的投标人报价，有可能影响产品质量或者不能诚信履约的，提交相关证明材料。</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详见附件：法定代表人证明书.docx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详见附件：同类项目业绩一览表.docx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