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版本号：LZBE2026-971（XDZ2026-163-N-76）.1BD220260901001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西安高新区行政审批服务局草堂分中心业务用房租项目(三次)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LZBE2026-971（XDZ2026-163-N-76）.1BD2</w:t>
      </w:r>
      <w:r>
        <w:br/>
      </w:r>
      <w:r>
        <w:br/>
      </w:r>
      <w:r>
        <w:br/>
      </w:r>
    </w:p>
    <w:p>
      <w:pPr>
        <w:pStyle w:val="null3"/>
        <w:jc w:val="center"/>
        <w:outlineLvl w:val="5"/>
      </w:pPr>
      <w:r>
        <w:rPr>
          <w:rFonts w:ascii="仿宋_GB2312" w:hAnsi="仿宋_GB2312" w:cs="仿宋_GB2312" w:eastAsia="仿宋_GB2312"/>
          <w:sz w:val="15"/>
          <w:b/>
        </w:rPr>
        <w:t>西安高新技术产业开发区行政审批服务局</w:t>
      </w:r>
    </w:p>
    <w:p>
      <w:pPr>
        <w:pStyle w:val="null3"/>
        <w:jc w:val="center"/>
        <w:outlineLvl w:val="5"/>
      </w:pPr>
      <w:r>
        <w:rPr>
          <w:rFonts w:ascii="仿宋_GB2312" w:hAnsi="仿宋_GB2312" w:cs="仿宋_GB2312" w:eastAsia="仿宋_GB2312"/>
          <w:sz w:val="15"/>
          <w:b/>
        </w:rPr>
        <w:t>龙寰项目管理咨询有限公司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2026年09月01日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西安高新技术产业开发区行政审批服务局</w:t>
      </w:r>
      <w:r>
        <w:rPr>
          <w:rFonts w:ascii="仿宋_GB2312" w:hAnsi="仿宋_GB2312" w:cs="仿宋_GB2312" w:eastAsia="仿宋_GB2312"/>
        </w:rPr>
        <w:t>委托，拟对</w:t>
      </w:r>
      <w:r>
        <w:rPr>
          <w:rFonts w:ascii="仿宋_GB2312" w:hAnsi="仿宋_GB2312" w:cs="仿宋_GB2312" w:eastAsia="仿宋_GB2312"/>
        </w:rPr>
        <w:t>西安高新区行政审批服务局草堂分中心业务用房租项目(三次)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LZBE2026-971（XDZ2026-163-N-76）.1BD2</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西安高新区行政审批服务局草堂分中心业务用房租项目(三次)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为了更好的服务辖区内企业和人民群众，提高人民群众的满意度和获得感，草堂分中心拟在园区范围内寻找交通便利、面积适中的政务服务业务用房，进行办公场地租赁服务采购。</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供应商应提供税收缴纳凭证及社会保险缴纳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或提供《基本资格条件承诺函》。</w:t>
      </w:r>
    </w:p>
    <w:p>
      <w:pPr>
        <w:pStyle w:val="null3"/>
      </w:pPr>
      <w:r>
        <w:rPr>
          <w:rFonts w:ascii="仿宋_GB2312" w:hAnsi="仿宋_GB2312" w:cs="仿宋_GB2312" w:eastAsia="仿宋_GB2312"/>
        </w:rPr>
        <w:t>3、财务状况报告：供应商提供 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提供供应商基本账户银行出具的递交投标文件截止时间前六个月内的资信证明及供应商基本存款账户开户许可证（或基本存款账户信息））或提供专业担保机构出具的投标担保函；或提供《基本资格条件承诺函》；供应商需在项目电子化交易系统中按要求上传相应证明文件并进行电子签章;</w:t>
      </w:r>
    </w:p>
    <w:p>
      <w:pPr>
        <w:pStyle w:val="null3"/>
      </w:pPr>
      <w:r>
        <w:rPr>
          <w:rFonts w:ascii="仿宋_GB2312" w:hAnsi="仿宋_GB2312" w:cs="仿宋_GB2312" w:eastAsia="仿宋_GB2312"/>
        </w:rPr>
        <w:t>4、参加政府采购活动前3年内在经营活动中没有重大违法记录的书面声明：参加政府采购活动前3年内在经营活动中没有重大违法记录的书面声明：重大违法记录是指供应商因违法经营受到刑事处罚或者责令停产停业、吊销许可证或者执照、较大数额罚款等行政处罚。供应商需在项目电子化交易系统中按要求上传相应证明文件并进行电子签章或提供《基本资格条件承诺函》。</w:t>
      </w:r>
    </w:p>
    <w:p>
      <w:pPr>
        <w:pStyle w:val="null3"/>
      </w:pPr>
      <w:r>
        <w:rPr>
          <w:rFonts w:ascii="仿宋_GB2312" w:hAnsi="仿宋_GB2312" w:cs="仿宋_GB2312" w:eastAsia="仿宋_GB2312"/>
        </w:rPr>
        <w:t>5、具有履行合同所必需的设备和专业技术能力书面声明函：具有履行合同所必需的设备和专业技术能力书面声明函：供应商需在项目电子化交易系统中按要求上传相应证明文件并进行电子签章或提供《基本资格条件承诺函》。</w:t>
      </w:r>
    </w:p>
    <w:p>
      <w:pPr>
        <w:pStyle w:val="null3"/>
      </w:pPr>
      <w:r>
        <w:rPr>
          <w:rFonts w:ascii="仿宋_GB2312" w:hAnsi="仿宋_GB2312" w:cs="仿宋_GB2312" w:eastAsia="仿宋_GB2312"/>
        </w:rPr>
        <w:t>6、信用状况：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递交截止时间后的网站查询记录为准；</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西安高新技术产业开发区行政审批服务局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高新区锦业路1号都市之门A座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029-89019688</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吴岳、陈钊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029-88228899转652</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采购包1：320,000.00元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采购包1：320,000.00元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收费以中标金额为取费基数，按差额定率累进法计算，具体收费标准参照计价格[2002]1980号、发改价格[2011]534号、发改办价格〔2003〕857号中服务类执行。中标人在取得成交通知书前，向采购代理机构交纳招标代理服务费。招标代理服务费以转账形式交纳至如下指定账户： 开户名称：龙寰项目管理咨询有限公司 开户行名称：平安银行西安高新路支行、 账号：30201278018891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西安高新技术产业开发区行政审批服务局</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西安高新技术产业开发区行政审批服务局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联系人：吴岳</w:t>
      </w:r>
    </w:p>
    <w:p>
      <w:pPr>
        <w:pStyle w:val="null3"/>
      </w:pPr>
      <w:r>
        <w:rPr>
          <w:rFonts w:ascii="仿宋_GB2312" w:hAnsi="仿宋_GB2312" w:cs="仿宋_GB2312" w:eastAsia="仿宋_GB2312"/>
        </w:rPr>
        <w:t>联系电话：029-88228899转652</w:t>
      </w:r>
    </w:p>
    <w:p>
      <w:pPr>
        <w:pStyle w:val="null3"/>
      </w:pPr>
      <w:r>
        <w:rPr>
          <w:rFonts w:ascii="仿宋_GB2312" w:hAnsi="仿宋_GB2312" w:cs="仿宋_GB2312" w:eastAsia="仿宋_GB2312"/>
        </w:rPr>
        <w:t>地址：西安市太白南路181号西部电子社区A座A区501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sz w:val="20"/>
        </w:rPr>
        <w:t>为了更好的服务辖区内企业和人民群众，提高人民群众的满意度和获得感，草堂分中心拟在园区范围内寻找交通便利、面积适中的政务服务业务用房，进行办公场地租赁服务采购。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320,000.00</w:t>
      </w:r>
    </w:p>
    <w:p>
      <w:pPr>
        <w:pStyle w:val="null3"/>
      </w:pPr>
      <w:r>
        <w:rPr>
          <w:rFonts w:ascii="仿宋_GB2312" w:hAnsi="仿宋_GB2312" w:cs="仿宋_GB2312" w:eastAsia="仿宋_GB2312"/>
        </w:rPr>
        <w:t>采购包最高限价（元）: 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西安高新区行政审批服务局草堂分中心房屋租赁项目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标的名称：西安高新区行政审批服务局草堂分中心房屋租赁项目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w:t>
            </w:r>
            <w:r>
              <w:rPr>
                <w:rFonts w:ascii="仿宋_GB2312" w:hAnsi="仿宋_GB2312" w:cs="仿宋_GB2312" w:eastAsia="仿宋_GB2312"/>
                <w:sz w:val="20"/>
                <w:b/>
              </w:rPr>
              <w:t>项目背景：</w:t>
            </w:r>
          </w:p>
          <w:p>
            <w:pPr>
              <w:pStyle w:val="null3"/>
              <w:jc w:val="both"/>
            </w:pPr>
            <w:r>
              <w:rPr>
                <w:rFonts w:ascii="仿宋_GB2312" w:hAnsi="仿宋_GB2312" w:cs="仿宋_GB2312" w:eastAsia="仿宋_GB2312"/>
                <w:sz w:val="20"/>
              </w:rPr>
              <w:t>为了更好的服务辖区内企业和人民群众，提高人民群众的满意度和获得感，草堂分中心申请在园区范围内寻找交通便利、面积适中的政务服务业务用房重新租赁并搬迁。</w:t>
            </w:r>
          </w:p>
          <w:p>
            <w:pPr>
              <w:pStyle w:val="null3"/>
            </w:pPr>
            <w:r>
              <w:rPr>
                <w:rFonts w:ascii="仿宋_GB2312" w:hAnsi="仿宋_GB2312" w:cs="仿宋_GB2312" w:eastAsia="仿宋_GB2312"/>
                <w:sz w:val="20"/>
                <w:b/>
              </w:rPr>
              <w:t>二、采购方案与技术参数：</w:t>
            </w:r>
          </w:p>
          <w:p>
            <w:pPr>
              <w:pStyle w:val="null3"/>
            </w:pPr>
            <w:r>
              <w:rPr>
                <w:rFonts w:ascii="仿宋_GB2312" w:hAnsi="仿宋_GB2312" w:cs="仿宋_GB2312" w:eastAsia="仿宋_GB2312"/>
                <w:sz w:val="20"/>
              </w:rPr>
              <w:t>1</w:t>
            </w:r>
            <w:r>
              <w:rPr>
                <w:rFonts w:ascii="仿宋_GB2312" w:hAnsi="仿宋_GB2312" w:cs="仿宋_GB2312" w:eastAsia="仿宋_GB2312"/>
                <w:sz w:val="20"/>
              </w:rPr>
              <w:t>、在草堂园区内选择一层或二层的用房租赁，优先考虑可将大厅设置在一层的用房</w:t>
            </w:r>
            <w:r>
              <w:rPr>
                <w:rFonts w:ascii="仿宋_GB2312" w:hAnsi="仿宋_GB2312" w:cs="仿宋_GB2312" w:eastAsia="仿宋_GB2312"/>
                <w:sz w:val="20"/>
              </w:rPr>
              <w:t>;</w:t>
            </w:r>
          </w:p>
          <w:p>
            <w:pPr>
              <w:pStyle w:val="null3"/>
            </w:pPr>
            <w:r>
              <w:rPr>
                <w:rFonts w:ascii="仿宋_GB2312" w:hAnsi="仿宋_GB2312" w:cs="仿宋_GB2312" w:eastAsia="仿宋_GB2312"/>
                <w:sz w:val="20"/>
              </w:rPr>
              <w:t>2</w:t>
            </w:r>
            <w:r>
              <w:rPr>
                <w:rFonts w:ascii="仿宋_GB2312" w:hAnsi="仿宋_GB2312" w:cs="仿宋_GB2312" w:eastAsia="仿宋_GB2312"/>
                <w:sz w:val="20"/>
              </w:rPr>
              <w:t>、租赁面积约</w:t>
            </w:r>
            <w:r>
              <w:rPr>
                <w:rFonts w:ascii="仿宋_GB2312" w:hAnsi="仿宋_GB2312" w:cs="仿宋_GB2312" w:eastAsia="仿宋_GB2312"/>
                <w:sz w:val="20"/>
              </w:rPr>
              <w:t>450~500</w:t>
            </w:r>
            <w:r>
              <w:rPr>
                <w:rFonts w:ascii="仿宋_GB2312" w:hAnsi="仿宋_GB2312" w:cs="仿宋_GB2312" w:eastAsia="仿宋_GB2312"/>
                <w:sz w:val="20"/>
              </w:rPr>
              <w:t>平方米左右</w:t>
            </w:r>
            <w:r>
              <w:rPr>
                <w:rFonts w:ascii="仿宋_GB2312" w:hAnsi="仿宋_GB2312" w:cs="仿宋_GB2312" w:eastAsia="仿宋_GB2312"/>
                <w:sz w:val="20"/>
              </w:rPr>
              <w:t>;</w:t>
            </w:r>
          </w:p>
          <w:p>
            <w:pPr>
              <w:pStyle w:val="null3"/>
            </w:pPr>
            <w:r>
              <w:rPr>
                <w:rFonts w:ascii="仿宋_GB2312" w:hAnsi="仿宋_GB2312" w:cs="仿宋_GB2312" w:eastAsia="仿宋_GB2312"/>
                <w:sz w:val="20"/>
              </w:rPr>
              <w:t>3</w:t>
            </w:r>
            <w:r>
              <w:rPr>
                <w:rFonts w:ascii="仿宋_GB2312" w:hAnsi="仿宋_GB2312" w:cs="仿宋_GB2312" w:eastAsia="仿宋_GB2312"/>
                <w:sz w:val="20"/>
              </w:rPr>
              <w:t>、租金单价</w:t>
            </w:r>
            <w:r>
              <w:rPr>
                <w:rFonts w:ascii="仿宋_GB2312" w:hAnsi="仿宋_GB2312" w:cs="仿宋_GB2312" w:eastAsia="仿宋_GB2312"/>
                <w:sz w:val="20"/>
              </w:rPr>
              <w:t>(</w:t>
            </w:r>
            <w:r>
              <w:rPr>
                <w:rFonts w:ascii="仿宋_GB2312" w:hAnsi="仿宋_GB2312" w:cs="仿宋_GB2312" w:eastAsia="仿宋_GB2312"/>
                <w:sz w:val="20"/>
              </w:rPr>
              <w:t>即定制服务费及物业费</w:t>
            </w:r>
            <w:r>
              <w:rPr>
                <w:rFonts w:ascii="仿宋_GB2312" w:hAnsi="仿宋_GB2312" w:cs="仿宋_GB2312" w:eastAsia="仿宋_GB2312"/>
                <w:sz w:val="20"/>
              </w:rPr>
              <w:t>)</w:t>
            </w:r>
            <w:r>
              <w:rPr>
                <w:rFonts w:ascii="仿宋_GB2312" w:hAnsi="仿宋_GB2312" w:cs="仿宋_GB2312" w:eastAsia="仿宋_GB2312"/>
                <w:sz w:val="20"/>
              </w:rPr>
              <w:t>不超过</w:t>
            </w:r>
            <w:r>
              <w:rPr>
                <w:rFonts w:ascii="仿宋_GB2312" w:hAnsi="仿宋_GB2312" w:cs="仿宋_GB2312" w:eastAsia="仿宋_GB2312"/>
                <w:sz w:val="20"/>
              </w:rPr>
              <w:t>60</w:t>
            </w:r>
            <w:r>
              <w:rPr>
                <w:rFonts w:ascii="仿宋_GB2312" w:hAnsi="仿宋_GB2312" w:cs="仿宋_GB2312" w:eastAsia="仿宋_GB2312"/>
                <w:sz w:val="20"/>
              </w:rPr>
              <w:t>元人民币</w:t>
            </w:r>
            <w:r>
              <w:rPr>
                <w:rFonts w:ascii="仿宋_GB2312" w:hAnsi="仿宋_GB2312" w:cs="仿宋_GB2312" w:eastAsia="仿宋_GB2312"/>
                <w:sz w:val="20"/>
              </w:rPr>
              <w:t>/</w:t>
            </w:r>
            <w:r>
              <w:rPr>
                <w:rFonts w:ascii="仿宋_GB2312" w:hAnsi="仿宋_GB2312" w:cs="仿宋_GB2312" w:eastAsia="仿宋_GB2312"/>
                <w:sz w:val="20"/>
              </w:rPr>
              <w:t>平方米</w:t>
            </w:r>
            <w:r>
              <w:rPr>
                <w:rFonts w:ascii="仿宋_GB2312" w:hAnsi="仿宋_GB2312" w:cs="仿宋_GB2312" w:eastAsia="仿宋_GB2312"/>
                <w:sz w:val="20"/>
              </w:rPr>
              <w:t>/</w:t>
            </w:r>
            <w:r>
              <w:rPr>
                <w:rFonts w:ascii="仿宋_GB2312" w:hAnsi="仿宋_GB2312" w:cs="仿宋_GB2312" w:eastAsia="仿宋_GB2312"/>
                <w:sz w:val="20"/>
              </w:rPr>
              <w:t>月</w:t>
            </w:r>
            <w:r>
              <w:rPr>
                <w:rFonts w:ascii="仿宋_GB2312" w:hAnsi="仿宋_GB2312" w:cs="仿宋_GB2312" w:eastAsia="仿宋_GB2312"/>
                <w:sz w:val="20"/>
              </w:rPr>
              <w:t>)</w:t>
            </w:r>
            <w:r>
              <w:rPr>
                <w:rFonts w:ascii="仿宋_GB2312" w:hAnsi="仿宋_GB2312" w:cs="仿宋_GB2312" w:eastAsia="仿宋_GB2312"/>
                <w:sz w:val="20"/>
              </w:rPr>
              <w:t>，租赁费不超过</w:t>
            </w:r>
            <w:r>
              <w:rPr>
                <w:rFonts w:ascii="仿宋_GB2312" w:hAnsi="仿宋_GB2312" w:cs="仿宋_GB2312" w:eastAsia="仿宋_GB2312"/>
                <w:sz w:val="20"/>
              </w:rPr>
              <w:t>32</w:t>
            </w:r>
            <w:r>
              <w:rPr>
                <w:rFonts w:ascii="仿宋_GB2312" w:hAnsi="仿宋_GB2312" w:cs="仿宋_GB2312" w:eastAsia="仿宋_GB2312"/>
                <w:sz w:val="20"/>
              </w:rPr>
              <w:t>万元</w:t>
            </w:r>
            <w:r>
              <w:rPr>
                <w:rFonts w:ascii="仿宋_GB2312" w:hAnsi="仿宋_GB2312" w:cs="仿宋_GB2312" w:eastAsia="仿宋_GB2312"/>
                <w:sz w:val="20"/>
              </w:rPr>
              <w:t>/</w:t>
            </w:r>
            <w:r>
              <w:rPr>
                <w:rFonts w:ascii="仿宋_GB2312" w:hAnsi="仿宋_GB2312" w:cs="仿宋_GB2312" w:eastAsia="仿宋_GB2312"/>
                <w:sz w:val="20"/>
              </w:rPr>
              <w:t>年</w:t>
            </w:r>
            <w:r>
              <w:rPr>
                <w:rFonts w:ascii="仿宋_GB2312" w:hAnsi="仿宋_GB2312" w:cs="仿宋_GB2312" w:eastAsia="仿宋_GB2312"/>
                <w:sz w:val="20"/>
              </w:rPr>
              <w:t>;</w:t>
            </w:r>
          </w:p>
          <w:p>
            <w:pPr>
              <w:pStyle w:val="null3"/>
            </w:pPr>
            <w:r>
              <w:rPr>
                <w:rFonts w:ascii="仿宋_GB2312" w:hAnsi="仿宋_GB2312" w:cs="仿宋_GB2312" w:eastAsia="仿宋_GB2312"/>
                <w:sz w:val="20"/>
              </w:rPr>
              <w:t>4</w:t>
            </w:r>
            <w:r>
              <w:rPr>
                <w:rFonts w:ascii="仿宋_GB2312" w:hAnsi="仿宋_GB2312" w:cs="仿宋_GB2312" w:eastAsia="仿宋_GB2312"/>
                <w:sz w:val="20"/>
              </w:rPr>
              <w:t>、租赁期限：租赁期限为三年，合同按年度签订一年一签，（合同金额以实际承租期限及面积为准据实结算，最终不得超过采购预算。在合同实施过程中出现预算调整、需求变更或成交单位服务无法达到采购人要求等情况，合同终止，由采购人重新组织采购）；</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、租赁场所应达到直接入驻使用的标准，由出租方按照定制服务的模式，提供完成装修的场所，并提供后续的维护服务。</w:t>
            </w:r>
          </w:p>
          <w:p>
            <w:pPr>
              <w:pStyle w:val="null3"/>
            </w:pPr>
            <w:r>
              <w:rPr>
                <w:rFonts w:ascii="仿宋_GB2312" w:hAnsi="仿宋_GB2312" w:cs="仿宋_GB2312" w:eastAsia="仿宋_GB2312"/>
                <w:sz w:val="20"/>
                <w:b/>
              </w:rPr>
              <w:t>三、需求分析：</w:t>
            </w:r>
            <w:r>
              <w:rPr>
                <w:rFonts w:ascii="仿宋_GB2312" w:hAnsi="仿宋_GB2312" w:cs="仿宋_GB2312" w:eastAsia="仿宋_GB2312"/>
                <w:sz w:val="20"/>
              </w:rPr>
              <w:t>一站式综合服务大厅</w:t>
            </w:r>
          </w:p>
          <w:p>
            <w:pPr>
              <w:pStyle w:val="null3"/>
            </w:pPr>
            <w:r>
              <w:rPr>
                <w:rFonts w:ascii="仿宋_GB2312" w:hAnsi="仿宋_GB2312" w:cs="仿宋_GB2312" w:eastAsia="仿宋_GB2312"/>
                <w:sz w:val="20"/>
                <w:b/>
              </w:rPr>
              <w:t>四、后续维护服务：</w:t>
            </w:r>
          </w:p>
          <w:p>
            <w:pPr>
              <w:pStyle w:val="null3"/>
            </w:pPr>
            <w:r>
              <w:rPr>
                <w:rFonts w:ascii="仿宋_GB2312" w:hAnsi="仿宋_GB2312" w:cs="仿宋_GB2312" w:eastAsia="仿宋_GB2312"/>
                <w:sz w:val="20"/>
              </w:rPr>
              <w:t>1.</w:t>
            </w:r>
            <w:r>
              <w:rPr>
                <w:rFonts w:ascii="仿宋_GB2312" w:hAnsi="仿宋_GB2312" w:cs="仿宋_GB2312" w:eastAsia="仿宋_GB2312"/>
                <w:sz w:val="20"/>
              </w:rPr>
              <w:t>物业管理、水电暖服务、安保服务、保洁服务</w:t>
            </w:r>
            <w:r>
              <w:rPr>
                <w:rFonts w:ascii="仿宋_GB2312" w:hAnsi="仿宋_GB2312" w:cs="仿宋_GB2312" w:eastAsia="仿宋_GB2312"/>
                <w:sz w:val="20"/>
              </w:rPr>
              <w:t>;</w:t>
            </w:r>
          </w:p>
          <w:p>
            <w:pPr>
              <w:pStyle w:val="null3"/>
            </w:pPr>
            <w:r>
              <w:rPr>
                <w:rFonts w:ascii="仿宋_GB2312" w:hAnsi="仿宋_GB2312" w:cs="仿宋_GB2312" w:eastAsia="仿宋_GB2312"/>
                <w:sz w:val="20"/>
              </w:rPr>
              <w:t>2.</w:t>
            </w:r>
            <w:r>
              <w:rPr>
                <w:rFonts w:ascii="仿宋_GB2312" w:hAnsi="仿宋_GB2312" w:cs="仿宋_GB2312" w:eastAsia="仿宋_GB2312"/>
                <w:sz w:val="20"/>
              </w:rPr>
              <w:t>通勤班车、停车、工作餐配套服务</w:t>
            </w:r>
            <w:r>
              <w:rPr>
                <w:rFonts w:ascii="仿宋_GB2312" w:hAnsi="仿宋_GB2312" w:cs="仿宋_GB2312" w:eastAsia="仿宋_GB2312"/>
                <w:sz w:val="20"/>
              </w:rPr>
              <w:t>;</w:t>
            </w:r>
          </w:p>
          <w:p>
            <w:pPr>
              <w:pStyle w:val="null3"/>
            </w:pPr>
            <w:r>
              <w:rPr>
                <w:rFonts w:ascii="仿宋_GB2312" w:hAnsi="仿宋_GB2312" w:cs="仿宋_GB2312" w:eastAsia="仿宋_GB2312"/>
                <w:sz w:val="20"/>
              </w:rPr>
              <w:t>3.</w:t>
            </w:r>
            <w:r>
              <w:rPr>
                <w:rFonts w:ascii="仿宋_GB2312" w:hAnsi="仿宋_GB2312" w:cs="仿宋_GB2312" w:eastAsia="仿宋_GB2312"/>
                <w:sz w:val="20"/>
              </w:rPr>
              <w:t>设备日常维护</w:t>
            </w:r>
            <w:r>
              <w:rPr>
                <w:rFonts w:ascii="仿宋_GB2312" w:hAnsi="仿宋_GB2312" w:cs="仿宋_GB2312" w:eastAsia="仿宋_GB2312"/>
                <w:sz w:val="20"/>
              </w:rPr>
              <w:t>;</w:t>
            </w:r>
          </w:p>
          <w:p>
            <w:pPr>
              <w:pStyle w:val="null3"/>
            </w:pPr>
            <w:r>
              <w:rPr>
                <w:rFonts w:ascii="仿宋_GB2312" w:hAnsi="仿宋_GB2312" w:cs="仿宋_GB2312" w:eastAsia="仿宋_GB2312"/>
                <w:sz w:val="21"/>
              </w:rPr>
              <w:t>4.</w:t>
            </w:r>
            <w:r>
              <w:rPr>
                <w:rFonts w:ascii="仿宋_GB2312" w:hAnsi="仿宋_GB2312" w:cs="仿宋_GB2312" w:eastAsia="仿宋_GB2312"/>
                <w:sz w:val="21"/>
              </w:rPr>
              <w:t>绿植租赁及养护服务。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付款方式说明：因电子化交易系统设置、本章3.3.4条款（支付约定）无法修改，若出现本章3.3.4条款（支付约定）与拟签订合同文本及采购需求中付款方式不一致时，以拟签订合同条款及采购需求中的付款方式为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租赁期限为三年，合同按年度签订一年一签，（合同金额以实际承租期限及面积为准据实结算，最终不得超过采购预算。在合同实施过程中出现预算调整、需求变更或成交单位服务无法达到采购人要求等情况，合同终止，由采购人重新组织采购）</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房屋出租地点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进度款，按照合同约定，达到付款条件起10个工作日内，支付合同总金额的100.0%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（一）服务期满后，由乙方向甲方递交验收通知书，经甲方确认后，组织乙方进行系统验收。本项目验收费用，由乙方自行承担。验收合格后，填写项目验收单作为对本次服务的最终认可。 （二）验收依据： 1、本合同及附加文本； 2、磋商文件、成交供应商的投标文件及澄清（承诺）函； 3、国家相应的标准、规范。</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1、双方应严格遵守本协议的各项规定，任何一方违反本协议的规定，除本协议另有约定外，违约方应向对方支付按合同总额10%违约金。 2、因违约方违约给守约方造成损失的，违约方应承担违约责任，并向守约方赔偿各种损失，包括但不限于守约方为追索该损失而发生的律师代理费、诉讼费、仲裁费、证据调查费、保全费、保全担保费等费用。 3、甲乙双方在合同存续期内提前收回或取消租赁房屋，双方应结清本合同约定的各项费用后，按合同总额10%的违约金进行适当补偿。 4、乙方有下列情形之一的，甲方有权单方解除合同，乙方应在该情形发生后 5 日内退回预收的租金余额，并按照本合同房屋租金总额的 10%向甲方支付违约金。若支付的违约金不足抵付甲方损失的，乙方还应负责赔偿。 （1）未按约定时间交付租赁房屋达7日； （2）乙方无权出租房屋或交付的房屋不符合合同约定严重影响甲方使用或者危及甲方安全或健康； （3）不承担约定的维修义务或不交纳应当由乙方承担的各项费用致使甲方无法正常使用租赁房屋。 合同争议解决的方式 ： 本合同在履行过程中发生的争议，由甲、乙双方当事人协商解决，协商不成的按下列第（二）种方式解决： （一）提交西安仲裁委员会仲裁； （二）依法向房屋所在地人民法院起诉。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标的对应的中小企业划分标准所属行业为租赁和商务服务业。租赁和商务服务业的划定标准为：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2、需要落实的政府采购政策： （1）《国务院办公厅关于建立政府强制采购节能产品制度的通知》（国办发〔2007〕51号）；（2）《财政部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 （9）《关于扩大政府采购支持绿色建材促进建筑品质提升政策实施范围的通知》（财库〔2022〕35号）；（10）《国务院办公厅关于在政府采购中实施本国产品标准及相关政策的通知》（国办发〔2025〕34号）。3、根据陕西省财政厅关于印发《陕西省预算单位政府采购主体责任清单》的通知中的“应按照采购文件和中标（成交）人投标（响应）文件，在中标（成交）通知书发出之日起 25 日内签订合同，并进行备案和公示。”若招标文件其他地方与此条出现不一致的，以此处的要求为准。 4、中标单位在领取中标通知书时，需提交纸质投标文件正本一份（投标文件为上传至系统后签字盖章的PDF版文件打印版），具体要求详见公告。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二、资格审查三次.docx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应提供税收缴纳凭证及社会保险缴纳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或提供《基本资格条件承诺函》。</w:t>
            </w:r>
          </w:p>
        </w:tc>
        <w:tc>
          <w:tcPr>
            <w:tcW w:type="dxa" w:w="1661"/>
          </w:tcPr>
          <w:p>
            <w:pPr>
              <w:pStyle w:val="null3"/>
            </w:pPr>
            <w:r>
              <w:rPr>
                <w:rFonts w:ascii="仿宋_GB2312" w:hAnsi="仿宋_GB2312" w:cs="仿宋_GB2312" w:eastAsia="仿宋_GB2312"/>
              </w:rPr>
              <w:t>二、资格审查三次.docx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 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提供供应商基本账户银行出具的递交投标文件截止时间前六个月内的资信证明及供应商基本存款账户开户许可证（或基本存款账户信息））或提供专业担保机构出具的投标担保函；或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二、资格审查三次.docx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重大违法记录是指供应商因违法经营受到刑事处罚或者责令停产停业、吊销许可证或者执照、较大数额罚款等行政处罚。供应商需在项目电子化交易系统中按要求上传相应证明文件并进行电子签章或提供《基本资格条件承诺函》。</w:t>
            </w:r>
          </w:p>
        </w:tc>
        <w:tc>
          <w:tcPr>
            <w:tcW w:type="dxa" w:w="1661"/>
          </w:tcPr>
          <w:p>
            <w:pPr>
              <w:pStyle w:val="null3"/>
            </w:pPr>
            <w:r>
              <w:rPr>
                <w:rFonts w:ascii="仿宋_GB2312" w:hAnsi="仿宋_GB2312" w:cs="仿宋_GB2312" w:eastAsia="仿宋_GB2312"/>
              </w:rPr>
              <w:t>二、资格审查三次.docx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具有履行合同所必需的设备和专业技术能力书面声明函：供应商需在项目电子化交易系统中按要求上传相应证明文件并进行电子签章或提供《基本资格条件承诺函》。</w:t>
            </w:r>
          </w:p>
        </w:tc>
        <w:tc>
          <w:tcPr>
            <w:tcW w:type="dxa" w:w="1661"/>
          </w:tcPr>
          <w:p>
            <w:pPr>
              <w:pStyle w:val="null3"/>
            </w:pPr>
            <w:r>
              <w:rPr>
                <w:rFonts w:ascii="仿宋_GB2312" w:hAnsi="仿宋_GB2312" w:cs="仿宋_GB2312" w:eastAsia="仿宋_GB2312"/>
              </w:rPr>
              <w:t>二、资格审查三次.docx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递交截止时间后的网站查询记录为准；</w:t>
            </w:r>
          </w:p>
        </w:tc>
        <w:tc>
          <w:tcPr>
            <w:tcW w:type="dxa" w:w="1661"/>
          </w:tcPr>
          <w:p>
            <w:pPr>
              <w:pStyle w:val="null3"/>
            </w:pPr>
            <w:r>
              <w:rPr>
                <w:rFonts w:ascii="仿宋_GB2312" w:hAnsi="仿宋_GB2312" w:cs="仿宋_GB2312" w:eastAsia="仿宋_GB2312"/>
              </w:rPr>
              <w:t>二、资格审查三次.docx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投标人按照招标文件要求上传投标文件，服务内容符合单一来源采购文件3.2.2服务要求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审小组认为供应商的报价明显低于其他实质性响应的供应商报价，有可能影响产品质量或者不能诚信履约的，评审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评审小组应当将其响应文件作为无效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 六、报价明细表三次.docx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供应商不存在有法律、规章、规范性文件和单一来源采购文件规定的其他无效情形，否则按无效响应处理。</w:t>
            </w:r>
          </w:p>
        </w:tc>
        <w:tc>
          <w:tcPr>
            <w:tcW w:type="dxa" w:w="1661"/>
          </w:tcPr>
          <w:p>
            <w:pPr>
              <w:pStyle w:val="null3"/>
            </w:pPr>
            <w:r>
              <w:rPr>
                <w:rFonts w:ascii="仿宋_GB2312" w:hAnsi="仿宋_GB2312" w:cs="仿宋_GB2312" w:eastAsia="仿宋_GB2312"/>
              </w:rPr>
              <w:t>二、资格审查三次.docx 中小企业声明函 报价表 响应文件封面 一、法定代表人授权委托书三次.docx 五、符合本国产品标准的声明函三次.docx 残疾人福利性单位声明函 标的清单 三、商务和技术响应三次.docx 四、承诺书.docx 响应函 六、报价明细表三次.docx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报价唯一，投标总报价及单价报价均未超过采购预算或限价</w:t>
            </w:r>
          </w:p>
        </w:tc>
        <w:tc>
          <w:tcPr>
            <w:tcW w:type="dxa" w:w="1661"/>
          </w:tcPr>
          <w:p>
            <w:pPr>
              <w:pStyle w:val="null3"/>
            </w:pPr>
            <w:r>
              <w:rPr>
                <w:rFonts w:ascii="仿宋_GB2312" w:hAnsi="仿宋_GB2312" w:cs="仿宋_GB2312" w:eastAsia="仿宋_GB2312"/>
              </w:rPr>
              <w:t>标的清单 报价表 六、报价明细表三次.docx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符合文件要求</w:t>
            </w:r>
          </w:p>
        </w:tc>
        <w:tc>
          <w:tcPr>
            <w:tcW w:type="dxa" w:w="1661"/>
          </w:tcPr>
          <w:p>
            <w:pPr>
              <w:pStyle w:val="null3"/>
            </w:pPr>
            <w:r>
              <w:rPr>
                <w:rFonts w:ascii="仿宋_GB2312" w:hAnsi="仿宋_GB2312" w:cs="仿宋_GB2312" w:eastAsia="仿宋_GB2312"/>
              </w:rPr>
              <w:t>三、商务和技术响应三次.docx 六、报价明细表三次.docx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一、法定代表人授权委托书三次.docx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响应文件签署、盖章均按单一来源采购文件要求签字、盖章</w:t>
            </w:r>
          </w:p>
        </w:tc>
        <w:tc>
          <w:tcPr>
            <w:tcW w:type="dxa" w:w="1661"/>
          </w:tcPr>
          <w:p>
            <w:pPr>
              <w:pStyle w:val="null3"/>
            </w:pPr>
            <w:r>
              <w:rPr>
                <w:rFonts w:ascii="仿宋_GB2312" w:hAnsi="仿宋_GB2312" w:cs="仿宋_GB2312" w:eastAsia="仿宋_GB2312"/>
              </w:rPr>
              <w:t>二、资格审查三次.docx 中小企业声明函 报价表 响应文件封面 一、法定代表人授权委托书三次.docx 五、符合本国产品标准的声明函三次.docx 残疾人福利性单位声明函 标的清单 三、商务和技术响应三次.docx 四、承诺书.docx 响应函 六、报价明细表三次.docx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详见附件：一、法定代表人授权委托书三次.docx</w:t>
      </w:r>
    </w:p>
    <w:p>
      <w:pPr>
        <w:pStyle w:val="null3"/>
        <w:ind w:firstLine="960"/>
      </w:pPr>
      <w:r>
        <w:rPr>
          <w:rFonts w:ascii="仿宋_GB2312" w:hAnsi="仿宋_GB2312" w:cs="仿宋_GB2312" w:eastAsia="仿宋_GB2312"/>
        </w:rPr>
        <w:t>详见附件：二、资格审查三次.docx</w:t>
      </w:r>
    </w:p>
    <w:p>
      <w:pPr>
        <w:pStyle w:val="null3"/>
        <w:ind w:firstLine="960"/>
      </w:pPr>
      <w:r>
        <w:rPr>
          <w:rFonts w:ascii="仿宋_GB2312" w:hAnsi="仿宋_GB2312" w:cs="仿宋_GB2312" w:eastAsia="仿宋_GB2312"/>
        </w:rPr>
        <w:t>详见附件：三、商务和技术响应三次.docx</w:t>
      </w:r>
    </w:p>
    <w:p>
      <w:pPr>
        <w:pStyle w:val="null3"/>
        <w:ind w:firstLine="960"/>
      </w:pPr>
      <w:r>
        <w:rPr>
          <w:rFonts w:ascii="仿宋_GB2312" w:hAnsi="仿宋_GB2312" w:cs="仿宋_GB2312" w:eastAsia="仿宋_GB2312"/>
        </w:rPr>
        <w:t>详见附件：四、承诺书.docx</w:t>
      </w:r>
    </w:p>
    <w:p>
      <w:pPr>
        <w:pStyle w:val="null3"/>
        <w:ind w:firstLine="960"/>
      </w:pPr>
      <w:r>
        <w:rPr>
          <w:rFonts w:ascii="仿宋_GB2312" w:hAnsi="仿宋_GB2312" w:cs="仿宋_GB2312" w:eastAsia="仿宋_GB2312"/>
        </w:rPr>
        <w:t>详见附件：五、符合本国产品标准的声明函三次.docx</w:t>
      </w:r>
    </w:p>
    <w:p>
      <w:pPr>
        <w:pStyle w:val="null3"/>
        <w:ind w:firstLine="960"/>
      </w:pPr>
      <w:r>
        <w:rPr>
          <w:rFonts w:ascii="仿宋_GB2312" w:hAnsi="仿宋_GB2312" w:cs="仿宋_GB2312" w:eastAsia="仿宋_GB2312"/>
        </w:rPr>
        <w:t>详见附件：六、报价明细表三次.docx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详见附件：拟签订合同文本三次.docx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