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版本号：TZZB-HZ-2026094C.1.2B120260521001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南郑区乡镇垃圾填埋场环境隐患调查评估服务采购项目(二次)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TZZB-HZ-2026094C.1.2B1</w:t>
      </w:r>
      <w:r>
        <w:br/>
      </w:r>
      <w:r>
        <w:br/>
      </w:r>
      <w:r>
        <w:br/>
      </w:r>
    </w:p>
    <w:p>
      <w:pPr>
        <w:pStyle w:val="null3"/>
        <w:jc w:val="center"/>
        <w:outlineLvl w:val="2"/>
      </w:pPr>
      <w:r>
        <w:rPr>
          <w:rFonts w:ascii="仿宋_GB2312" w:hAnsi="仿宋_GB2312" w:cs="仿宋_GB2312" w:eastAsia="仿宋_GB2312"/>
          <w:sz w:val="28"/>
          <w:b/>
        </w:rPr>
        <w:t>汉中市生态环境局南郑分局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汉中市生态环境局南郑分局</w:t>
      </w:r>
      <w:r>
        <w:rPr>
          <w:rFonts w:ascii="仿宋_GB2312" w:hAnsi="仿宋_GB2312" w:cs="仿宋_GB2312" w:eastAsia="仿宋_GB2312"/>
        </w:rPr>
        <w:t>委托，拟对</w:t>
      </w:r>
      <w:r>
        <w:rPr>
          <w:rFonts w:ascii="仿宋_GB2312" w:hAnsi="仿宋_GB2312" w:cs="仿宋_GB2312" w:eastAsia="仿宋_GB2312"/>
        </w:rPr>
        <w:t>南郑区乡镇垃圾填埋场环境隐患调查评估服务采购项目(二次)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TZZB-HZ-2026094C.1.2B1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南郑区乡镇垃圾填埋场环境隐患调查评估服务采购项目(二次)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南郑区乡镇垃圾填埋场环境隐患调查评估服务采购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采购包1（采购包1：南郑区乡镇垃圾填埋场环境隐患调查评估服务采购（东片区7个乡镇垃圾填埋场开展环境监测工作））：属于专门面向中小企业采购。</w:t>
      </w:r>
    </w:p>
    <w:p>
      <w:pPr>
        <w:pStyle w:val="null3"/>
      </w:pPr>
      <w:r>
        <w:rPr>
          <w:rFonts w:ascii="仿宋_GB2312" w:hAnsi="仿宋_GB2312" w:cs="仿宋_GB2312" w:eastAsia="仿宋_GB2312"/>
        </w:rPr>
        <w:t>采购包2（采购包2：南郑区乡镇垃圾填埋场环境隐患调查评估服务采购（西片区7个乡镇垃圾填埋场开展环境监测工作））：属于专门面向中小企业采购。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2、汉中市政府采购供应商资格承诺：供应商须提供《汉中市政府采购供应商资格承诺函》。</w:t>
      </w:r>
    </w:p>
    <w:p>
      <w:pPr>
        <w:pStyle w:val="null3"/>
      </w:pPr>
      <w:r>
        <w:rPr>
          <w:rFonts w:ascii="仿宋_GB2312" w:hAnsi="仿宋_GB2312" w:cs="仿宋_GB2312" w:eastAsia="仿宋_GB2312"/>
        </w:rPr>
        <w:t>3、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4、供应商资质要求：供应商需具备有效期内的中国计量认证CMA资质。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2、汉中市政府采购供应商资格承诺：供应商须提供《汉中市政府采购供应商资格承诺函》。</w:t>
      </w:r>
    </w:p>
    <w:p>
      <w:pPr>
        <w:pStyle w:val="null3"/>
      </w:pPr>
      <w:r>
        <w:rPr>
          <w:rFonts w:ascii="仿宋_GB2312" w:hAnsi="仿宋_GB2312" w:cs="仿宋_GB2312" w:eastAsia="仿宋_GB2312"/>
        </w:rPr>
        <w:t>3、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4、供应商资质要求：供应商需具备有效期内的中国计量认证CMA资质。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汉中市南郑区汉山街道办水井巷4号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采购包1：325,000.00元</w:t>
            </w:r>
          </w:p>
          <w:p>
            <w:pPr>
              <w:pStyle w:val="null3"/>
            </w:pPr>
            <w:r>
              <w:rPr>
                <w:rFonts w:ascii="仿宋_GB2312" w:hAnsi="仿宋_GB2312" w:cs="仿宋_GB2312" w:eastAsia="仿宋_GB2312"/>
              </w:rPr>
              <w:t>采购包2：325,000.00元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代理服务费收费标准：按合同约定执行；代理服务费缴纳账号：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汉中市生态环境局南郑分局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南郑区乡镇垃圾填埋场环境隐患调查评估服务采购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东片区乡镇垃圾填埋场环境隐患调查评估服务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西片区乡镇垃圾填埋场环境隐患调查评估服务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标的名称：东片区乡镇垃圾填埋场环境隐患调查评估服务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（一）项目</w:t>
            </w:r>
            <w:r>
              <w:rPr>
                <w:rFonts w:ascii="仿宋_GB2312" w:hAnsi="仿宋_GB2312" w:cs="仿宋_GB2312" w:eastAsia="仿宋_GB2312"/>
                <w:sz w:val="21"/>
                <w:b/>
                <w:color w:val="000000"/>
              </w:rPr>
              <w:t>概况</w:t>
            </w:r>
          </w:p>
          <w:p>
            <w:pPr>
              <w:pStyle w:val="null3"/>
              <w:ind w:firstLine="210"/>
              <w:jc w:val="both"/>
            </w:pPr>
            <w:r>
              <w:rPr>
                <w:rFonts w:ascii="仿宋_GB2312" w:hAnsi="仿宋_GB2312" w:cs="仿宋_GB2312" w:eastAsia="仿宋_GB2312"/>
                <w:sz w:val="21"/>
                <w:color w:val="000000"/>
              </w:rPr>
              <w:t>按照垃圾填埋场环境监测有关规定，对</w:t>
            </w:r>
            <w:r>
              <w:rPr>
                <w:rFonts w:ascii="仿宋_GB2312" w:hAnsi="仿宋_GB2312" w:cs="仿宋_GB2312" w:eastAsia="仿宋_GB2312"/>
                <w:sz w:val="21"/>
                <w:color w:val="000000"/>
              </w:rPr>
              <w:t>本采购包</w:t>
            </w:r>
            <w:r>
              <w:rPr>
                <w:rFonts w:ascii="仿宋_GB2312" w:hAnsi="仿宋_GB2312" w:cs="仿宋_GB2312" w:eastAsia="仿宋_GB2312"/>
                <w:sz w:val="21"/>
                <w:color w:val="000000"/>
              </w:rPr>
              <w:t>辖区</w:t>
            </w:r>
            <w:r>
              <w:rPr>
                <w:rFonts w:ascii="仿宋_GB2312" w:hAnsi="仿宋_GB2312" w:cs="仿宋_GB2312" w:eastAsia="仿宋_GB2312"/>
                <w:sz w:val="21"/>
                <w:color w:val="000000"/>
              </w:rPr>
              <w:t>内</w:t>
            </w:r>
            <w:r>
              <w:rPr>
                <w:rFonts w:ascii="仿宋_GB2312" w:hAnsi="仿宋_GB2312" w:cs="仿宋_GB2312" w:eastAsia="仿宋_GB2312"/>
                <w:sz w:val="21"/>
                <w:color w:val="000000"/>
              </w:rPr>
              <w:t>7</w:t>
            </w:r>
            <w:r>
              <w:rPr>
                <w:rFonts w:ascii="仿宋_GB2312" w:hAnsi="仿宋_GB2312" w:cs="仿宋_GB2312" w:eastAsia="仿宋_GB2312"/>
                <w:sz w:val="21"/>
                <w:color w:val="000000"/>
              </w:rPr>
              <w:t>个乡镇垃圾填埋场开展环境监测工作</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制定监测方案，通过采购人审核；</w:t>
            </w:r>
          </w:p>
          <w:p>
            <w:pPr>
              <w:pStyle w:val="null3"/>
              <w:ind w:firstLine="420"/>
              <w:jc w:val="both"/>
            </w:pPr>
            <w:r>
              <w:rPr>
                <w:rFonts w:ascii="仿宋_GB2312" w:hAnsi="仿宋_GB2312" w:cs="仿宋_GB2312" w:eastAsia="仿宋_GB2312"/>
                <w:sz w:val="21"/>
                <w:color w:val="000000"/>
              </w:rPr>
              <w:t>2、按</w:t>
            </w:r>
            <w:r>
              <w:rPr>
                <w:rFonts w:ascii="仿宋_GB2312" w:hAnsi="仿宋_GB2312" w:cs="仿宋_GB2312" w:eastAsia="仿宋_GB2312"/>
                <w:sz w:val="21"/>
                <w:color w:val="000000"/>
              </w:rPr>
              <w:t>照监测方案开展1次地下水监测（含建设地下水检测井）、地表水监测、甲烷和恶臭气体监测</w:t>
            </w:r>
            <w:r>
              <w:rPr>
                <w:rFonts w:ascii="仿宋_GB2312" w:hAnsi="仿宋_GB2312" w:cs="仿宋_GB2312" w:eastAsia="仿宋_GB2312"/>
                <w:sz w:val="21"/>
                <w:color w:val="000000"/>
              </w:rPr>
              <w:t>等；</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编制</w:t>
            </w:r>
            <w:r>
              <w:rPr>
                <w:rFonts w:ascii="仿宋_GB2312" w:hAnsi="仿宋_GB2312" w:cs="仿宋_GB2312" w:eastAsia="仿宋_GB2312"/>
                <w:sz w:val="21"/>
                <w:color w:val="000000"/>
              </w:rPr>
              <w:t>本采购包7</w:t>
            </w:r>
            <w:r>
              <w:rPr>
                <w:rFonts w:ascii="仿宋_GB2312" w:hAnsi="仿宋_GB2312" w:cs="仿宋_GB2312" w:eastAsia="仿宋_GB2312"/>
                <w:sz w:val="21"/>
                <w:color w:val="000000"/>
              </w:rPr>
              <w:t>个乡镇垃圾填埋场环境污染</w:t>
            </w:r>
            <w:r>
              <w:rPr>
                <w:rFonts w:ascii="仿宋_GB2312" w:hAnsi="仿宋_GB2312" w:cs="仿宋_GB2312" w:eastAsia="仿宋_GB2312"/>
                <w:sz w:val="21"/>
                <w:color w:val="000000"/>
              </w:rPr>
              <w:t>隐患风险</w:t>
            </w:r>
            <w:r>
              <w:rPr>
                <w:rFonts w:ascii="仿宋_GB2312" w:hAnsi="仿宋_GB2312" w:cs="仿宋_GB2312" w:eastAsia="仿宋_GB2312"/>
                <w:sz w:val="21"/>
                <w:color w:val="000000"/>
              </w:rPr>
              <w:t>评估报告，符合相关国家标准和技术规范（通过评审）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服务范围</w:t>
            </w:r>
          </w:p>
          <w:p>
            <w:pPr>
              <w:pStyle w:val="null3"/>
              <w:ind w:firstLine="420"/>
              <w:jc w:val="both"/>
            </w:pPr>
            <w:r>
              <w:rPr>
                <w:rFonts w:ascii="仿宋_GB2312" w:hAnsi="仿宋_GB2312" w:cs="仿宋_GB2312" w:eastAsia="仿宋_GB2312"/>
                <w:sz w:val="21"/>
                <w:color w:val="000000"/>
              </w:rPr>
              <w:t>1、本采购包1</w:t>
            </w:r>
            <w:r>
              <w:rPr>
                <w:rFonts w:ascii="仿宋_GB2312" w:hAnsi="仿宋_GB2312" w:cs="仿宋_GB2312" w:eastAsia="仿宋_GB2312"/>
                <w:sz w:val="21"/>
                <w:color w:val="000000"/>
              </w:rPr>
              <w:t>东片区</w:t>
            </w:r>
            <w:r>
              <w:rPr>
                <w:rFonts w:ascii="仿宋_GB2312" w:hAnsi="仿宋_GB2312" w:cs="仿宋_GB2312" w:eastAsia="仿宋_GB2312"/>
                <w:sz w:val="21"/>
                <w:color w:val="000000"/>
              </w:rPr>
              <w:t>为圣水镇（1个填埋场）、法镇（1个填埋场）、湘水镇（1个填埋场）、牟家坝镇（1个填埋场）、碑坝镇（3个填埋场）。</w:t>
            </w:r>
          </w:p>
          <w:p>
            <w:pPr>
              <w:pStyle w:val="null3"/>
              <w:ind w:firstLine="420"/>
              <w:jc w:val="both"/>
            </w:pPr>
            <w:r>
              <w:rPr>
                <w:rFonts w:ascii="仿宋_GB2312" w:hAnsi="仿宋_GB2312" w:cs="仿宋_GB2312" w:eastAsia="仿宋_GB2312"/>
                <w:sz w:val="21"/>
                <w:color w:val="000000"/>
              </w:rPr>
              <w:t>2、覆盖采购单位指定乡镇辖区内所有垃圾填埋场。</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）服务</w:t>
            </w:r>
            <w:r>
              <w:rPr>
                <w:rFonts w:ascii="仿宋_GB2312" w:hAnsi="仿宋_GB2312" w:cs="仿宋_GB2312" w:eastAsia="仿宋_GB2312"/>
                <w:sz w:val="21"/>
                <w:b/>
                <w:color w:val="000000"/>
              </w:rPr>
              <w:t>要求服务标准</w:t>
            </w:r>
          </w:p>
          <w:p>
            <w:pPr>
              <w:pStyle w:val="null3"/>
              <w:ind w:firstLine="420"/>
              <w:jc w:val="both"/>
            </w:pPr>
            <w:r>
              <w:rPr>
                <w:rFonts w:ascii="仿宋_GB2312" w:hAnsi="仿宋_GB2312" w:cs="仿宋_GB2312" w:eastAsia="仿宋_GB2312"/>
                <w:sz w:val="21"/>
                <w:color w:val="000000"/>
              </w:rPr>
              <w:t>本次调查评估需严格遵循《生活垃圾填埋场污染控制标准》（GB16889-2024）、《生活垃圾卫生填埋场环境监测技术要求》（GB/T 18772）、《生活垃圾填埋场环境污染隐患风险评估与治理技术指南》（建办城〔2025〕60号）等相关国家、行业标准及规范，结合乡镇垃圾填埋场规模小、设施相对简陋、管理水平有限的特点，重点开展以下工作：</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基础信息调查与梳理</w:t>
            </w:r>
          </w:p>
          <w:p>
            <w:pPr>
              <w:pStyle w:val="null3"/>
              <w:ind w:firstLine="420"/>
              <w:jc w:val="both"/>
            </w:pPr>
            <w:r>
              <w:rPr>
                <w:rFonts w:ascii="仿宋_GB2312" w:hAnsi="仿宋_GB2312" w:cs="仿宋_GB2312" w:eastAsia="仿宋_GB2312"/>
                <w:sz w:val="21"/>
                <w:color w:val="000000"/>
              </w:rPr>
              <w:t>收集整理各填埋场相关资料，包括但不限于设计文件、施工记录、运营台账、环评批复、排污许可证、竣工验收报告等；实地核查填埋场地理位置、占地面积、填埋规模、填埋废物类型、填埋量、填埋高度、运行年限、封场状态等基础信息；建立完整的填埋场基础信息台账，明确各填埋场基本情况、设施配置及运行现状。</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现场隐患排查</w:t>
            </w:r>
          </w:p>
          <w:p>
            <w:pPr>
              <w:pStyle w:val="null3"/>
              <w:ind w:firstLine="420"/>
              <w:jc w:val="both"/>
            </w:pPr>
            <w:r>
              <w:rPr>
                <w:rFonts w:ascii="仿宋_GB2312" w:hAnsi="仿宋_GB2312" w:cs="仿宋_GB2312" w:eastAsia="仿宋_GB2312"/>
                <w:sz w:val="21"/>
                <w:color w:val="000000"/>
              </w:rPr>
              <w:t>采用现场踏勘、现场检测等方式，全面排查填埋场各类环境隐患，重点涵盖以下4大关键环节：</w:t>
            </w:r>
          </w:p>
          <w:p>
            <w:pPr>
              <w:pStyle w:val="null3"/>
              <w:ind w:firstLine="420"/>
              <w:jc w:val="both"/>
            </w:pPr>
            <w:r>
              <w:rPr>
                <w:rFonts w:ascii="仿宋_GB2312" w:hAnsi="仿宋_GB2312" w:cs="仿宋_GB2312" w:eastAsia="仿宋_GB2312"/>
                <w:sz w:val="21"/>
                <w:color w:val="000000"/>
              </w:rPr>
              <w:t>（1）渗滤液系统隐患排查：排查渗滤液收集导排系统（管道、泵体、阀门等）是否存在缺失、堵塞、破损、运行故障等问题；评估渗滤液处理设施运行状况，核查处理能力是否满足实际需求，出水水质是否符合GB16889-2024标准；核查调节池容积是否充足，堆体内渗滤液液位是否符合稳定控制要求，有无积存、溢流风险；排查雨污分流措施设置及执行效果，评估源头雨污分流是否到位。</w:t>
            </w:r>
          </w:p>
          <w:p>
            <w:pPr>
              <w:pStyle w:val="null3"/>
              <w:ind w:firstLine="420"/>
              <w:jc w:val="both"/>
            </w:pPr>
            <w:r>
              <w:rPr>
                <w:rFonts w:ascii="仿宋_GB2312" w:hAnsi="仿宋_GB2312" w:cs="仿宋_GB2312" w:eastAsia="仿宋_GB2312"/>
                <w:sz w:val="21"/>
                <w:color w:val="000000"/>
              </w:rPr>
              <w:t>（2）周边环境影响排查：排查填埋场周边土壤、地下水、地表水、环境空气污染情况。按规范布设土壤、地下水监测点位，采集样品进行检测，分析特征污染物超标程度及扩散范围；对场界内地表水总排放口、周边环境空气进行采样检测。</w:t>
            </w:r>
          </w:p>
          <w:p>
            <w:pPr>
              <w:pStyle w:val="null3"/>
              <w:ind w:firstLine="420"/>
              <w:jc w:val="both"/>
            </w:pPr>
            <w:r>
              <w:rPr>
                <w:rFonts w:ascii="仿宋_GB2312" w:hAnsi="仿宋_GB2312" w:cs="仿宋_GB2312" w:eastAsia="仿宋_GB2312"/>
                <w:sz w:val="21"/>
                <w:color w:val="000000"/>
              </w:rPr>
              <w:t>（3）运行管理隐患排查：依据相关规范要求，调查填埋场日常运营管理情况，包括作业流程、台账记录、人员配备、应急管理等，排查是否存在运营不规范、台账不完整、应急设施不完善等问题，建立运行管理问题台账。</w:t>
            </w:r>
          </w:p>
          <w:p>
            <w:pPr>
              <w:pStyle w:val="null3"/>
              <w:ind w:firstLine="420"/>
              <w:jc w:val="both"/>
            </w:pPr>
            <w:r>
              <w:rPr>
                <w:rFonts w:ascii="仿宋_GB2312" w:hAnsi="仿宋_GB2312" w:cs="仿宋_GB2312" w:eastAsia="仿宋_GB2312"/>
                <w:sz w:val="21"/>
                <w:color w:val="000000"/>
              </w:rPr>
              <w:t>（4）停用及封场填埋场专项排查：核查停用填埋场是否启动规范化封场治理，评估覆盖层完整性、雨污分流效果及渗滤液产生风险；核查封场填埋场覆盖层、排水系统、监测系统运行情况，防止隐患反弹。</w:t>
            </w:r>
          </w:p>
          <w:p>
            <w:pPr>
              <w:pStyle w:val="null3"/>
              <w:jc w:val="both"/>
            </w:pPr>
            <w:r>
              <w:rPr>
                <w:rFonts w:ascii="仿宋_GB2312" w:hAnsi="仿宋_GB2312" w:cs="仿宋_GB2312" w:eastAsia="仿宋_GB2312"/>
                <w:sz w:val="21"/>
                <w:b/>
                <w:color w:val="000000"/>
              </w:rPr>
              <w:t>3、编制监测方案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）依据以上等相关规范和场地情况编制填埋场监测方案。</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采样与检测</w:t>
            </w:r>
          </w:p>
          <w:p>
            <w:pPr>
              <w:pStyle w:val="null3"/>
              <w:ind w:firstLine="420"/>
              <w:jc w:val="both"/>
            </w:pPr>
            <w:r>
              <w:rPr>
                <w:rFonts w:ascii="仿宋_GB2312" w:hAnsi="仿宋_GB2312" w:cs="仿宋_GB2312" w:eastAsia="仿宋_GB2312"/>
                <w:sz w:val="21"/>
                <w:color w:val="000000"/>
              </w:rPr>
              <w:t>按照相关标准规范开展采样与检测工作，确保检测数据真实、准确、有效，具体包括：</w:t>
            </w:r>
          </w:p>
          <w:p>
            <w:pPr>
              <w:pStyle w:val="null3"/>
              <w:ind w:firstLine="420"/>
              <w:jc w:val="both"/>
            </w:pPr>
            <w:r>
              <w:rPr>
                <w:rFonts w:ascii="仿宋_GB2312" w:hAnsi="仿宋_GB2312" w:cs="仿宋_GB2312" w:eastAsia="仿宋_GB2312"/>
                <w:sz w:val="21"/>
                <w:color w:val="000000"/>
              </w:rPr>
              <w:t>（1）地下水采样检测：在填埋场上游、下游布设（含建设）对照点、污染扩散井，结合地形和水文地质条件布设敏感受体监测点，检测pH值、耗氧量、氨氮、重金属等特征指标。</w:t>
            </w:r>
          </w:p>
          <w:p>
            <w:pPr>
              <w:pStyle w:val="null3"/>
              <w:ind w:firstLine="420"/>
              <w:jc w:val="both"/>
            </w:pPr>
            <w:r>
              <w:rPr>
                <w:rFonts w:ascii="仿宋_GB2312" w:hAnsi="仿宋_GB2312" w:cs="仿宋_GB2312" w:eastAsia="仿宋_GB2312"/>
                <w:sz w:val="21"/>
                <w:color w:val="000000"/>
              </w:rPr>
              <w:t>（2）填埋气及环境空气采样检测：监测堆体表面、导排管排放口及有限空间内甲烷体积分数，在填埋场四周设置环境空气监测点位，检测大气污染物浓度，符合相关排放标准要求。</w:t>
            </w:r>
          </w:p>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隐患风险分级评估</w:t>
            </w:r>
          </w:p>
          <w:p>
            <w:pPr>
              <w:pStyle w:val="null3"/>
              <w:ind w:firstLine="420"/>
              <w:jc w:val="both"/>
            </w:pPr>
            <w:r>
              <w:rPr>
                <w:rFonts w:ascii="仿宋_GB2312" w:hAnsi="仿宋_GB2312" w:cs="仿宋_GB2312" w:eastAsia="仿宋_GB2312"/>
                <w:sz w:val="21"/>
                <w:color w:val="000000"/>
              </w:rPr>
              <w:t>采用“突出隐患重要因素一票否决+综合风险得分”的方法，结合现场排查、检测数据及相关标准规范，对排查发现的环境隐患风险因素进行量化评分，划分高风险、中风险、低风险、基本无风险四个等级。</w:t>
            </w:r>
          </w:p>
          <w:p>
            <w:pPr>
              <w:pStyle w:val="null3"/>
              <w:jc w:val="both"/>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成果文件编制</w:t>
            </w:r>
          </w:p>
          <w:p>
            <w:pPr>
              <w:pStyle w:val="null3"/>
              <w:ind w:firstLine="420"/>
              <w:jc w:val="both"/>
            </w:pPr>
            <w:r>
              <w:rPr>
                <w:rFonts w:ascii="仿宋_GB2312" w:hAnsi="仿宋_GB2312" w:cs="仿宋_GB2312" w:eastAsia="仿宋_GB2312"/>
                <w:sz w:val="21"/>
                <w:color w:val="000000"/>
              </w:rPr>
              <w:t>编制完整的《乡镇生活垃圾填埋场环境污染隐患风险评估报告》（除前言和县域概况等共性内容外，每个填埋场所有内容需为独立章节），同时提交相关附件材料，成果文件需满足采购单位及相关主管部门（生态环境、城管等）审核要求，具体包括：</w:t>
            </w:r>
          </w:p>
          <w:p>
            <w:pPr>
              <w:pStyle w:val="null3"/>
              <w:ind w:firstLine="420"/>
              <w:jc w:val="both"/>
            </w:pPr>
            <w:r>
              <w:rPr>
                <w:rFonts w:ascii="仿宋_GB2312" w:hAnsi="仿宋_GB2312" w:cs="仿宋_GB2312" w:eastAsia="仿宋_GB2312"/>
                <w:sz w:val="21"/>
                <w:color w:val="000000"/>
              </w:rPr>
              <w:t>（1）调查评估报告正本、副本各三份（含纸质版及电子版），报告需涵盖项目概况、基础信息调查、现场排查结果、采样检测数据、隐患风险分级评估、结论等核心内容，数据详实、分析深入、建议可行等。</w:t>
            </w:r>
          </w:p>
          <w:p>
            <w:pPr>
              <w:pStyle w:val="null3"/>
              <w:ind w:firstLine="420"/>
              <w:jc w:val="both"/>
            </w:pPr>
            <w:r>
              <w:rPr>
                <w:rFonts w:ascii="仿宋_GB2312" w:hAnsi="仿宋_GB2312" w:cs="仿宋_GB2312" w:eastAsia="仿宋_GB2312"/>
                <w:sz w:val="21"/>
                <w:color w:val="000000"/>
              </w:rPr>
              <w:t>（2）附件材料：包括填埋场基础信息台账、隐患排查台账、运行管理问题台账、采样检测报告、现场照片及影像资料、相关标准规范引用清单等。</w:t>
            </w:r>
          </w:p>
          <w:p>
            <w:pPr>
              <w:pStyle w:val="null3"/>
              <w:ind w:firstLine="420"/>
              <w:jc w:val="both"/>
            </w:pPr>
            <w:r>
              <w:rPr>
                <w:rFonts w:ascii="仿宋_GB2312" w:hAnsi="仿宋_GB2312" w:cs="仿宋_GB2312" w:eastAsia="仿宋_GB2312"/>
                <w:sz w:val="21"/>
                <w:color w:val="000000"/>
              </w:rPr>
              <w:t>（3）所有成果文件需按规范装订成册，电子版需提交可编辑版本及PDF版本，确保成果可追溯、可复用。</w:t>
            </w:r>
          </w:p>
          <w:p>
            <w:pPr>
              <w:pStyle w:val="null3"/>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后续服务要求</w:t>
            </w:r>
          </w:p>
          <w:p>
            <w:pPr>
              <w:pStyle w:val="null3"/>
              <w:ind w:firstLine="420"/>
              <w:jc w:val="both"/>
            </w:pPr>
            <w:r>
              <w:rPr>
                <w:rFonts w:ascii="仿宋_GB2312" w:hAnsi="仿宋_GB2312" w:cs="仿宋_GB2312" w:eastAsia="仿宋_GB2312"/>
                <w:sz w:val="21"/>
                <w:color w:val="000000"/>
              </w:rPr>
              <w:t>（1）成交供应商需配合采购单位及相关主管部门对成果文件进行审核，根据审核意见在10天内完成修改完善，直至通过审核。</w:t>
            </w:r>
          </w:p>
          <w:p>
            <w:pPr>
              <w:pStyle w:val="null3"/>
              <w:ind w:firstLine="420"/>
              <w:jc w:val="both"/>
            </w:pPr>
            <w:r>
              <w:rPr>
                <w:rFonts w:ascii="仿宋_GB2312" w:hAnsi="仿宋_GB2312" w:cs="仿宋_GB2312" w:eastAsia="仿宋_GB2312"/>
                <w:sz w:val="21"/>
                <w:color w:val="000000"/>
              </w:rPr>
              <w:t>（2）提供不少于三个月的后续技术咨询服务，解答采购单位在隐患整改、“一场一策”治理方案编制等过程中遇到的相关技术问题。</w:t>
            </w:r>
          </w:p>
          <w:p>
            <w:pPr>
              <w:pStyle w:val="null3"/>
              <w:ind w:firstLine="420"/>
              <w:jc w:val="both"/>
            </w:pPr>
            <w:r>
              <w:rPr>
                <w:rFonts w:ascii="仿宋_GB2312" w:hAnsi="仿宋_GB2312" w:cs="仿宋_GB2312" w:eastAsia="仿宋_GB2312"/>
                <w:sz w:val="21"/>
                <w:color w:val="000000"/>
              </w:rPr>
              <w:t>（3）配合采购单位开展隐患整改验收相关技术支持工作，提供必要的技术指导。</w:t>
            </w:r>
          </w:p>
          <w:p>
            <w:pPr>
              <w:pStyle w:val="null3"/>
              <w:ind w:firstLine="420"/>
              <w:jc w:val="both"/>
            </w:pPr>
            <w:r>
              <w:rPr>
                <w:rFonts w:ascii="仿宋_GB2312" w:hAnsi="仿宋_GB2312" w:cs="仿宋_GB2312" w:eastAsia="仿宋_GB2312"/>
                <w:sz w:val="21"/>
                <w:color w:val="000000"/>
              </w:rPr>
              <w:t>（4）后期若有上级部门认为检测方案及检测工作存在不符合要求等情况，成交供应商需无偿按上级部门要求进行方案修订并完成相应的检测工作和报告文本修改。</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）服务质量要求</w:t>
            </w:r>
          </w:p>
          <w:p>
            <w:pPr>
              <w:pStyle w:val="null3"/>
              <w:ind w:firstLine="420"/>
              <w:jc w:val="both"/>
            </w:pPr>
            <w:r>
              <w:rPr>
                <w:rFonts w:ascii="仿宋_GB2312" w:hAnsi="仿宋_GB2312" w:cs="仿宋_GB2312" w:eastAsia="仿宋_GB2312"/>
                <w:sz w:val="21"/>
                <w:color w:val="000000"/>
              </w:rPr>
              <w:t>1、调查评估工作需严格遵循国家、行业相关标准及规范，确保工作流程合规、检测数据真实准确、评估结论科学客观，成果文件需通过采购单位及相关主管部门审核。</w:t>
            </w:r>
          </w:p>
          <w:p>
            <w:pPr>
              <w:pStyle w:val="null3"/>
              <w:ind w:firstLine="420"/>
              <w:jc w:val="both"/>
            </w:pPr>
            <w:r>
              <w:rPr>
                <w:rFonts w:ascii="仿宋_GB2312" w:hAnsi="仿宋_GB2312" w:cs="仿宋_GB2312" w:eastAsia="仿宋_GB2312"/>
                <w:sz w:val="21"/>
                <w:color w:val="000000"/>
              </w:rPr>
              <w:t>2、采样检测工作需由具备CMA许可使用标志的检验检测机构完成，检测报告需加盖CMA章，确保检测数据合法有效。</w:t>
            </w:r>
          </w:p>
          <w:p>
            <w:pPr>
              <w:pStyle w:val="null3"/>
              <w:ind w:firstLine="420"/>
              <w:jc w:val="both"/>
            </w:pPr>
            <w:r>
              <w:rPr>
                <w:rFonts w:ascii="仿宋_GB2312" w:hAnsi="仿宋_GB2312" w:cs="仿宋_GB2312" w:eastAsia="仿宋_GB2312"/>
                <w:sz w:val="21"/>
                <w:color w:val="000000"/>
              </w:rPr>
              <w:t>3、隐患排查需全面、细致，无遗漏任何潜在隐患，隐患台账需清晰、明确，明确隐患位置、类型、具体表现、风险等级等。</w:t>
            </w:r>
          </w:p>
          <w:p>
            <w:pPr>
              <w:pStyle w:val="null3"/>
              <w:ind w:firstLine="420"/>
              <w:jc w:val="both"/>
            </w:pPr>
            <w:r>
              <w:rPr>
                <w:rFonts w:ascii="仿宋_GB2312" w:hAnsi="仿宋_GB2312" w:cs="仿宋_GB2312" w:eastAsia="仿宋_GB2312"/>
                <w:sz w:val="21"/>
                <w:color w:val="000000"/>
              </w:rPr>
              <w:t>4、整改建议需具有针对性、可操作性和经济性，结合乡镇实际情况，符合相关治理标准，能够有效指导隐患整改工作。</w:t>
            </w:r>
          </w:p>
          <w:p>
            <w:pPr>
              <w:pStyle w:val="null3"/>
              <w:ind w:firstLine="420"/>
              <w:jc w:val="both"/>
            </w:pPr>
            <w:r>
              <w:rPr>
                <w:rFonts w:ascii="仿宋_GB2312" w:hAnsi="仿宋_GB2312" w:cs="仿宋_GB2312" w:eastAsia="仿宋_GB2312"/>
                <w:sz w:val="21"/>
                <w:color w:val="000000"/>
              </w:rPr>
              <w:t>5、成交供应商需建立完善的质量控制体系，对调查、检测、评估、报告编制等各个环节进行严格管控，确保服务质量。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标的名称：西片区乡镇垃圾填埋场环境隐患调查评估服务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（一）项目</w:t>
            </w:r>
            <w:r>
              <w:rPr>
                <w:rFonts w:ascii="仿宋_GB2312" w:hAnsi="仿宋_GB2312" w:cs="仿宋_GB2312" w:eastAsia="仿宋_GB2312"/>
                <w:sz w:val="21"/>
                <w:b/>
                <w:color w:val="000000"/>
              </w:rPr>
              <w:t>概况</w:t>
            </w:r>
          </w:p>
          <w:p>
            <w:pPr>
              <w:pStyle w:val="null3"/>
              <w:ind w:firstLine="210"/>
              <w:jc w:val="both"/>
            </w:pPr>
            <w:r>
              <w:rPr>
                <w:rFonts w:ascii="仿宋_GB2312" w:hAnsi="仿宋_GB2312" w:cs="仿宋_GB2312" w:eastAsia="仿宋_GB2312"/>
                <w:sz w:val="21"/>
                <w:color w:val="000000"/>
              </w:rPr>
              <w:t>按照垃圾填埋场环境监测有关规定，对</w:t>
            </w:r>
            <w:r>
              <w:rPr>
                <w:rFonts w:ascii="仿宋_GB2312" w:hAnsi="仿宋_GB2312" w:cs="仿宋_GB2312" w:eastAsia="仿宋_GB2312"/>
                <w:sz w:val="21"/>
                <w:color w:val="000000"/>
              </w:rPr>
              <w:t>本采购包</w:t>
            </w:r>
            <w:r>
              <w:rPr>
                <w:rFonts w:ascii="仿宋_GB2312" w:hAnsi="仿宋_GB2312" w:cs="仿宋_GB2312" w:eastAsia="仿宋_GB2312"/>
                <w:sz w:val="21"/>
                <w:color w:val="000000"/>
              </w:rPr>
              <w:t>辖区</w:t>
            </w:r>
            <w:r>
              <w:rPr>
                <w:rFonts w:ascii="仿宋_GB2312" w:hAnsi="仿宋_GB2312" w:cs="仿宋_GB2312" w:eastAsia="仿宋_GB2312"/>
                <w:sz w:val="21"/>
                <w:color w:val="000000"/>
              </w:rPr>
              <w:t>内</w:t>
            </w:r>
            <w:r>
              <w:rPr>
                <w:rFonts w:ascii="仿宋_GB2312" w:hAnsi="仿宋_GB2312" w:cs="仿宋_GB2312" w:eastAsia="仿宋_GB2312"/>
                <w:sz w:val="21"/>
                <w:color w:val="000000"/>
              </w:rPr>
              <w:t>7</w:t>
            </w:r>
            <w:r>
              <w:rPr>
                <w:rFonts w:ascii="仿宋_GB2312" w:hAnsi="仿宋_GB2312" w:cs="仿宋_GB2312" w:eastAsia="仿宋_GB2312"/>
                <w:sz w:val="21"/>
                <w:color w:val="000000"/>
              </w:rPr>
              <w:t>个乡镇垃圾填埋场开展环境监测工作</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制定监测方案，通过采购人审核；</w:t>
            </w:r>
          </w:p>
          <w:p>
            <w:pPr>
              <w:pStyle w:val="null3"/>
              <w:ind w:firstLine="420"/>
              <w:jc w:val="both"/>
            </w:pPr>
            <w:r>
              <w:rPr>
                <w:rFonts w:ascii="仿宋_GB2312" w:hAnsi="仿宋_GB2312" w:cs="仿宋_GB2312" w:eastAsia="仿宋_GB2312"/>
                <w:sz w:val="21"/>
                <w:color w:val="000000"/>
              </w:rPr>
              <w:t>2、按</w:t>
            </w:r>
            <w:r>
              <w:rPr>
                <w:rFonts w:ascii="仿宋_GB2312" w:hAnsi="仿宋_GB2312" w:cs="仿宋_GB2312" w:eastAsia="仿宋_GB2312"/>
                <w:sz w:val="21"/>
                <w:color w:val="000000"/>
              </w:rPr>
              <w:t>照监测方案开展1次地下水监测（含建设地下水检测井）、地表水监测、甲烷和恶臭气体监测</w:t>
            </w:r>
            <w:r>
              <w:rPr>
                <w:rFonts w:ascii="仿宋_GB2312" w:hAnsi="仿宋_GB2312" w:cs="仿宋_GB2312" w:eastAsia="仿宋_GB2312"/>
                <w:sz w:val="21"/>
                <w:color w:val="000000"/>
              </w:rPr>
              <w:t>等；</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编制</w:t>
            </w:r>
            <w:r>
              <w:rPr>
                <w:rFonts w:ascii="仿宋_GB2312" w:hAnsi="仿宋_GB2312" w:cs="仿宋_GB2312" w:eastAsia="仿宋_GB2312"/>
                <w:sz w:val="21"/>
                <w:color w:val="000000"/>
              </w:rPr>
              <w:t>本采购包7</w:t>
            </w:r>
            <w:r>
              <w:rPr>
                <w:rFonts w:ascii="仿宋_GB2312" w:hAnsi="仿宋_GB2312" w:cs="仿宋_GB2312" w:eastAsia="仿宋_GB2312"/>
                <w:sz w:val="21"/>
                <w:color w:val="000000"/>
              </w:rPr>
              <w:t>个乡镇垃圾填埋场环境污染</w:t>
            </w:r>
            <w:r>
              <w:rPr>
                <w:rFonts w:ascii="仿宋_GB2312" w:hAnsi="仿宋_GB2312" w:cs="仿宋_GB2312" w:eastAsia="仿宋_GB2312"/>
                <w:sz w:val="21"/>
                <w:color w:val="000000"/>
              </w:rPr>
              <w:t>隐患风险</w:t>
            </w:r>
            <w:r>
              <w:rPr>
                <w:rFonts w:ascii="仿宋_GB2312" w:hAnsi="仿宋_GB2312" w:cs="仿宋_GB2312" w:eastAsia="仿宋_GB2312"/>
                <w:sz w:val="21"/>
                <w:color w:val="000000"/>
              </w:rPr>
              <w:t>评估报告，符合相关国家标准和技术规范（通过评审）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服务范围</w:t>
            </w:r>
          </w:p>
          <w:p>
            <w:pPr>
              <w:pStyle w:val="null3"/>
              <w:ind w:firstLine="420"/>
              <w:jc w:val="both"/>
            </w:pPr>
            <w:r>
              <w:rPr>
                <w:rFonts w:ascii="仿宋_GB2312" w:hAnsi="仿宋_GB2312" w:cs="仿宋_GB2312" w:eastAsia="仿宋_GB2312"/>
                <w:sz w:val="21"/>
                <w:color w:val="000000"/>
              </w:rPr>
              <w:t>1、本采购包2</w:t>
            </w:r>
            <w:r>
              <w:rPr>
                <w:rFonts w:ascii="仿宋_GB2312" w:hAnsi="仿宋_GB2312" w:cs="仿宋_GB2312" w:eastAsia="仿宋_GB2312"/>
                <w:sz w:val="21"/>
                <w:color w:val="000000"/>
              </w:rPr>
              <w:t>西片区为</w:t>
            </w:r>
            <w:r>
              <w:rPr>
                <w:rFonts w:ascii="仿宋_GB2312" w:hAnsi="仿宋_GB2312" w:cs="仿宋_GB2312" w:eastAsia="仿宋_GB2312"/>
                <w:sz w:val="21"/>
                <w:color w:val="000000"/>
              </w:rPr>
              <w:t>高台镇（1个填埋场）、新集镇（1个填埋场）、两河镇（1个填埋场）、濂水镇（1个填埋场）、黄官镇（1个填埋场）、黎坪镇（1个填埋场）、红庙镇（1个填埋场）。</w:t>
            </w:r>
          </w:p>
          <w:p>
            <w:pPr>
              <w:pStyle w:val="null3"/>
              <w:ind w:firstLine="420"/>
              <w:jc w:val="both"/>
            </w:pPr>
            <w:r>
              <w:rPr>
                <w:rFonts w:ascii="仿宋_GB2312" w:hAnsi="仿宋_GB2312" w:cs="仿宋_GB2312" w:eastAsia="仿宋_GB2312"/>
                <w:sz w:val="21"/>
                <w:color w:val="000000"/>
              </w:rPr>
              <w:t>2、覆盖采购单位指定乡镇辖区内所有垃圾填埋场。</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）服务</w:t>
            </w:r>
            <w:r>
              <w:rPr>
                <w:rFonts w:ascii="仿宋_GB2312" w:hAnsi="仿宋_GB2312" w:cs="仿宋_GB2312" w:eastAsia="仿宋_GB2312"/>
                <w:sz w:val="21"/>
                <w:b/>
                <w:color w:val="000000"/>
              </w:rPr>
              <w:t>要求服务标准</w:t>
            </w:r>
          </w:p>
          <w:p>
            <w:pPr>
              <w:pStyle w:val="null3"/>
              <w:ind w:firstLine="420"/>
              <w:jc w:val="both"/>
            </w:pPr>
            <w:r>
              <w:rPr>
                <w:rFonts w:ascii="仿宋_GB2312" w:hAnsi="仿宋_GB2312" w:cs="仿宋_GB2312" w:eastAsia="仿宋_GB2312"/>
                <w:sz w:val="21"/>
                <w:color w:val="000000"/>
              </w:rPr>
              <w:t>本次调查评估需严格遵循《生活垃圾填埋场污染控制标准》（GB16889-2024）、《生活垃圾卫生填埋场环境监测技术要求》（GB/T 18772）、《生活垃圾填埋场环境污染隐患风险评估与治理技术指南》（建办城〔2025〕60号）等相关国家、行业标准及规范，结合乡镇垃圾填埋场规模小、设施相对简陋、管理水平有限的特点，重点开展以下工作：</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基础信息调查与梳理</w:t>
            </w:r>
          </w:p>
          <w:p>
            <w:pPr>
              <w:pStyle w:val="null3"/>
              <w:ind w:firstLine="420"/>
              <w:jc w:val="both"/>
            </w:pPr>
            <w:r>
              <w:rPr>
                <w:rFonts w:ascii="仿宋_GB2312" w:hAnsi="仿宋_GB2312" w:cs="仿宋_GB2312" w:eastAsia="仿宋_GB2312"/>
                <w:sz w:val="21"/>
                <w:color w:val="000000"/>
              </w:rPr>
              <w:t>收集整理各填埋场相关资料，包括但不限于设计文件、施工记录、运营台账、环评批复、排污许可证、竣工验收报告等；实地核查填埋场地理位置、占地面积、填埋规模、填埋废物类型、填埋量、填埋高度、运行年限、封场状态等基础信息；建立完整的填埋场基础信息台账，明确各填埋场基本情况、设施配置及运行现状。</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现场隐患排查</w:t>
            </w:r>
          </w:p>
          <w:p>
            <w:pPr>
              <w:pStyle w:val="null3"/>
              <w:ind w:firstLine="420"/>
              <w:jc w:val="both"/>
            </w:pPr>
            <w:r>
              <w:rPr>
                <w:rFonts w:ascii="仿宋_GB2312" w:hAnsi="仿宋_GB2312" w:cs="仿宋_GB2312" w:eastAsia="仿宋_GB2312"/>
                <w:sz w:val="21"/>
                <w:color w:val="000000"/>
              </w:rPr>
              <w:t>采用现场踏勘、现场检测等方式，全面排查填埋场各类环境隐患，重点涵盖以下4大关键环节：</w:t>
            </w:r>
          </w:p>
          <w:p>
            <w:pPr>
              <w:pStyle w:val="null3"/>
              <w:ind w:firstLine="420"/>
              <w:jc w:val="both"/>
            </w:pPr>
            <w:r>
              <w:rPr>
                <w:rFonts w:ascii="仿宋_GB2312" w:hAnsi="仿宋_GB2312" w:cs="仿宋_GB2312" w:eastAsia="仿宋_GB2312"/>
                <w:sz w:val="21"/>
                <w:color w:val="000000"/>
              </w:rPr>
              <w:t>（1）渗滤液系统隐患排查：排查渗滤液收集导排系统（管道、泵体、阀门等）是否存在缺失、堵塞、破损、运行故障等问题；评估渗滤液处理设施运行状况，核查处理能力是否满足实际需求，出水水质是否符合GB16889-2024标准；核查调节池容积是否充足，堆体内渗滤液液位是否符合稳定控制要求，有无积存、溢流风险；排查雨污分流措施设置及执行效果，评估源头雨污分流是否到位。</w:t>
            </w:r>
          </w:p>
          <w:p>
            <w:pPr>
              <w:pStyle w:val="null3"/>
              <w:ind w:firstLine="420"/>
              <w:jc w:val="both"/>
            </w:pPr>
            <w:r>
              <w:rPr>
                <w:rFonts w:ascii="仿宋_GB2312" w:hAnsi="仿宋_GB2312" w:cs="仿宋_GB2312" w:eastAsia="仿宋_GB2312"/>
                <w:sz w:val="21"/>
                <w:color w:val="000000"/>
              </w:rPr>
              <w:t>（2）周边环境影响排查：排查填埋场周边土壤、地下水、地表水、环境空气污染情况。按规范布设土壤、地下水监测点位，采集样品进行检测，分析特征污染物超标程度及扩散范围；对场界内地表水总排放口、周边环境空气进行采样检测。</w:t>
            </w:r>
          </w:p>
          <w:p>
            <w:pPr>
              <w:pStyle w:val="null3"/>
              <w:ind w:firstLine="420"/>
              <w:jc w:val="both"/>
            </w:pPr>
            <w:r>
              <w:rPr>
                <w:rFonts w:ascii="仿宋_GB2312" w:hAnsi="仿宋_GB2312" w:cs="仿宋_GB2312" w:eastAsia="仿宋_GB2312"/>
                <w:sz w:val="21"/>
                <w:color w:val="000000"/>
              </w:rPr>
              <w:t>（3）运行管理隐患排查：依据相关规范要求，调查填埋场日常运营管理情况，包括作业流程、台账记录、人员配备、应急管理等，排查是否存在运营不规范、台账不完整、应急设施不完善等问题，建立运行管理问题台账。</w:t>
            </w:r>
          </w:p>
          <w:p>
            <w:pPr>
              <w:pStyle w:val="null3"/>
              <w:ind w:firstLine="420"/>
              <w:jc w:val="both"/>
            </w:pPr>
            <w:r>
              <w:rPr>
                <w:rFonts w:ascii="仿宋_GB2312" w:hAnsi="仿宋_GB2312" w:cs="仿宋_GB2312" w:eastAsia="仿宋_GB2312"/>
                <w:sz w:val="21"/>
                <w:color w:val="000000"/>
              </w:rPr>
              <w:t>（4）停用及封场填埋场专项排查：核查停用填埋场是否启动规范化封场治理，评估覆盖层完整性、雨污分流效果及渗滤液产生风险；核查封场填埋场覆盖层、排水系统、监测系统运行情况，防止隐患反弹。</w:t>
            </w:r>
          </w:p>
          <w:p>
            <w:pPr>
              <w:pStyle w:val="null3"/>
              <w:jc w:val="both"/>
            </w:pPr>
            <w:r>
              <w:rPr>
                <w:rFonts w:ascii="仿宋_GB2312" w:hAnsi="仿宋_GB2312" w:cs="仿宋_GB2312" w:eastAsia="仿宋_GB2312"/>
                <w:sz w:val="21"/>
                <w:b/>
                <w:color w:val="000000"/>
              </w:rPr>
              <w:t>3、编制监测方案</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）依据以上等相关规范和场地情况编制填埋场监测方案。</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采样与检测</w:t>
            </w:r>
          </w:p>
          <w:p>
            <w:pPr>
              <w:pStyle w:val="null3"/>
              <w:ind w:firstLine="420"/>
              <w:jc w:val="both"/>
            </w:pPr>
            <w:r>
              <w:rPr>
                <w:rFonts w:ascii="仿宋_GB2312" w:hAnsi="仿宋_GB2312" w:cs="仿宋_GB2312" w:eastAsia="仿宋_GB2312"/>
                <w:sz w:val="21"/>
                <w:color w:val="000000"/>
              </w:rPr>
              <w:t>按照相关标准规范开展采样与检测工作，确保检测数据真实、准确、有效，具体包括：</w:t>
            </w:r>
          </w:p>
          <w:p>
            <w:pPr>
              <w:pStyle w:val="null3"/>
              <w:ind w:firstLine="420"/>
              <w:jc w:val="both"/>
            </w:pPr>
            <w:r>
              <w:rPr>
                <w:rFonts w:ascii="仿宋_GB2312" w:hAnsi="仿宋_GB2312" w:cs="仿宋_GB2312" w:eastAsia="仿宋_GB2312"/>
                <w:sz w:val="21"/>
                <w:color w:val="000000"/>
              </w:rPr>
              <w:t>（1）地下水采样检测：在填埋场上游、下游布设（含建设）对照点、污染扩散井，结合地形和水文地质条件布设敏感受体监测点，检测pH值、耗氧量、氨氮、重金属等特征指标。</w:t>
            </w:r>
          </w:p>
          <w:p>
            <w:pPr>
              <w:pStyle w:val="null3"/>
              <w:ind w:firstLine="420"/>
              <w:jc w:val="both"/>
            </w:pPr>
            <w:r>
              <w:rPr>
                <w:rFonts w:ascii="仿宋_GB2312" w:hAnsi="仿宋_GB2312" w:cs="仿宋_GB2312" w:eastAsia="仿宋_GB2312"/>
                <w:sz w:val="21"/>
                <w:color w:val="000000"/>
              </w:rPr>
              <w:t>（2）填埋气及环境空气采样检测：监测堆体表面、导排管排放口及有限空间内甲烷体积分数，在填埋场四周设置环境空气监测点位，检测大气污染物浓度，符合相关排放标准要求。</w:t>
            </w:r>
          </w:p>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隐患风险分级评估</w:t>
            </w:r>
          </w:p>
          <w:p>
            <w:pPr>
              <w:pStyle w:val="null3"/>
              <w:ind w:firstLine="420"/>
              <w:jc w:val="both"/>
            </w:pPr>
            <w:r>
              <w:rPr>
                <w:rFonts w:ascii="仿宋_GB2312" w:hAnsi="仿宋_GB2312" w:cs="仿宋_GB2312" w:eastAsia="仿宋_GB2312"/>
                <w:sz w:val="21"/>
                <w:color w:val="000000"/>
              </w:rPr>
              <w:t>采用“突出隐患重要因素一票否决+综合风险得分”的方法，结合现场排查、检测数据及相关标准规范，对排查发现的环境隐患风险因素进行量化评分，划分高风险、中风险、低风险、基本无风险四个等级。</w:t>
            </w:r>
          </w:p>
          <w:p>
            <w:pPr>
              <w:pStyle w:val="null3"/>
              <w:jc w:val="both"/>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成果文件编制</w:t>
            </w:r>
          </w:p>
          <w:p>
            <w:pPr>
              <w:pStyle w:val="null3"/>
              <w:ind w:firstLine="420"/>
              <w:jc w:val="both"/>
            </w:pPr>
            <w:r>
              <w:rPr>
                <w:rFonts w:ascii="仿宋_GB2312" w:hAnsi="仿宋_GB2312" w:cs="仿宋_GB2312" w:eastAsia="仿宋_GB2312"/>
                <w:sz w:val="21"/>
                <w:color w:val="000000"/>
              </w:rPr>
              <w:t>编制完整的《乡镇生活垃圾填埋场环境污染隐患风险评估报告》（除前言和县域概况等共性内容外，每个填埋场所有内容需为独立章节），同时提交相关附件材料，成果文件需满足采购单位及相关主管部门（生态环境、城管等）审核要求，具体包括：</w:t>
            </w:r>
          </w:p>
          <w:p>
            <w:pPr>
              <w:pStyle w:val="null3"/>
              <w:ind w:firstLine="420"/>
              <w:jc w:val="both"/>
            </w:pPr>
            <w:r>
              <w:rPr>
                <w:rFonts w:ascii="仿宋_GB2312" w:hAnsi="仿宋_GB2312" w:cs="仿宋_GB2312" w:eastAsia="仿宋_GB2312"/>
                <w:sz w:val="21"/>
                <w:color w:val="000000"/>
              </w:rPr>
              <w:t>（1）调查评估报告正本、副本各三份（含纸质版及电子版），报告需涵盖项目概况、基础信息调查、现场排查结果、采样检测数据、隐患风险分级评估、结论等核心内容，数据详实、分析深入、建议可行等。</w:t>
            </w:r>
          </w:p>
          <w:p>
            <w:pPr>
              <w:pStyle w:val="null3"/>
              <w:ind w:firstLine="420"/>
              <w:jc w:val="both"/>
            </w:pPr>
            <w:r>
              <w:rPr>
                <w:rFonts w:ascii="仿宋_GB2312" w:hAnsi="仿宋_GB2312" w:cs="仿宋_GB2312" w:eastAsia="仿宋_GB2312"/>
                <w:sz w:val="21"/>
                <w:color w:val="000000"/>
              </w:rPr>
              <w:t>（2）附件材料：包括填埋场基础信息台账、隐患排查台账、运行管理问题台账、采样检测报告、现场照片及影像资料、相关标准规范引用清单等。</w:t>
            </w:r>
          </w:p>
          <w:p>
            <w:pPr>
              <w:pStyle w:val="null3"/>
              <w:ind w:firstLine="420"/>
              <w:jc w:val="both"/>
            </w:pPr>
            <w:r>
              <w:rPr>
                <w:rFonts w:ascii="仿宋_GB2312" w:hAnsi="仿宋_GB2312" w:cs="仿宋_GB2312" w:eastAsia="仿宋_GB2312"/>
                <w:sz w:val="21"/>
                <w:color w:val="000000"/>
              </w:rPr>
              <w:t>（3）所有成果文件需按规范装订成册，电子版需提交可编辑版本及PDF版本，确保成果可追溯、可复用。</w:t>
            </w:r>
          </w:p>
          <w:p>
            <w:pPr>
              <w:pStyle w:val="null3"/>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后续服务要求</w:t>
            </w:r>
          </w:p>
          <w:p>
            <w:pPr>
              <w:pStyle w:val="null3"/>
              <w:ind w:firstLine="420"/>
              <w:jc w:val="both"/>
            </w:pPr>
            <w:r>
              <w:rPr>
                <w:rFonts w:ascii="仿宋_GB2312" w:hAnsi="仿宋_GB2312" w:cs="仿宋_GB2312" w:eastAsia="仿宋_GB2312"/>
                <w:sz w:val="21"/>
                <w:color w:val="000000"/>
              </w:rPr>
              <w:t>（1）成交供应商需配合采购单位及相关主管部门对成果文件进行审核，根据审核意见在10天内完成修改完善，直至通过审核。</w:t>
            </w:r>
          </w:p>
          <w:p>
            <w:pPr>
              <w:pStyle w:val="null3"/>
              <w:ind w:firstLine="420"/>
              <w:jc w:val="both"/>
            </w:pPr>
            <w:r>
              <w:rPr>
                <w:rFonts w:ascii="仿宋_GB2312" w:hAnsi="仿宋_GB2312" w:cs="仿宋_GB2312" w:eastAsia="仿宋_GB2312"/>
                <w:sz w:val="21"/>
                <w:color w:val="000000"/>
              </w:rPr>
              <w:t>（2）提供不少于三个月的后续技术咨询服务，解答采购单位在隐患整改、“一场一策”治理方案编制等过程中遇到的相关技术问题。</w:t>
            </w:r>
          </w:p>
          <w:p>
            <w:pPr>
              <w:pStyle w:val="null3"/>
              <w:ind w:firstLine="420"/>
              <w:jc w:val="both"/>
            </w:pPr>
            <w:r>
              <w:rPr>
                <w:rFonts w:ascii="仿宋_GB2312" w:hAnsi="仿宋_GB2312" w:cs="仿宋_GB2312" w:eastAsia="仿宋_GB2312"/>
                <w:sz w:val="21"/>
                <w:color w:val="000000"/>
              </w:rPr>
              <w:t>（3）配合采购单位开展隐患整改验收相关技术支持工作，提供必要的技术指导。</w:t>
            </w:r>
          </w:p>
          <w:p>
            <w:pPr>
              <w:pStyle w:val="null3"/>
              <w:ind w:firstLine="420"/>
              <w:jc w:val="both"/>
            </w:pPr>
            <w:r>
              <w:rPr>
                <w:rFonts w:ascii="仿宋_GB2312" w:hAnsi="仿宋_GB2312" w:cs="仿宋_GB2312" w:eastAsia="仿宋_GB2312"/>
                <w:sz w:val="21"/>
                <w:color w:val="000000"/>
              </w:rPr>
              <w:t>（4）后期若有上级部门认为检测方案及检测工作存在不符合要求等情况，成交供应商需无偿按上级部门要求进行方案修订并完成相应的检测工作和报告文本修改。</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）服务质量要求</w:t>
            </w:r>
          </w:p>
          <w:p>
            <w:pPr>
              <w:pStyle w:val="null3"/>
              <w:ind w:firstLine="420"/>
              <w:jc w:val="both"/>
            </w:pPr>
            <w:r>
              <w:rPr>
                <w:rFonts w:ascii="仿宋_GB2312" w:hAnsi="仿宋_GB2312" w:cs="仿宋_GB2312" w:eastAsia="仿宋_GB2312"/>
                <w:sz w:val="21"/>
                <w:color w:val="000000"/>
              </w:rPr>
              <w:t>1、调查评估工作需严格遵循国家、行业相关标准及规范，确保工作流程合规、检测数据真实准确、评估结论科学客观，成果文件需通过采购单位及相关主管部门审核。</w:t>
            </w:r>
          </w:p>
          <w:p>
            <w:pPr>
              <w:pStyle w:val="null3"/>
              <w:ind w:firstLine="420"/>
              <w:jc w:val="both"/>
            </w:pPr>
            <w:r>
              <w:rPr>
                <w:rFonts w:ascii="仿宋_GB2312" w:hAnsi="仿宋_GB2312" w:cs="仿宋_GB2312" w:eastAsia="仿宋_GB2312"/>
                <w:sz w:val="21"/>
                <w:color w:val="000000"/>
              </w:rPr>
              <w:t>2、采样检测工作需由具备CMA许可使用标志的检验检测机构完成，检测报告需加盖CMA章，确保检测数据合法有效。</w:t>
            </w:r>
          </w:p>
          <w:p>
            <w:pPr>
              <w:pStyle w:val="null3"/>
              <w:ind w:firstLine="420"/>
              <w:jc w:val="both"/>
            </w:pPr>
            <w:r>
              <w:rPr>
                <w:rFonts w:ascii="仿宋_GB2312" w:hAnsi="仿宋_GB2312" w:cs="仿宋_GB2312" w:eastAsia="仿宋_GB2312"/>
                <w:sz w:val="21"/>
                <w:color w:val="000000"/>
              </w:rPr>
              <w:t>3、隐患排查需全面、细致，无遗漏任何潜在隐患，隐患台账需清晰、明确，明确隐患位置、类型、具体表现、风险等级等。</w:t>
            </w:r>
          </w:p>
          <w:p>
            <w:pPr>
              <w:pStyle w:val="null3"/>
              <w:ind w:firstLine="420"/>
              <w:jc w:val="both"/>
            </w:pPr>
            <w:r>
              <w:rPr>
                <w:rFonts w:ascii="仿宋_GB2312" w:hAnsi="仿宋_GB2312" w:cs="仿宋_GB2312" w:eastAsia="仿宋_GB2312"/>
                <w:sz w:val="21"/>
                <w:color w:val="000000"/>
              </w:rPr>
              <w:t>4、整改建议需具有针对性、可操作性和经济性，结合乡镇实际情况，符合相关治理标准，能够有效指导隐患整改工作。</w:t>
            </w:r>
          </w:p>
          <w:p>
            <w:pPr>
              <w:pStyle w:val="null3"/>
              <w:ind w:firstLine="420"/>
              <w:jc w:val="both"/>
            </w:pPr>
            <w:r>
              <w:rPr>
                <w:rFonts w:ascii="仿宋_GB2312" w:hAnsi="仿宋_GB2312" w:cs="仿宋_GB2312" w:eastAsia="仿宋_GB2312"/>
                <w:sz w:val="21"/>
                <w:color w:val="000000"/>
              </w:rPr>
              <w:t>5、成交供应商需建立完善的质量控制体系，对调查、检测、评估、报告编制等各个环节进行严格管控，确保服务质量。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按采购单位审核要求。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按采购单位审核要求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项目完结并按照审查意见修改后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项目完结并按照审查意见修改后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二、解决争议的方法：执行本合同过程中发生争议，应友好协商解决，协商不成的，可协商或由有关部门调解解决，协商或调解不成的，可向采购方所在地汉中市仲裁委员会申请仲裁。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线下递交响应文件地点：汉中市汉台区西一环路蓝天御苑小区商铺二层。 3.如磋商文件中融资相关内容与新政策要求有出入，按照最新要求执行。 2.踏勘 2.1.本项目不统一组织现场踏勘，潜在供应商可根据情况自行踏勘。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供应商需具备有效期内的中国计量认证CMA资质。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供应商需具备有效期内的中国计量认证CMA资质。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符合竞争性磋商文件内要求。</w:t>
            </w:r>
          </w:p>
        </w:tc>
        <w:tc>
          <w:tcPr>
            <w:tcW w:type="dxa" w:w="1661"/>
          </w:tcPr>
          <w:p>
            <w:pPr>
              <w:pStyle w:val="null3"/>
            </w:pPr>
            <w:r>
              <w:rPr>
                <w:rFonts w:ascii="仿宋_GB2312" w:hAnsi="仿宋_GB2312" w:cs="仿宋_GB2312" w:eastAsia="仿宋_GB2312"/>
              </w:rPr>
              <w:t>响应文件封面 商务要求偏离表 分项报价表 中小企业声明函 残疾人福利性单位声明函 基础信息调查与梳理方案等内容 标的清单 供应商应提交的相关资格证明材料 报价表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符合竞争性磋商文件中给出的格式要求。</w:t>
            </w:r>
          </w:p>
        </w:tc>
        <w:tc>
          <w:tcPr>
            <w:tcW w:type="dxa" w:w="1661"/>
          </w:tcPr>
          <w:p>
            <w:pPr>
              <w:pStyle w:val="null3"/>
            </w:pPr>
            <w:r>
              <w:rPr>
                <w:rFonts w:ascii="仿宋_GB2312" w:hAnsi="仿宋_GB2312" w:cs="仿宋_GB2312" w:eastAsia="仿宋_GB2312"/>
              </w:rPr>
              <w:t>响应文件封面 商务要求偏离表 分项报价表 中小企业声明函 残疾人福利性单位声明函 基础信息调查与梳理方案等内容 标的清单 供应商应提交的相关资格证明材料 报价表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商务要求偏离表</w:t>
            </w:r>
          </w:p>
        </w:tc>
        <w:tc>
          <w:tcPr>
            <w:tcW w:type="dxa" w:w="3322"/>
          </w:tcPr>
          <w:p>
            <w:pPr>
              <w:pStyle w:val="null3"/>
            </w:pPr>
            <w:r>
              <w:rPr>
                <w:rFonts w:ascii="仿宋_GB2312" w:hAnsi="仿宋_GB2312" w:cs="仿宋_GB2312" w:eastAsia="仿宋_GB2312"/>
              </w:rPr>
              <w:t>符合竞争性磋商文件附件给出的格式要求。</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服务范围</w:t>
            </w:r>
          </w:p>
        </w:tc>
        <w:tc>
          <w:tcPr>
            <w:tcW w:type="dxa" w:w="3322"/>
          </w:tcPr>
          <w:p>
            <w:pPr>
              <w:pStyle w:val="null3"/>
            </w:pPr>
            <w:r>
              <w:rPr>
                <w:rFonts w:ascii="仿宋_GB2312" w:hAnsi="仿宋_GB2312" w:cs="仿宋_GB2312" w:eastAsia="仿宋_GB2312"/>
              </w:rPr>
              <w:t>符合本采购包服务范围要求</w:t>
            </w:r>
          </w:p>
        </w:tc>
        <w:tc>
          <w:tcPr>
            <w:tcW w:type="dxa" w:w="1661"/>
          </w:tcPr>
          <w:p>
            <w:pPr>
              <w:pStyle w:val="null3"/>
            </w:pPr>
            <w:r>
              <w:rPr>
                <w:rFonts w:ascii="仿宋_GB2312" w:hAnsi="仿宋_GB2312" w:cs="仿宋_GB2312" w:eastAsia="仿宋_GB2312"/>
              </w:rPr>
              <w:t>分项报价表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符合竞争性磋商文件内要求。</w:t>
            </w:r>
          </w:p>
        </w:tc>
        <w:tc>
          <w:tcPr>
            <w:tcW w:type="dxa" w:w="1661"/>
          </w:tcPr>
          <w:p>
            <w:pPr>
              <w:pStyle w:val="null3"/>
            </w:pPr>
            <w:r>
              <w:rPr>
                <w:rFonts w:ascii="仿宋_GB2312" w:hAnsi="仿宋_GB2312" w:cs="仿宋_GB2312" w:eastAsia="仿宋_GB2312"/>
              </w:rPr>
              <w:t>响应文件封面 商务要求偏离表 分项报价表 中小企业声明函 残疾人福利性单位声明函 基础信息调查与梳理方案等内容 标的清单 供应商应提交的相关资格证明材料 报价表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符合竞争性磋商文件中给出的格式要求。</w:t>
            </w:r>
          </w:p>
        </w:tc>
        <w:tc>
          <w:tcPr>
            <w:tcW w:type="dxa" w:w="1661"/>
          </w:tcPr>
          <w:p>
            <w:pPr>
              <w:pStyle w:val="null3"/>
            </w:pPr>
            <w:r>
              <w:rPr>
                <w:rFonts w:ascii="仿宋_GB2312" w:hAnsi="仿宋_GB2312" w:cs="仿宋_GB2312" w:eastAsia="仿宋_GB2312"/>
              </w:rPr>
              <w:t>响应文件封面 商务要求偏离表 分项报价表 中小企业声明函 残疾人福利性单位声明函 基础信息调查与梳理方案等内容 标的清单 供应商应提交的相关资格证明材料 报价表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商务要求偏离表</w:t>
            </w:r>
          </w:p>
        </w:tc>
        <w:tc>
          <w:tcPr>
            <w:tcW w:type="dxa" w:w="3322"/>
          </w:tcPr>
          <w:p>
            <w:pPr>
              <w:pStyle w:val="null3"/>
            </w:pPr>
            <w:r>
              <w:rPr>
                <w:rFonts w:ascii="仿宋_GB2312" w:hAnsi="仿宋_GB2312" w:cs="仿宋_GB2312" w:eastAsia="仿宋_GB2312"/>
              </w:rPr>
              <w:t>符合竞争性磋商文件附件给出的格式要求。</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服务范围</w:t>
            </w:r>
          </w:p>
        </w:tc>
        <w:tc>
          <w:tcPr>
            <w:tcW w:type="dxa" w:w="3322"/>
          </w:tcPr>
          <w:p>
            <w:pPr>
              <w:pStyle w:val="null3"/>
            </w:pPr>
            <w:r>
              <w:rPr>
                <w:rFonts w:ascii="仿宋_GB2312" w:hAnsi="仿宋_GB2312" w:cs="仿宋_GB2312" w:eastAsia="仿宋_GB2312"/>
              </w:rPr>
              <w:t>符合本采购包服务范围要求</w:t>
            </w:r>
          </w:p>
        </w:tc>
        <w:tc>
          <w:tcPr>
            <w:tcW w:type="dxa" w:w="1661"/>
          </w:tcPr>
          <w:p>
            <w:pPr>
              <w:pStyle w:val="null3"/>
            </w:pPr>
            <w:r>
              <w:rPr>
                <w:rFonts w:ascii="仿宋_GB2312" w:hAnsi="仿宋_GB2312" w:cs="仿宋_GB2312" w:eastAsia="仿宋_GB2312"/>
              </w:rPr>
              <w:t>分项报价表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基础信息调查与梳理方案</w:t>
            </w:r>
          </w:p>
        </w:tc>
        <w:tc>
          <w:tcPr>
            <w:tcW w:type="dxa" w:w="2492"/>
          </w:tcPr>
          <w:p>
            <w:pPr>
              <w:pStyle w:val="null3"/>
            </w:pPr>
            <w:r>
              <w:rPr>
                <w:rFonts w:ascii="仿宋_GB2312" w:hAnsi="仿宋_GB2312" w:cs="仿宋_GB2312" w:eastAsia="仿宋_GB2312"/>
              </w:rPr>
              <w:t>（一）评审内容： 根据本项目服务需求制定详细的基础信息调查与梳理方案，包括：①收集整理、②实地核查、③建立完整基础台账。 （二）赋分标准： （1）完整性：对上述各项内容均有描述，得3分，每缺1项扣1分，扣完为止；此项不提供不得分。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现场隐患排查方案</w:t>
            </w:r>
          </w:p>
        </w:tc>
        <w:tc>
          <w:tcPr>
            <w:tcW w:type="dxa" w:w="2492"/>
          </w:tcPr>
          <w:p>
            <w:pPr>
              <w:pStyle w:val="null3"/>
            </w:pPr>
            <w:r>
              <w:rPr>
                <w:rFonts w:ascii="仿宋_GB2312" w:hAnsi="仿宋_GB2312" w:cs="仿宋_GB2312" w:eastAsia="仿宋_GB2312"/>
              </w:rPr>
              <w:t>（一）评审内容： 根据本项目服务需求制定详细的现场隐患排查方案，包括：①渗滤液系统隐患排查、②周边环境影响排查、③运行管理隐患排查、④停用及封场填埋场专项排查 。 （二）赋分标准： （1）完整性：对上述各项内容均有描述，得4分，每缺1项扣1分，扣完为止；此项不提供不得分。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（一）评审内容： 根据本项目服务需求制定详细的监测方案。 （二）赋分标准： （1）完整性：对上述各项内容均有描述，得1分，此项不提供不得分。 （2）针对性：上述各项内容针对性明确得2分；针对性较明确得1分；缺乏针对性得0分。此项不提供不得分。 （3）可实施性：上述各项内容可实施性合理得2分；可实施性较合理得1分；缺乏可实施性得0分。此项不提供不得分。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采样与检测方案</w:t>
            </w:r>
          </w:p>
        </w:tc>
        <w:tc>
          <w:tcPr>
            <w:tcW w:type="dxa" w:w="2492"/>
          </w:tcPr>
          <w:p>
            <w:pPr>
              <w:pStyle w:val="null3"/>
            </w:pPr>
            <w:r>
              <w:rPr>
                <w:rFonts w:ascii="仿宋_GB2312" w:hAnsi="仿宋_GB2312" w:cs="仿宋_GB2312" w:eastAsia="仿宋_GB2312"/>
              </w:rPr>
              <w:t>（一）评审内容： 根据本项目服务需求制定详细的采样与检测方案，包括：①地下水采样检测、②填埋气及环境空气采样检测。 （二）赋分标准： （1）完整性：对上述各项内容均有描述，得2分，每缺1项扣1分，扣完为止；此项不提供不得分。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隐患风险分级评估方案</w:t>
            </w:r>
          </w:p>
        </w:tc>
        <w:tc>
          <w:tcPr>
            <w:tcW w:type="dxa" w:w="2492"/>
          </w:tcPr>
          <w:p>
            <w:pPr>
              <w:pStyle w:val="null3"/>
            </w:pPr>
            <w:r>
              <w:rPr>
                <w:rFonts w:ascii="仿宋_GB2312" w:hAnsi="仿宋_GB2312" w:cs="仿宋_GB2312" w:eastAsia="仿宋_GB2312"/>
              </w:rPr>
              <w:t>（一）评审内容： 根据本项目服务需求制定详细的隐患风险分级评估方案。 （二）赋分标准： （1）完整性：对上述各项内容均有描述，得1分，此项不提供不得分。 （2）针对性：上述各项内容针对性明确得2分；针对性较明确得1分；缺乏针对性得0分。此项不提供不得分。 （3）可实施性：上述各项内容可实施性合理得2分；可实施性较合理得1分；缺乏可实施性得0分。此项不提供不得分。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根据本项目服务需求制定详细的售后服务方案，包括：① 成果文件编制、②后续服务、③服务质量。 （二）赋分标准： （1）完整性：对上述各项内容均有描述，得3分，每缺1项扣1分，扣完为止；此项不提供不得分。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项目团队人员配置充足，包括：①人员配备数量、②人员岗位安排. （二）赋分标准： （1）完整性：对上述各项内容均有描述，得2分，每缺1项扣1分，扣完为止；此项不提供不得分。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2024年1月1日至今类似项目业绩，提供1份得2.5分，最高得5分。（注：业绩证明材料以中标（成交）通知书或合同(协议书)为准，响应文件中附中标（成交）通知书或合同(协议书)复印件）,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项目负责人具备环保类相关专业中级及以上职称得5分，响应文件中需附职称证复印件,此项不提供不得分。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2、以满足本次竞争性磋商文件要求的最低报价为评审基准价，其价格为满分； 3、报价得分=（评审基准价/最后报价）×10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基础信息调查与梳理方案</w:t>
            </w:r>
          </w:p>
        </w:tc>
        <w:tc>
          <w:tcPr>
            <w:tcW w:type="dxa" w:w="2492"/>
          </w:tcPr>
          <w:p>
            <w:pPr>
              <w:pStyle w:val="null3"/>
            </w:pPr>
            <w:r>
              <w:rPr>
                <w:rFonts w:ascii="仿宋_GB2312" w:hAnsi="仿宋_GB2312" w:cs="仿宋_GB2312" w:eastAsia="仿宋_GB2312"/>
              </w:rPr>
              <w:t>（一）评审内容： 根据本项目服务需求制定详细的基础信息调查与梳理方案，包括：①收集整理、②实地核查、③建立完整基础台账。 （二）赋分标准： （1）完整性：对上述各项内容均有描述，得3分，每缺1项扣1分，扣完为止；此项不提供不得分。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现场隐患排查方案</w:t>
            </w:r>
          </w:p>
        </w:tc>
        <w:tc>
          <w:tcPr>
            <w:tcW w:type="dxa" w:w="2492"/>
          </w:tcPr>
          <w:p>
            <w:pPr>
              <w:pStyle w:val="null3"/>
            </w:pPr>
            <w:r>
              <w:rPr>
                <w:rFonts w:ascii="仿宋_GB2312" w:hAnsi="仿宋_GB2312" w:cs="仿宋_GB2312" w:eastAsia="仿宋_GB2312"/>
              </w:rPr>
              <w:t>（一）评审内容： 根据本项目服务需求制定详细的现场隐患排查方案，包括：①渗滤液系统隐患排查、②周边环境影响排查、③运行管理隐患排查、④停用及封场填埋场专项排查 。 （二）赋分标准： （1）完整性：对上述各项内容均有描述，得4分，每缺1项扣1分，扣完为止；此项不提供不得分。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（一）评审内容： 根据本项目服务需求制定详细的监测方案。 （二）赋分标准： （1）完整性：对上述各项内容均有描述，得1分，此项不提供不得分。 （2）针对性：上述各项内容针对性明确得2分；针对性较明确得1分；缺乏针对性得0分。此项不提供不得分。 （3）可实施性：上述各项内容可实施性合理得2分；可实施性较合理得1分；缺乏可实施性得0分。此项不提供不得分。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采样与检测方案</w:t>
            </w:r>
          </w:p>
        </w:tc>
        <w:tc>
          <w:tcPr>
            <w:tcW w:type="dxa" w:w="2492"/>
          </w:tcPr>
          <w:p>
            <w:pPr>
              <w:pStyle w:val="null3"/>
            </w:pPr>
            <w:r>
              <w:rPr>
                <w:rFonts w:ascii="仿宋_GB2312" w:hAnsi="仿宋_GB2312" w:cs="仿宋_GB2312" w:eastAsia="仿宋_GB2312"/>
              </w:rPr>
              <w:t>（一）评审内容： 根据本项目服务需求制定详细的采样与检测方案，包括：①地下水采样检测、②填埋气及环境空气采样检测。 （二）赋分标准： （1）完整性：对上述各项内容均有描述，得2分，每缺1项扣1分，扣完为止；此项不提供不得分。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隐患风险分级评估方案</w:t>
            </w:r>
          </w:p>
        </w:tc>
        <w:tc>
          <w:tcPr>
            <w:tcW w:type="dxa" w:w="2492"/>
          </w:tcPr>
          <w:p>
            <w:pPr>
              <w:pStyle w:val="null3"/>
            </w:pPr>
            <w:r>
              <w:rPr>
                <w:rFonts w:ascii="仿宋_GB2312" w:hAnsi="仿宋_GB2312" w:cs="仿宋_GB2312" w:eastAsia="仿宋_GB2312"/>
              </w:rPr>
              <w:t>（一）评审内容： 根据本项目服务需求制定详细的隐患风险分级评估方案。 （二）赋分标准： （1）完整性：对上述各项内容均有描述，得1分，此项不提供不得分。 （2）针对性：上述各项内容针对性明确得2分；针对性较明确得1分；缺乏针对性得0分。此项不提供不得分。 （3）可实施性：上述各项内容可实施性合理得2分；可实施性较合理得1分；缺乏可实施性得0分。此项不提供不得分。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根据本项目服务需求制定详细的售后服务方案，包括：① 成果文件编制、②后续服务、③服务质量。 （二）赋分标准： （1）完整性：对上述各项内容均有描述，得3分，每缺1项扣1分，扣完为止；此项不提供不得分。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项目团队人员配置充足，包括：①人员配备数量、②人员岗位安排。 （二）赋分标准： （1）完整性：对上述各项内容均有描述，得2分，每缺1项扣1分，扣完为止；此项不提供不得分。 （2）针对性：上述各项内容针对性明确每项得2分；针对性较明确每项得1分；缺乏针对性得0分。此项不提供不得分。 （3）可实施性：上述各项内容可实施性合理每项得2分；可实施性较合理每项得1分；缺乏可实施性得0分。此项不提供不得分。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2024年1月1日至今类似项目业绩，提供1份得2.5分，最高得5分。（注：业绩证明材料以中标（成交）通知书或合同(协议书)为准，响应文件中附中标（成交）通知书或合同(协议书)复印件）,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项目负责人具备环保类相关专业中级及以上职称得5分，响应文件中需附职称证复印件,此项不提供不得分。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基础信息调查与梳理方案等内容</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2、以满足本次竞争性磋商文件要求的最低报价为评审基准价，其价格为满分； 3、报价得分=（评审基准价/最后报价）×10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详见附件：基础信息调查与梳理方案等内容</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详见附件：基础信息调查与梳理方案等内容</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