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92170C">
      <w:pPr>
        <w:jc w:val="center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技术部分方案</w:t>
      </w:r>
    </w:p>
    <w:p w14:paraId="2D6F4AF6">
      <w:pPr>
        <w:rPr>
          <w:rFonts w:hint="eastAsia"/>
          <w:sz w:val="28"/>
          <w:szCs w:val="28"/>
        </w:rPr>
      </w:pPr>
    </w:p>
    <w:p w14:paraId="78F2D697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说明：供应商依据磋商文件及详细评审标准，分章节进行编制，响应格式及内容自拟。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441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2026-08-15T15:59:26Z</dcterms:created>
  <dc:creator>HP</dc:creator>
  <cp:lastModifiedBy>乐乐</cp:lastModifiedBy>
  <dcterms:modified xsi:type="dcterms:W3CDTF">2026-08-15T16:02:34Z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eyJoZGlkIjoiY2NhNTZlZDBhYjE2YjE2NmE1ZGVhZjdlZWI5OGU1ZmQiLCJ1c2VySWQiOiI1MjU5NDE0MjYifQ==</vt:lpwstr>
  </property>
  <property fmtid="{D5CDD505-2E9C-101B-9397-08002B2CF9AE}" pid="4" name="ICV">
    <vt:lpwstr>46DBE169DB81454B8A3F5D46149DA6EE_12</vt:lpwstr>
  </property>
</Properties>
</file>