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版本号：SLCG-JZXCS〔2026〕4号20260521002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安保服务采购项目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SLCG-JZXCS〔2026〕4号</w:t>
      </w:r>
      <w:r>
        <w:br/>
      </w:r>
      <w:r>
        <w:br/>
      </w:r>
      <w:r>
        <w:br/>
      </w:r>
    </w:p>
    <w:p>
      <w:pPr>
        <w:pStyle w:val="null3"/>
        <w:jc w:val="center"/>
        <w:outlineLvl w:val="2"/>
      </w:pPr>
      <w:r>
        <w:rPr>
          <w:rFonts w:ascii="仿宋_GB2312" w:hAnsi="仿宋_GB2312" w:cs="仿宋_GB2312" w:eastAsia="仿宋_GB2312"/>
          <w:sz w:val="28"/>
          <w:b/>
        </w:rPr>
        <w:t>商洛市中医医院</w:t>
      </w:r>
    </w:p>
    <w:p>
      <w:pPr>
        <w:pStyle w:val="null3"/>
        <w:jc w:val="center"/>
        <w:outlineLvl w:val="2"/>
      </w:pPr>
      <w:r>
        <w:rPr>
          <w:rFonts w:ascii="仿宋_GB2312" w:hAnsi="仿宋_GB2312" w:cs="仿宋_GB2312" w:eastAsia="仿宋_GB2312"/>
          <w:sz w:val="28"/>
          <w:b/>
        </w:rPr>
        <w:t>商洛市政府采购中心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商洛市政府采购中心</w:t>
      </w:r>
      <w:r>
        <w:rPr>
          <w:rFonts w:ascii="仿宋_GB2312" w:hAnsi="仿宋_GB2312" w:cs="仿宋_GB2312" w:eastAsia="仿宋_GB2312"/>
        </w:rPr>
        <w:t>（以下简称“代理机构”）受</w:t>
      </w:r>
      <w:r>
        <w:rPr>
          <w:rFonts w:ascii="仿宋_GB2312" w:hAnsi="仿宋_GB2312" w:cs="仿宋_GB2312" w:eastAsia="仿宋_GB2312"/>
        </w:rPr>
        <w:t>商洛市中医医院</w:t>
      </w:r>
      <w:r>
        <w:rPr>
          <w:rFonts w:ascii="仿宋_GB2312" w:hAnsi="仿宋_GB2312" w:cs="仿宋_GB2312" w:eastAsia="仿宋_GB2312"/>
        </w:rPr>
        <w:t>委托，拟对</w:t>
      </w:r>
      <w:r>
        <w:rPr>
          <w:rFonts w:ascii="仿宋_GB2312" w:hAnsi="仿宋_GB2312" w:cs="仿宋_GB2312" w:eastAsia="仿宋_GB2312"/>
        </w:rPr>
        <w:t>安保服务采购项目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SLCG-JZXCS〔2026〕4号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安保服务采购项目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商洛市中医医院为切实维护医院正常诊疗秩序，保障全院人员人身及财产安全，依据国家相关法律法规及行业管理规定，坚持依法依规、规范从严、务实高效原则，稳步推进安保工作专业化、规范化、标准化建设，筑牢平安医院建设防线，护航医院医疗事业高质量发展，结合医院实际工作需求，采用竞争性磋商方式实施政府集中采购，择优确定安保服务成交供应商，由成交供应商派驻 30 名专业安保人员，全面负责本院日常安全保卫各项工作。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采购包1（商洛市中医医院安保服务采购项目）：属于专门面向中小企业采购。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合法有效：供应商须在中华人民共和国境内注册，依法取得并有效存续的营业执照（或事业单位法人证书\民办非企业单位登记证书\非企业专业服务机构执业许可证等主体资格证书）。供应商须在项目电子化采购系统中提交主体资格证书（根据企业类型、性质选择其一）原件的扫描件，并完成电子签章。</w:t>
      </w:r>
    </w:p>
    <w:p>
      <w:pPr>
        <w:pStyle w:val="null3"/>
      </w:pPr>
      <w:r>
        <w:rPr>
          <w:rFonts w:ascii="仿宋_GB2312" w:hAnsi="仿宋_GB2312" w:cs="仿宋_GB2312" w:eastAsia="仿宋_GB2312"/>
        </w:rPr>
        <w:t>2、保安服务许可证合法有效：供应商须在须依法取得并有效存续的保安服务许可证，并须在项目电子化采购系统中提交主保安服务许可证原件的扫描件，完成电子签章。</w:t>
      </w:r>
    </w:p>
    <w:p>
      <w:pPr>
        <w:pStyle w:val="null3"/>
      </w:pPr>
      <w:r>
        <w:rPr>
          <w:rFonts w:ascii="仿宋_GB2312" w:hAnsi="仿宋_GB2312" w:cs="仿宋_GB2312" w:eastAsia="仿宋_GB2312"/>
        </w:rPr>
        <w:t>3、具有良好的财务状况：供应商须具有良好的财务状况，并须在项目电子化交易系统中提交近一个年度经第三方机构审计的财务报告（成立时间至提交响应文件截止时间不足一年的可提供成立后任意时段的资产负债表），或其本项目磋商公告前三个月内基本开户银行出具的资信证明（以上两种形式的资料提供任何一种即可），并完成电子签章。</w:t>
      </w:r>
    </w:p>
    <w:p>
      <w:pPr>
        <w:pStyle w:val="null3"/>
      </w:pPr>
      <w:r>
        <w:rPr>
          <w:rFonts w:ascii="仿宋_GB2312" w:hAnsi="仿宋_GB2312" w:cs="仿宋_GB2312" w:eastAsia="仿宋_GB2312"/>
        </w:rPr>
        <w:t>4、具有良好的税收缴纳记录：供应商须具有良好的税收缴纳记录，并须在项目电子化交易系统中提交2025年以来内任意一个月的缴纳税收凭据（任意税种，时间以税款所属日期为准，凭据须有税务机关或代收机关的公章或业务专用章，依法免税或无须缴纳税收应提供相应证明文件），并完成电子签章。</w:t>
      </w:r>
    </w:p>
    <w:p>
      <w:pPr>
        <w:pStyle w:val="null3"/>
      </w:pPr>
      <w:r>
        <w:rPr>
          <w:rFonts w:ascii="仿宋_GB2312" w:hAnsi="仿宋_GB2312" w:cs="仿宋_GB2312" w:eastAsia="仿宋_GB2312"/>
        </w:rPr>
        <w:t>5、具有良好的社会保障资金缴纳记录：供应商须具有良好的社会保障资金缴纳记录，并须在项目电子化交易系统中提交2025年以来内任意一个月的社会保障资金缴存单据或社保机构开具的社会保险参保缴费情况证明，依法不需要缴纳社会保障资金的须提供相关证明文件，并完成电子签章。</w:t>
      </w:r>
    </w:p>
    <w:p>
      <w:pPr>
        <w:pStyle w:val="null3"/>
      </w:pPr>
      <w:r>
        <w:rPr>
          <w:rFonts w:ascii="仿宋_GB2312" w:hAnsi="仿宋_GB2312" w:cs="仿宋_GB2312" w:eastAsia="仿宋_GB2312"/>
        </w:rPr>
        <w:t>6、近三年内在经营活动中无重大违法记录：供应商近三年内在经营活动中须无重大违法记录，并须在项目电子化交易系统中提交近三年内在经营活动中无重大违法记录声明函，且近三年内在经营活动中无重大违法记录，并完成电子签章。</w:t>
      </w:r>
    </w:p>
    <w:p>
      <w:pPr>
        <w:pStyle w:val="null3"/>
      </w:pPr>
      <w:r>
        <w:rPr>
          <w:rFonts w:ascii="仿宋_GB2312" w:hAnsi="仿宋_GB2312" w:cs="仿宋_GB2312" w:eastAsia="仿宋_GB2312"/>
        </w:rPr>
        <w:t>7、控股关系承诺合法有效：单位负责人为同一人或者存在直接控股、管理关系的不同供应商，不得同时参加本项目同一合同项下政府采购活动。供应商须在项目电子化交易系统中提交“单位负责人为同一人或者存在直接控股、管理关系的不同供应商，不得同时参加本项目同一合同项下的政府采购活动的承诺书”原件的扫描件，并完成电子签章。</w:t>
      </w:r>
    </w:p>
    <w:p>
      <w:pPr>
        <w:pStyle w:val="null3"/>
      </w:pPr>
      <w:r>
        <w:rPr>
          <w:rFonts w:ascii="仿宋_GB2312" w:hAnsi="仿宋_GB2312" w:cs="仿宋_GB2312" w:eastAsia="仿宋_GB2312"/>
        </w:rPr>
        <w:t>8、非联合体不分包响应声明合法有效：本项目不接受联合体响应，供应商须以一个独立的法人实体参加响应。供应商须在项目电子化交易系统中提交“非联合体不分包响应声明函”原件的扫描件，并完成电子签章。</w:t>
      </w:r>
    </w:p>
    <w:p>
      <w:pPr>
        <w:pStyle w:val="null3"/>
      </w:pPr>
      <w:r>
        <w:rPr>
          <w:rFonts w:ascii="仿宋_GB2312" w:hAnsi="仿宋_GB2312" w:cs="仿宋_GB2312" w:eastAsia="仿宋_GB2312"/>
        </w:rPr>
        <w:t>9、信用记录声明及查询合法有效：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供应商信用记录声明函》，并完成电子签章。采购人及采购代理机构在开标后现场查询信用记录并下载查询报告及截图保存，存在不良信用记录的，按无效响应处理。</w:t>
      </w:r>
    </w:p>
    <w:p>
      <w:pPr>
        <w:pStyle w:val="null3"/>
      </w:pPr>
      <w:r>
        <w:rPr>
          <w:rFonts w:ascii="仿宋_GB2312" w:hAnsi="仿宋_GB2312" w:cs="仿宋_GB2312" w:eastAsia="仿宋_GB2312"/>
        </w:rPr>
        <w:t>10、法定代表人授权书合法有效：供应商法定代表人直接参加磋商的须提供本人身份证、法定代表人身份证明书，法定代表人授权代表参加磋商的须提供法定代表人授权书、被授权人身份证，并须在项目电子化交易系统中提交法定代表人身份证、法定代表人身份证明书（或法定代表人授权书、被授权人身份证）原件的扫描件，并完成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商洛市商州区北新街 148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李凯伦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0914-2863512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商洛市政府采购中心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商洛市商州区工农路12号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侯小斌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0914-2318823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采购包1：1,086,000.00元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《财政部、发展改革委、生态环境部、市场监管总局关于调整优化节能产品环境标志产品政府采购执行机制的通知》（财政部财库〔2019〕9号）</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《节能产品政府采购实施意见》（财政部财库〔2004〕185号）</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《环境标志产品政府采购实施的意见》（财政部财库〔2006〕90号）</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商洛市中医医院</w:t>
      </w:r>
      <w:r>
        <w:rPr>
          <w:rFonts w:ascii="仿宋_GB2312" w:hAnsi="仿宋_GB2312" w:cs="仿宋_GB2312" w:eastAsia="仿宋_GB2312"/>
        </w:rPr>
        <w:t>和</w:t>
      </w:r>
      <w:r>
        <w:rPr>
          <w:rFonts w:ascii="仿宋_GB2312" w:hAnsi="仿宋_GB2312" w:cs="仿宋_GB2312" w:eastAsia="仿宋_GB2312"/>
        </w:rPr>
        <w:t>商洛市政府采购中心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商洛市政府采购中心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商洛市政府采购中心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本项目履约验收采用百分制考核，按月进行，具体标准详见《商洛市中医医院保安服务采购合同》。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商洛市政府采购中心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商洛市政府采购中心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商洛市政府采购中心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联系人：李凯伦</w:t>
      </w:r>
    </w:p>
    <w:p>
      <w:pPr>
        <w:pStyle w:val="null3"/>
      </w:pPr>
      <w:r>
        <w:rPr>
          <w:rFonts w:ascii="仿宋_GB2312" w:hAnsi="仿宋_GB2312" w:cs="仿宋_GB2312" w:eastAsia="仿宋_GB2312"/>
        </w:rPr>
        <w:t>联系电话：0914-2863512</w:t>
      </w:r>
    </w:p>
    <w:p>
      <w:pPr>
        <w:pStyle w:val="null3"/>
      </w:pPr>
      <w:r>
        <w:rPr>
          <w:rFonts w:ascii="仿宋_GB2312" w:hAnsi="仿宋_GB2312" w:cs="仿宋_GB2312" w:eastAsia="仿宋_GB2312"/>
        </w:rPr>
        <w:t>地址：商洛市商州区北新街 148 号</w:t>
      </w:r>
    </w:p>
    <w:p>
      <w:pPr>
        <w:pStyle w:val="null3"/>
      </w:pPr>
      <w:r>
        <w:rPr>
          <w:rFonts w:ascii="仿宋_GB2312" w:hAnsi="仿宋_GB2312" w:cs="仿宋_GB2312" w:eastAsia="仿宋_GB2312"/>
        </w:rPr>
        <w:t>邮编：726000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联系人：侯小斌</w:t>
      </w:r>
    </w:p>
    <w:p>
      <w:pPr>
        <w:pStyle w:val="null3"/>
      </w:pPr>
      <w:r>
        <w:rPr>
          <w:rFonts w:ascii="仿宋_GB2312" w:hAnsi="仿宋_GB2312" w:cs="仿宋_GB2312" w:eastAsia="仿宋_GB2312"/>
        </w:rPr>
        <w:t>联系电话：0914-2318823</w:t>
      </w:r>
    </w:p>
    <w:p>
      <w:pPr>
        <w:pStyle w:val="null3"/>
      </w:pPr>
      <w:r>
        <w:rPr>
          <w:rFonts w:ascii="仿宋_GB2312" w:hAnsi="仿宋_GB2312" w:cs="仿宋_GB2312" w:eastAsia="仿宋_GB2312"/>
        </w:rPr>
        <w:t>地址：商洛市商州区工农路12号</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商洛市中医医院为切实维护医院正常诊疗秩序，保障全院人员人身及财产安全，依据国家相关法律法规及行业管理规定，坚持依法依规、规范从严、务实高效原则，稳步推进安保工作专业化、规范化、标准化建设，筑牢平安医院建设防线，护航医院医疗事业高质量发展，结合医院实际工作需求，采用竞争性磋商方式实施政府集中采购，择优确定安保服务成交供应商，由成交供应商派驻 30 名专业安保人员，全面负责本院日常安全保卫各项工作。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1,086,000.00</w:t>
      </w:r>
    </w:p>
    <w:p>
      <w:pPr>
        <w:pStyle w:val="null3"/>
      </w:pPr>
      <w:r>
        <w:rPr>
          <w:rFonts w:ascii="仿宋_GB2312" w:hAnsi="仿宋_GB2312" w:cs="仿宋_GB2312" w:eastAsia="仿宋_GB2312"/>
        </w:rPr>
        <w:t>采购包最高限价（元）: 1,086,000.00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商洛市中医医院安保服务采购项目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1,086,000.00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标的名称：商洛市中医医院安保服务采购项目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jc w:val="both"/>
            </w:pPr>
            <w:r>
              <w:rPr>
                <w:rFonts w:ascii="仿宋_GB2312" w:hAnsi="仿宋_GB2312" w:cs="仿宋_GB2312" w:eastAsia="仿宋_GB2312"/>
                <w:sz w:val="24"/>
              </w:rPr>
              <w:t>一、岗位设置及人员配置要求</w:t>
            </w:r>
          </w:p>
          <w:p>
            <w:pPr>
              <w:pStyle w:val="null3"/>
              <w:ind w:firstLine="480"/>
              <w:jc w:val="both"/>
            </w:pPr>
            <w:r>
              <w:rPr>
                <w:rFonts w:ascii="仿宋_GB2312" w:hAnsi="仿宋_GB2312" w:cs="仿宋_GB2312" w:eastAsia="仿宋_GB2312"/>
                <w:sz w:val="24"/>
              </w:rPr>
              <w:t>本项目安保服务实行</w:t>
            </w:r>
            <w:r>
              <w:rPr>
                <w:rFonts w:ascii="仿宋_GB2312" w:hAnsi="仿宋_GB2312" w:cs="仿宋_GB2312" w:eastAsia="仿宋_GB2312"/>
                <w:sz w:val="24"/>
              </w:rPr>
              <w:t>7×24小时全天候不间断值守，成交供应商须合理制定排班轮休方案，确保各岗位全程在岗在位，严禁空岗、脱岗、串岗、擅自顶岗换岗。岗位及人员配置如下：</w:t>
            </w:r>
          </w:p>
          <w:p>
            <w:pPr>
              <w:pStyle w:val="null3"/>
              <w:ind w:firstLine="480"/>
              <w:jc w:val="both"/>
            </w:pPr>
            <w:r>
              <w:rPr>
                <w:rFonts w:ascii="仿宋_GB2312" w:hAnsi="仿宋_GB2312" w:cs="仿宋_GB2312" w:eastAsia="仿宋_GB2312"/>
                <w:sz w:val="24"/>
              </w:rPr>
              <w:t>1.保安队长：</w:t>
            </w:r>
            <w:r>
              <w:rPr>
                <w:rFonts w:ascii="仿宋_GB2312" w:hAnsi="仿宋_GB2312" w:cs="仿宋_GB2312" w:eastAsia="仿宋_GB2312"/>
                <w:sz w:val="24"/>
              </w:rPr>
              <w:t>1名；</w:t>
            </w:r>
          </w:p>
          <w:p>
            <w:pPr>
              <w:pStyle w:val="null3"/>
              <w:ind w:firstLine="480"/>
              <w:jc w:val="both"/>
            </w:pPr>
            <w:r>
              <w:rPr>
                <w:rFonts w:ascii="仿宋_GB2312" w:hAnsi="仿宋_GB2312" w:cs="仿宋_GB2312" w:eastAsia="仿宋_GB2312"/>
                <w:sz w:val="24"/>
              </w:rPr>
              <w:t>2.门卫岗、院内巡逻岗：合计</w:t>
            </w:r>
            <w:r>
              <w:rPr>
                <w:rFonts w:ascii="仿宋_GB2312" w:hAnsi="仿宋_GB2312" w:cs="仿宋_GB2312" w:eastAsia="仿宋_GB2312"/>
                <w:sz w:val="24"/>
              </w:rPr>
              <w:t>14名；</w:t>
            </w:r>
          </w:p>
          <w:p>
            <w:pPr>
              <w:pStyle w:val="null3"/>
              <w:ind w:firstLine="480"/>
              <w:jc w:val="both"/>
            </w:pPr>
            <w:r>
              <w:rPr>
                <w:rFonts w:ascii="仿宋_GB2312" w:hAnsi="仿宋_GB2312" w:cs="仿宋_GB2312" w:eastAsia="仿宋_GB2312"/>
                <w:sz w:val="24"/>
              </w:rPr>
              <w:t>3.消防监控岗：</w:t>
            </w:r>
            <w:r>
              <w:rPr>
                <w:rFonts w:ascii="仿宋_GB2312" w:hAnsi="仿宋_GB2312" w:cs="仿宋_GB2312" w:eastAsia="仿宋_GB2312"/>
                <w:sz w:val="24"/>
              </w:rPr>
              <w:t>7名；</w:t>
            </w:r>
          </w:p>
          <w:p>
            <w:pPr>
              <w:pStyle w:val="null3"/>
              <w:ind w:firstLine="480"/>
              <w:jc w:val="both"/>
            </w:pPr>
            <w:r>
              <w:rPr>
                <w:rFonts w:ascii="仿宋_GB2312" w:hAnsi="仿宋_GB2312" w:cs="仿宋_GB2312" w:eastAsia="仿宋_GB2312"/>
                <w:sz w:val="24"/>
              </w:rPr>
              <w:t>4.微型消防站值守岗：</w:t>
            </w:r>
            <w:r>
              <w:rPr>
                <w:rFonts w:ascii="仿宋_GB2312" w:hAnsi="仿宋_GB2312" w:cs="仿宋_GB2312" w:eastAsia="仿宋_GB2312"/>
                <w:sz w:val="24"/>
              </w:rPr>
              <w:t>8名。</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0"/>
              <w:jc w:val="both"/>
            </w:pPr>
            <w:r>
              <w:rPr>
                <w:rFonts w:ascii="仿宋_GB2312" w:hAnsi="仿宋_GB2312" w:cs="仿宋_GB2312" w:eastAsia="仿宋_GB2312"/>
                <w:sz w:val="24"/>
              </w:rPr>
              <w:t>二、总体服务职责</w:t>
            </w:r>
          </w:p>
          <w:p>
            <w:pPr>
              <w:pStyle w:val="null3"/>
              <w:ind w:firstLine="480"/>
              <w:jc w:val="both"/>
            </w:pPr>
            <w:r>
              <w:rPr>
                <w:rFonts w:ascii="仿宋_GB2312" w:hAnsi="仿宋_GB2312" w:cs="仿宋_GB2312" w:eastAsia="仿宋_GB2312"/>
                <w:sz w:val="24"/>
              </w:rPr>
              <w:t>成交供应商受商洛市中医医院委托，全面承担医院院区门卫值守、治安巡逻、就医及办公秩序维护、消防中控监控、微型消防站备勤值守、车辆疏导停放、安全隐患排查、突发事件先期处置、医患纠纷现场维稳、防火防盗、院区治安防控等安保服务工作；保障医院正常诊疗、办公及就医秩序，维护院区内人员人身与财产安全，依规为就诊群众提供便民引导、帮扶服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80"/>
              <w:jc w:val="both"/>
            </w:pPr>
            <w:r>
              <w:rPr>
                <w:rFonts w:ascii="仿宋_GB2312" w:hAnsi="仿宋_GB2312" w:cs="仿宋_GB2312" w:eastAsia="仿宋_GB2312"/>
                <w:sz w:val="24"/>
              </w:rPr>
              <w:t>三、各岗位职责要求</w:t>
            </w:r>
          </w:p>
          <w:p>
            <w:pPr>
              <w:pStyle w:val="null3"/>
              <w:ind w:firstLine="480"/>
              <w:jc w:val="both"/>
            </w:pPr>
            <w:r>
              <w:rPr>
                <w:rFonts w:ascii="仿宋_GB2312" w:hAnsi="仿宋_GB2312" w:cs="仿宋_GB2312" w:eastAsia="仿宋_GB2312"/>
                <w:sz w:val="24"/>
              </w:rPr>
              <w:t>（一）保安队长</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全面负责全院安保队伍日常管理、考勤排班、仪容风纪、在岗纪律督查及服务质量管控；</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负责与</w:t>
            </w:r>
            <w:r>
              <w:rPr>
                <w:rFonts w:ascii="仿宋_GB2312" w:hAnsi="仿宋_GB2312" w:cs="仿宋_GB2312" w:eastAsia="仿宋_GB2312"/>
                <w:sz w:val="24"/>
              </w:rPr>
              <w:t>商洛市中医医院</w:t>
            </w:r>
            <w:r>
              <w:rPr>
                <w:rFonts w:ascii="仿宋_GB2312" w:hAnsi="仿宋_GB2312" w:cs="仿宋_GB2312" w:eastAsia="仿宋_GB2312"/>
                <w:sz w:val="24"/>
              </w:rPr>
              <w:t>日常对接，落实安全管理制度、工作安排及隐患整改要求；</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统筹突发事件、医患纠纷、治安警情的现场指挥、先期处置及信息上报工作；</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组织安保人员开展业务培训、应急演练、岗位实操及日常安全教育；</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健全安保各类工作台账，定期向</w:t>
            </w:r>
            <w:r>
              <w:rPr>
                <w:rFonts w:ascii="仿宋_GB2312" w:hAnsi="仿宋_GB2312" w:cs="仿宋_GB2312" w:eastAsia="仿宋_GB2312"/>
                <w:sz w:val="24"/>
              </w:rPr>
              <w:t>商洛市中医医院</w:t>
            </w:r>
            <w:r>
              <w:rPr>
                <w:rFonts w:ascii="仿宋_GB2312" w:hAnsi="仿宋_GB2312" w:cs="仿宋_GB2312" w:eastAsia="仿宋_GB2312"/>
                <w:sz w:val="24"/>
              </w:rPr>
              <w:t>报送工作开展情况及安全隐患整改落实情况。</w:t>
            </w:r>
          </w:p>
          <w:p>
            <w:pPr>
              <w:pStyle w:val="null3"/>
              <w:ind w:firstLine="480"/>
              <w:jc w:val="both"/>
            </w:pPr>
            <w:r>
              <w:rPr>
                <w:rFonts w:ascii="仿宋_GB2312" w:hAnsi="仿宋_GB2312" w:cs="仿宋_GB2312" w:eastAsia="仿宋_GB2312"/>
                <w:sz w:val="24"/>
              </w:rPr>
              <w:t>（二）消防监控岗</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严格执行消防中控室管理规定，实行</w:t>
            </w:r>
            <w:r>
              <w:rPr>
                <w:rFonts w:ascii="仿宋_GB2312" w:hAnsi="仿宋_GB2312" w:cs="仿宋_GB2312" w:eastAsia="仿宋_GB2312"/>
                <w:sz w:val="24"/>
              </w:rPr>
              <w:t>24小时持证在岗值守，实时监测消防报警系统、安防系统运行状态；</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接到火警、故障及联动报警信号后，第一时间现场核实、登记备案，按规范流程上报并妥善处置；</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熟练操作中控各类设备，规范填写值班记录、设备运行记录、故障处置台账；</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配合</w:t>
            </w:r>
            <w:r>
              <w:rPr>
                <w:rFonts w:ascii="仿宋_GB2312" w:hAnsi="仿宋_GB2312" w:cs="仿宋_GB2312" w:eastAsia="仿宋_GB2312"/>
                <w:sz w:val="24"/>
              </w:rPr>
              <w:t>商洛市中医医院</w:t>
            </w:r>
            <w:r>
              <w:rPr>
                <w:rFonts w:ascii="仿宋_GB2312" w:hAnsi="仿宋_GB2312" w:cs="仿宋_GB2312" w:eastAsia="仿宋_GB2312"/>
                <w:sz w:val="24"/>
              </w:rPr>
              <w:t>开展消防设施巡检、安全隐患排查及消防演练相关工作；</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严格中控室管理，严禁无关人员进入，严禁在岗从事与工作无关事项，杜绝擅自离岗脱岗。</w:t>
            </w:r>
          </w:p>
          <w:p>
            <w:pPr>
              <w:pStyle w:val="null3"/>
              <w:ind w:firstLine="480"/>
              <w:jc w:val="both"/>
            </w:pPr>
            <w:r>
              <w:rPr>
                <w:rFonts w:ascii="仿宋_GB2312" w:hAnsi="仿宋_GB2312" w:cs="仿宋_GB2312" w:eastAsia="仿宋_GB2312"/>
                <w:sz w:val="24"/>
              </w:rPr>
              <w:t>（三）门卫岗</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负责医院出入口人员、车辆进出查验、问询及必要登记，维护出入口通行秩序；</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严格管控闲杂人员、无关车辆随意进入院区，疏导人流车流，确保急诊急救通道时刻畅通；</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严禁易燃易爆、管制器具及各类违禁危险品带入院区内；</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做好来访问询、就医指引等便民服务，及时劝阻院内吵闹滋事、违规扰序等行为；</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遇突发治安、纠纷事件第一时间稳控现场、上报情况并配合后续处置。</w:t>
            </w:r>
          </w:p>
          <w:p>
            <w:pPr>
              <w:pStyle w:val="null3"/>
              <w:ind w:firstLine="480"/>
              <w:jc w:val="both"/>
            </w:pPr>
            <w:r>
              <w:rPr>
                <w:rFonts w:ascii="仿宋_GB2312" w:hAnsi="仿宋_GB2312" w:cs="仿宋_GB2312" w:eastAsia="仿宋_GB2312"/>
                <w:sz w:val="24"/>
              </w:rPr>
              <w:t>（四）巡逻岗</w:t>
            </w:r>
          </w:p>
          <w:p>
            <w:pPr>
              <w:pStyle w:val="null3"/>
              <w:ind w:firstLine="480"/>
              <w:jc w:val="both"/>
            </w:pPr>
            <w:r>
              <w:rPr>
                <w:rFonts w:ascii="仿宋_GB2312" w:hAnsi="仿宋_GB2312" w:cs="仿宋_GB2312" w:eastAsia="仿宋_GB2312"/>
                <w:sz w:val="24"/>
              </w:rPr>
              <w:t>1.实行点位打卡管理，巡逻人员须</w:t>
            </w:r>
            <w:r>
              <w:rPr>
                <w:rFonts w:ascii="仿宋_GB2312" w:hAnsi="仿宋_GB2312" w:cs="仿宋_GB2312" w:eastAsia="仿宋_GB2312"/>
                <w:sz w:val="24"/>
              </w:rPr>
              <w:t>按规定路线、规定频次开展院区全覆盖巡逻，重点覆盖门诊楼、住院楼、楼道通道、停车场、院区边角及消防重点区域，实行日间常规巡逻、夜间加密巡逻；</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常态化排查治安隐患、消防安全隐患、设施破损、车辆乱停、占道堵路等问题，及时劝阻制止并登记上报；</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提前介入处置医患口角、纠纷苗头、可疑人员游荡等情况，做好现场隔离与秩序维护；</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规范填写巡逻台账、隐患排查记录，发现重大安全隐患立即上报</w:t>
            </w:r>
            <w:r>
              <w:rPr>
                <w:rFonts w:ascii="仿宋_GB2312" w:hAnsi="仿宋_GB2312" w:cs="仿宋_GB2312" w:eastAsia="仿宋_GB2312"/>
                <w:sz w:val="24"/>
              </w:rPr>
              <w:t>商洛市中医医院</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配合做好院区治安防控、夜间安防值守及各类突发事件现场警戒维稳。</w:t>
            </w:r>
          </w:p>
          <w:p>
            <w:pPr>
              <w:pStyle w:val="null3"/>
              <w:ind w:firstLine="480"/>
              <w:jc w:val="both"/>
            </w:pPr>
            <w:r>
              <w:rPr>
                <w:rFonts w:ascii="仿宋_GB2312" w:hAnsi="仿宋_GB2312" w:cs="仿宋_GB2312" w:eastAsia="仿宋_GB2312"/>
                <w:sz w:val="24"/>
              </w:rPr>
              <w:t>（五）微型消防站值守岗</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实行</w:t>
            </w:r>
            <w:r>
              <w:rPr>
                <w:rFonts w:ascii="仿宋_GB2312" w:hAnsi="仿宋_GB2312" w:cs="仿宋_GB2312" w:eastAsia="仿宋_GB2312"/>
                <w:sz w:val="24"/>
              </w:rPr>
              <w:t>24小时备勤值守，熟练掌握各类消防器材、灭火装备、应急物资的操作使用方法；</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每日对消防设施、灭火器材、水带水枪及应急物资进行巡查点检、整理维护，确保时刻完好有效；</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承担初期火灾扑救、人员疏散引导、现场警戒隔离等应急处置任务；</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配合</w:t>
            </w:r>
            <w:r>
              <w:rPr>
                <w:rFonts w:ascii="仿宋_GB2312" w:hAnsi="仿宋_GB2312" w:cs="仿宋_GB2312" w:eastAsia="仿宋_GB2312"/>
                <w:sz w:val="24"/>
              </w:rPr>
              <w:t>商洛市中医医院</w:t>
            </w:r>
            <w:r>
              <w:rPr>
                <w:rFonts w:ascii="仿宋_GB2312" w:hAnsi="仿宋_GB2312" w:cs="仿宋_GB2312" w:eastAsia="仿宋_GB2312"/>
                <w:sz w:val="24"/>
              </w:rPr>
              <w:t>开展消防安全宣传、消防演练、日常消防检查及隐患整改工作；</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严格落实值守纪律，规范做好值班记录、器材点检及巡查工作台账。</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80"/>
              <w:jc w:val="both"/>
            </w:pPr>
            <w:r>
              <w:rPr>
                <w:rFonts w:ascii="仿宋_GB2312" w:hAnsi="仿宋_GB2312" w:cs="仿宋_GB2312" w:eastAsia="仿宋_GB2312"/>
                <w:sz w:val="24"/>
              </w:rPr>
              <w:t>四、人员资质及从业规范要求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所有安保人员年龄为</w:t>
            </w:r>
            <w:r>
              <w:rPr>
                <w:rFonts w:ascii="仿宋_GB2312" w:hAnsi="仿宋_GB2312" w:cs="仿宋_GB2312" w:eastAsia="仿宋_GB2312"/>
                <w:sz w:val="24"/>
              </w:rPr>
              <w:t>18周岁—60周岁，身体健康、形象端正，无残疾、无大面积明显纹身、无不良嗜好，适应全天候轮班值守；</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全体安保人员须持有效保安员证上岗，无违法犯罪记录、无重大治安处罚前科，入职须提供无违法犯罪记录证明并报</w:t>
            </w:r>
            <w:r>
              <w:rPr>
                <w:rFonts w:ascii="仿宋_GB2312" w:hAnsi="仿宋_GB2312" w:cs="仿宋_GB2312" w:eastAsia="仿宋_GB2312"/>
                <w:sz w:val="24"/>
              </w:rPr>
              <w:t>商洛市中医医院</w:t>
            </w:r>
            <w:r>
              <w:rPr>
                <w:rFonts w:ascii="仿宋_GB2312" w:hAnsi="仿宋_GB2312" w:cs="仿宋_GB2312" w:eastAsia="仿宋_GB2312"/>
                <w:sz w:val="24"/>
              </w:rPr>
              <w:t>备案；</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消防监控岗人员须持有中级及以上消防设施操作员职业资格证，做到持证上岗、人证合一；</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保安队长须具备</w:t>
            </w:r>
            <w:r>
              <w:rPr>
                <w:rFonts w:ascii="仿宋_GB2312" w:hAnsi="仿宋_GB2312" w:cs="仿宋_GB2312" w:eastAsia="仿宋_GB2312"/>
                <w:sz w:val="24"/>
              </w:rPr>
              <w:t>3年及以上医院或大型公共场所安保管理从业经验，具备队伍管理、应急指挥及沟通协调能力；</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所有人员统一制式着装、规范仪容仪表，严格遵守医院各项规章制度，服从</w:t>
            </w:r>
            <w:r>
              <w:rPr>
                <w:rFonts w:ascii="仿宋_GB2312" w:hAnsi="仿宋_GB2312" w:cs="仿宋_GB2312" w:eastAsia="仿宋_GB2312"/>
                <w:sz w:val="24"/>
              </w:rPr>
              <w:t>商洛市中医医院</w:t>
            </w:r>
            <w:r>
              <w:rPr>
                <w:rFonts w:ascii="仿宋_GB2312" w:hAnsi="仿宋_GB2312" w:cs="仿宋_GB2312" w:eastAsia="仿宋_GB2312"/>
                <w:sz w:val="24"/>
              </w:rPr>
              <w:t>日常管理与调度；</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成交供应商须建立完整人员档案，人员调整更换须提前征得商洛市中医医院同意，不得随意私自换岗、顶岗。</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80"/>
              <w:jc w:val="both"/>
            </w:pPr>
            <w:r>
              <w:rPr>
                <w:rFonts w:ascii="仿宋_GB2312" w:hAnsi="仿宋_GB2312" w:cs="仿宋_GB2312" w:eastAsia="仿宋_GB2312"/>
                <w:sz w:val="24"/>
              </w:rPr>
              <w:t>五、服务标准及工作规范</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各岗位严格执行</w:t>
            </w:r>
            <w:r>
              <w:rPr>
                <w:rFonts w:ascii="仿宋_GB2312" w:hAnsi="仿宋_GB2312" w:cs="仿宋_GB2312" w:eastAsia="仿宋_GB2312"/>
                <w:sz w:val="24"/>
              </w:rPr>
              <w:t>24小时轮班值守制度，合理排班、无缝交接，确保岗位不空岗、不断岗；</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院区巡逻采取定时巡逻</w:t>
            </w:r>
            <w:r>
              <w:rPr>
                <w:rFonts w:ascii="仿宋_GB2312" w:hAnsi="仿宋_GB2312" w:cs="仿宋_GB2312" w:eastAsia="仿宋_GB2312"/>
                <w:sz w:val="24"/>
              </w:rPr>
              <w:t>+ 不定时抽查相结合方式，重点时段、重点区域加密巡查频次；</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值班、巡逻、监控值守、消防点检等全部建立纸质及电子台账，做到全程留痕、有据可查；</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应急处置响应：发生火灾险情、治安事件、医患纠纷、暴力扰序等突发情况，安保人员须快速到场、先期控场、及时上报；</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坚持文明执勤、礼貌服务，规范言行举止，严禁与患者及家属发生争执、粗暴履职；</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严格门禁、车辆及危险品管控，常态化保持消防通道、急诊通道畅通无堵塞占用；</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成交供应商每月至少组织</w:t>
            </w:r>
            <w:r>
              <w:rPr>
                <w:rFonts w:ascii="仿宋_GB2312" w:hAnsi="仿宋_GB2312" w:cs="仿宋_GB2312" w:eastAsia="仿宋_GB2312"/>
                <w:sz w:val="24"/>
              </w:rPr>
              <w:t>1次安保业务、消防技能及应急处置专项培训演练。</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480"/>
              <w:jc w:val="both"/>
            </w:pPr>
            <w:r>
              <w:rPr>
                <w:rFonts w:ascii="仿宋_GB2312" w:hAnsi="仿宋_GB2312" w:cs="仿宋_GB2312" w:eastAsia="仿宋_GB2312"/>
                <w:sz w:val="24"/>
              </w:rPr>
              <w:t>六、履约考核与约束条款</w:t>
            </w:r>
          </w:p>
          <w:p>
            <w:pPr>
              <w:pStyle w:val="null3"/>
              <w:ind w:firstLine="480"/>
              <w:jc w:val="both"/>
            </w:pPr>
            <w:r>
              <w:rPr>
                <w:rFonts w:ascii="仿宋_GB2312" w:hAnsi="仿宋_GB2312" w:cs="仿宋_GB2312" w:eastAsia="仿宋_GB2312"/>
                <w:sz w:val="24"/>
              </w:rPr>
              <w:t>合同履行期间，若成交供应商发生重大安全责任事故、年度服务考核不合格、业主满意度测评低于</w:t>
            </w:r>
            <w:r>
              <w:rPr>
                <w:rFonts w:ascii="仿宋_GB2312" w:hAnsi="仿宋_GB2312" w:cs="仿宋_GB2312" w:eastAsia="仿宋_GB2312"/>
                <w:sz w:val="24"/>
              </w:rPr>
              <w:t>95%，或存在严重违法违规、违纪失职行为的，</w:t>
            </w:r>
            <w:r>
              <w:rPr>
                <w:rFonts w:ascii="仿宋_GB2312" w:hAnsi="仿宋_GB2312" w:cs="仿宋_GB2312" w:eastAsia="仿宋_GB2312"/>
                <w:sz w:val="24"/>
              </w:rPr>
              <w:t>商洛市中医医院</w:t>
            </w:r>
            <w:r>
              <w:rPr>
                <w:rFonts w:ascii="仿宋_GB2312" w:hAnsi="仿宋_GB2312" w:cs="仿宋_GB2312" w:eastAsia="仿宋_GB2312"/>
                <w:sz w:val="24"/>
              </w:rPr>
              <w:t>有权依据本单位物业管理服务考核管理办法予以履约扣款；情节严重的，商洛市中医医院有权单方解除本合同，并按合同约定追究相关违约责任。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1.保安队长：1名； 2.门卫岗、院内巡逻岗：合计14名； 3.消防监控岗：7名； 4.微型消防站值守岗：8名。</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自行配备必要的保安执勤装备，并对装备进行及时更新和维护，确保其工作状态良好所需。</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1.各岗位严格执行24小时轮班值守制度，合理排班、无缝交接，确保岗位不空岗、不断岗； 2.院区巡逻采取定时巡逻 + 不定时抽查相结合方式，重点时段、重点区域加密巡查频次； 3.值班、巡逻、监控值守、消防点检等全部建立纸质及电子台账，做到全程留痕、有据可查； 4.应急处置响应：发生火灾险情、治安事件、医患纠纷、暴力扰序等突发情况，安保人员须快速到场、先期控场、及时上报； 5.坚持文明执勤、礼貌服务，规范言行举止，严禁与患者及家属发生争执、粗暴履职； 6.严格门禁、车辆及危险品管控，常态化保持消防通道、急诊通道畅通无堵塞占用； 7.成交供应商每月至少组织1次安保业务、消防技能及应急处置专项培训演练。</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总周期为三年，实行一年一考核、一年一签订模式。首年服务期限自合同签订生效之日起壹年，年度服务期满后，经采购人对成交供应商服务质量、人员在岗、日常履职等综合考核合格，双方可续签下一年度服务合同；考核不合格，采购人有权不再续签，另行组织采购。</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商洛市中医医院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（1）验收交付主体 （1）验收主体：商洛市中医医院（采购人），由院办公室、后勤保障、保卫、财务及相关业务科室组成验收小组，负责本项目验收交付的组织、实施与审核。 （2）配合主体：成交供应商（安保服务提供方），需全程配合验收，提供所需资料、人员资质、服务记录等，对验收问题及时整改。 （2）验收交付标准 （1）人员配置标准：①按采购要求足额派驻30名合格保安员，不得擅自减少、替换；确需替换的，需提前7个工作日书面报备采购人，经审核同意后方可更换，且替换人员资质不低于原标准。②保安员需年满18-60周岁、身体健康、无违法犯罪记录，持有有效保安员证及健康证明；具备基本安保知识和应急处置能力，着装统一、言行文明，服从采购人管理调度。 （2）服务质量标准：①日常安保：严格执行医院安保制度，做好门诊、住院部、停车场、院区出入口等重点区域值守、巡逻，杜绝无关人员、车辆违规进入，维护正常诊疗、办公秩序。②安全防控：及时排查院区消防设施、监控设备、疏散通道等安全隐患，发现问题立即上报并协助整改；防范盗窃、滋扰等事件，突发事件第一时间启动应急处置并上报。③服务规范：执勤时坚守岗位、不脱岗睡岗，文明执勤、礼貌用语，主动为就诊患者、家属及职工提供咨询、引导服务；规范做好来访人员、车辆登记备案，做到有据可查。④制度执行：严格遵守采购人各项安保、考勤及保密规定，配合完成安全检查、应急演练等工作，做好服务记录并定期提交。 （3）履约合规标准：①服务期限：严格按合同约定执行，年度服务期满完成全部服务内容，无擅自中断服务、缩减服务范围等情况。②资料交付：服务期间定期提交安保日志、巡逻记录、隐患排查报告、考勤记录等；年度验收时提交完整年度服务总结及佐证材料。③其他要求：符合国家法律法规、行业规范及采购文件、合同约定，无违规违约行为。 （3）验收交付方法 （1）验收方式：本项目实行“日常考核+季度抽查+年度综合验收”相结合的方式，年度综合验收合格后方可办理交付及续签手续。①日常考核：由采购人保卫科负责，每日检查保安员到岗、执勤、服务质量等并记录，每周汇总，作为季度、年度验收依据。②季度抽查：验收小组每季度末随机抽查服务质量、人员配置、资料提交等情况，书面反馈结果，责令问题限期整改并复核。③年度综合验收：年度服务期满后15个工作日内，验收小组通过查阅资料、现场核查、人员问询等方式，全面验收当期服务。 （2）验收流程：①申请验收：年度服务期满后，供应商整理齐全验收资料，向采购人提交书面验收申请。②组织验收：采购人收到申请后5个工作日内，组织验收小组开展验收，供应商全程配合。③核查审核：验收小组现场核查在岗及服务执行情况，查阅相关资料，对照标准逐项打分（评分表另行制定）。④验收结论：总分≥90分为合格，出具《验收合格报告》并签字确认，完成交付；≤89分为不合格，出具《验收整改通知书》，供应商整改后重新申请验收，仍不合格的，采购人有权终止合同并追究违约责任。 （3）交付要求：①年度验收合格后，供应商移交当期全部安保服务资料（日志、巡逻记录、考核记录、人员档案等），确保完整可追溯。②合同终止或服务期满不续签的，供应商做好人员、安保器材、服装等物资交接，确保院区安保工作平稳过渡。 （4）验收异议处理 （1）验收中双方对结果有异议的，协商解决；协商不成的，向相关监管部门申请协调。 （2）供应商对整改要求有异议的，可在收到《验收整改通知书》后3个工作日内书面提出，验收小组5个工作日内答复，答复作为整改依据。 （5）其他说明 （1）验收合格是支付当期服务费用的重要依据，未通过年度验收的，采购人可暂缓支付费用，直至整改合格。 （2）验收过程中形成的验收记录、报告、整改通知等，双方共同留存备查。</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服务费按月以转账方式结算，甲乙双方在无争议的前提下，乙方在每月初的5日前将上月服务费的税务发票交付甲方，甲方按照医院财务流程在5个工作日内将上一月的服务费通过转账方式转入乙方提供的账户，付款日期如遇节假日的，将顺延至下一个工作日。合同期内前11个月每月支付合同总价的8%（按四舍五入取整），剩余款项在合同履行完成，考核、验收合格，达到付款条件起7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本章节遵循《中华人民共和国政府采购法实施条例》《保安服务管理条例》相关规定，结合合同约定及履约实际，明确双方违约情形及承担方式，确保权责对等。 (1)供应商违约责任：①未按约定足额派驻30名保安员，或擅自减少、替换保安员未按规定报备审核的，每1人次违规按当期服务费用0.5%支付违约金；累计违规3人次及以上，采购人可暂停付费、责令整改，整改不合格的，有权解除合同，要求供应商支付合同总价20%违约金并赔偿损失。②派驻保安员不符合资质要求，或出现脱岗、睡岗、违规执勤等情况，每发现1次可扣除相应服务费并责令换岗；累计5次及以上，视为违约，采购人有权终止合同并追究责任。③未履行安保服务义务，导致安全隐患未排查、突发事件处置不当，或造成人员人身伤害、财产损失、诊疗秩序混乱的，供应商承担全部赔偿责任，采购人有权解除合同并要求支付合同总价20%违约金。④擅自中断服务、缩减服务范围，或未按要求提交资料、验收弄虚作假的，视为根本性违约，采购人有权解除合同、不予支付剩余服务费，要求支付合同总价10%-20%违约金并赔偿损失。⑤未按要求完成资料、人员及物资交接，导致安保工作脱节的，每延误1天按当期服务费0.5%支付违约金，造成损失的另行赔偿。 (2)采购人违约责任：①未按合同约定及时支付服务费，每迟延1天按逾期款项0.5%支付违约金；迟延超过30天，供应商有权中止服务并要求赔偿损失。②无正当理由单方终止合同的，需支付合同总价20%违约金并赔偿供应商合理损失（不含不可预见额外支出）。③未提供必要工作条件、未配合供应商履约，导致其无法正常服务的，承担相应责任并赔偿合理损失。 (3)其他违约说明：①因不可抗力导致无法履约的，互不承担责任，但受影响一方需3日内书面通知对方，10日内提交证明材料协商后续事宜；迟延履行后发生不可抗力的，不免责。②一方违约后，另一方应书面通知整改，违约方未按期整改或整改不合格的，守约方可按约定追究违约责任直至解除合同。③违约金累计最高不超过合同总价5%，不足以弥补损失的，违约方需补足差额。 （2）解决争议的方法 本项目履约过程中，双方因合同履行、验收、违约责任等产生的争议，按以下方式解决： (1)协商解决：争议发生后，双方5个工作日内启动协商，明确焦点及解决方案，形成书面纪要并签字确认执行。 (2)投诉协调：协商不成的，供应商可向采购人所属财政监管部门提起质疑、投诉，采购人配合监管部门调查处理。 (3)诉讼解决：协商、财政协调仍无法解决的，任何一方可向商洛市中医医院所在地有管辖权的人民法院提起诉讼。 (4)争议解决期间，除争议事项外，双方继续履行合同其他约定，避免损失扩大。</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合同履行期间，若成交供应商发生重大安全责任事故、年度服务考核不合格、业主满意度测评低于95%，或存在严重违法违规、违纪失职行为的，商洛市中医医院有权依据本单位物业管理服务考核管理办法予以履约扣款；情节严重的，商洛市中医医院有权单方解除本合同，并按合同约定追究相关违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主体资格合法有效</w:t>
            </w:r>
          </w:p>
        </w:tc>
        <w:tc>
          <w:tcPr>
            <w:tcW w:type="dxa" w:w="3322"/>
          </w:tcPr>
          <w:p>
            <w:pPr>
              <w:pStyle w:val="null3"/>
            </w:pPr>
            <w:r>
              <w:rPr>
                <w:rFonts w:ascii="仿宋_GB2312" w:hAnsi="仿宋_GB2312" w:cs="仿宋_GB2312" w:eastAsia="仿宋_GB2312"/>
              </w:rPr>
              <w:t>供应商须在中华人民共和国境内注册，依法取得并有效存续的营业执照（或事业单位法人证书\民办非企业单位登记证书\非企业专业服务机构执业许可证等主体资格证书）。供应商须在项目电子化采购系统中提交主体资格证书（根据企业类型、性质选择其一）原件的扫描件，并完成电子签章。</w:t>
            </w:r>
          </w:p>
        </w:tc>
        <w:tc>
          <w:tcPr>
            <w:tcW w:type="dxa" w:w="1661"/>
          </w:tcPr>
          <w:p>
            <w:pPr>
              <w:pStyle w:val="null3"/>
            </w:pPr>
            <w:r>
              <w:rPr>
                <w:rFonts w:ascii="仿宋_GB2312" w:hAnsi="仿宋_GB2312" w:cs="仿宋_GB2312" w:eastAsia="仿宋_GB2312"/>
              </w:rPr>
              <w:t>主体资格证明文件.docx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保安服务许可证合法有效</w:t>
            </w:r>
          </w:p>
        </w:tc>
        <w:tc>
          <w:tcPr>
            <w:tcW w:type="dxa" w:w="3322"/>
          </w:tcPr>
          <w:p>
            <w:pPr>
              <w:pStyle w:val="null3"/>
            </w:pPr>
            <w:r>
              <w:rPr>
                <w:rFonts w:ascii="仿宋_GB2312" w:hAnsi="仿宋_GB2312" w:cs="仿宋_GB2312" w:eastAsia="仿宋_GB2312"/>
              </w:rPr>
              <w:t>供应商须在须依法取得并有效存续的保安服务许可证，并须在项目电子化采购系统中提交主保安服务许可证原件的扫描件，完成电子签章。</w:t>
            </w:r>
          </w:p>
        </w:tc>
        <w:tc>
          <w:tcPr>
            <w:tcW w:type="dxa" w:w="1661"/>
          </w:tcPr>
          <w:p>
            <w:pPr>
              <w:pStyle w:val="null3"/>
            </w:pPr>
            <w:r>
              <w:rPr>
                <w:rFonts w:ascii="仿宋_GB2312" w:hAnsi="仿宋_GB2312" w:cs="仿宋_GB2312" w:eastAsia="仿宋_GB2312"/>
              </w:rPr>
              <w:t>保安服务许可证.docx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具有良好的财务状况</w:t>
            </w:r>
          </w:p>
        </w:tc>
        <w:tc>
          <w:tcPr>
            <w:tcW w:type="dxa" w:w="3322"/>
          </w:tcPr>
          <w:p>
            <w:pPr>
              <w:pStyle w:val="null3"/>
            </w:pPr>
            <w:r>
              <w:rPr>
                <w:rFonts w:ascii="仿宋_GB2312" w:hAnsi="仿宋_GB2312" w:cs="仿宋_GB2312" w:eastAsia="仿宋_GB2312"/>
              </w:rPr>
              <w:t>供应商须具有良好的财务状况，并须在项目电子化交易系统中提交近一个年度经第三方机构审计的财务报告（成立时间至提交响应文件截止时间不足一年的可提供成立后任意时段的资产负债表），或其本项目磋商公告前三个月内基本开户银行出具的资信证明（以上两种形式的资料提供任何一种即可），并完成电子签章。</w:t>
            </w:r>
          </w:p>
        </w:tc>
        <w:tc>
          <w:tcPr>
            <w:tcW w:type="dxa" w:w="1661"/>
          </w:tcPr>
          <w:p>
            <w:pPr>
              <w:pStyle w:val="null3"/>
            </w:pPr>
            <w:r>
              <w:rPr>
                <w:rFonts w:ascii="仿宋_GB2312" w:hAnsi="仿宋_GB2312" w:cs="仿宋_GB2312" w:eastAsia="仿宋_GB2312"/>
              </w:rPr>
              <w:t>财务状况证明.docx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具有良好的税收缴纳记录</w:t>
            </w:r>
          </w:p>
        </w:tc>
        <w:tc>
          <w:tcPr>
            <w:tcW w:type="dxa" w:w="3322"/>
          </w:tcPr>
          <w:p>
            <w:pPr>
              <w:pStyle w:val="null3"/>
            </w:pPr>
            <w:r>
              <w:rPr>
                <w:rFonts w:ascii="仿宋_GB2312" w:hAnsi="仿宋_GB2312" w:cs="仿宋_GB2312" w:eastAsia="仿宋_GB2312"/>
              </w:rPr>
              <w:t>供应商须具有良好的税收缴纳记录，并须在项目电子化交易系统中提交2025年以来内任意一个月的缴纳税收凭据（任意税种，时间以税款所属日期为准，凭据须有税务机关或代收机关的公章或业务专用章，依法免税或无须缴纳税收应提供相应证明文件），并完成电子签章。</w:t>
            </w:r>
          </w:p>
        </w:tc>
        <w:tc>
          <w:tcPr>
            <w:tcW w:type="dxa" w:w="1661"/>
          </w:tcPr>
          <w:p>
            <w:pPr>
              <w:pStyle w:val="null3"/>
            </w:pPr>
            <w:r>
              <w:rPr>
                <w:rFonts w:ascii="仿宋_GB2312" w:hAnsi="仿宋_GB2312" w:cs="仿宋_GB2312" w:eastAsia="仿宋_GB2312"/>
              </w:rPr>
              <w:t>税收缴纳记录证明.docx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具有良好的社会保障资金缴纳记录</w:t>
            </w:r>
          </w:p>
        </w:tc>
        <w:tc>
          <w:tcPr>
            <w:tcW w:type="dxa" w:w="3322"/>
          </w:tcPr>
          <w:p>
            <w:pPr>
              <w:pStyle w:val="null3"/>
            </w:pPr>
            <w:r>
              <w:rPr>
                <w:rFonts w:ascii="仿宋_GB2312" w:hAnsi="仿宋_GB2312" w:cs="仿宋_GB2312" w:eastAsia="仿宋_GB2312"/>
              </w:rPr>
              <w:t>供应商须具有良好的社会保障资金缴纳记录，并须在项目电子化交易系统中提交2025年以来内任意一个月的社会保障资金缴存单据或社保机构开具的社会保险参保缴费情况证明，依法不需要缴纳社会保障资金的须提供相关证明文件，并完成电子签章。</w:t>
            </w:r>
          </w:p>
        </w:tc>
        <w:tc>
          <w:tcPr>
            <w:tcW w:type="dxa" w:w="1661"/>
          </w:tcPr>
          <w:p>
            <w:pPr>
              <w:pStyle w:val="null3"/>
            </w:pPr>
            <w:r>
              <w:rPr>
                <w:rFonts w:ascii="仿宋_GB2312" w:hAnsi="仿宋_GB2312" w:cs="仿宋_GB2312" w:eastAsia="仿宋_GB2312"/>
              </w:rPr>
              <w:t>社会保障资金缴纳记录证明.docx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近三年内在经营活动中无重大违法记录</w:t>
            </w:r>
          </w:p>
        </w:tc>
        <w:tc>
          <w:tcPr>
            <w:tcW w:type="dxa" w:w="3322"/>
          </w:tcPr>
          <w:p>
            <w:pPr>
              <w:pStyle w:val="null3"/>
            </w:pPr>
            <w:r>
              <w:rPr>
                <w:rFonts w:ascii="仿宋_GB2312" w:hAnsi="仿宋_GB2312" w:cs="仿宋_GB2312" w:eastAsia="仿宋_GB2312"/>
              </w:rPr>
              <w:t>供应商近三年内在经营活动中须无重大违法记录，并须在项目电子化交易系统中提交近三年内在经营活动中无重大违法记录声明函，且近三年内在经营活动中无重大违法记录，并完成电子签章。</w:t>
            </w:r>
          </w:p>
        </w:tc>
        <w:tc>
          <w:tcPr>
            <w:tcW w:type="dxa" w:w="1661"/>
          </w:tcPr>
          <w:p>
            <w:pPr>
              <w:pStyle w:val="null3"/>
            </w:pPr>
            <w:r>
              <w:rPr>
                <w:rFonts w:ascii="仿宋_GB2312" w:hAnsi="仿宋_GB2312" w:cs="仿宋_GB2312" w:eastAsia="仿宋_GB2312"/>
              </w:rPr>
              <w:t>无重大违法记录声明.docx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控股关系承诺合法有效</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同一合同项下政府采购活动。供应商须在项目电子化交易系统中提交“单位负责人为同一人或者存在直接控股、管理关系的不同供应商，不得同时参加本项目同一合同项下的政府采购活动的承诺书”原件的扫描件，并完成电子签章。</w:t>
            </w:r>
          </w:p>
        </w:tc>
        <w:tc>
          <w:tcPr>
            <w:tcW w:type="dxa" w:w="1661"/>
          </w:tcPr>
          <w:p>
            <w:pPr>
              <w:pStyle w:val="null3"/>
            </w:pPr>
            <w:r>
              <w:rPr>
                <w:rFonts w:ascii="仿宋_GB2312" w:hAnsi="仿宋_GB2312" w:cs="仿宋_GB2312" w:eastAsia="仿宋_GB2312"/>
              </w:rPr>
              <w:t>控股管理关系承诺函.docx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非联合体不分包响应声明合法有效</w:t>
            </w:r>
          </w:p>
        </w:tc>
        <w:tc>
          <w:tcPr>
            <w:tcW w:type="dxa" w:w="3322"/>
          </w:tcPr>
          <w:p>
            <w:pPr>
              <w:pStyle w:val="null3"/>
            </w:pPr>
            <w:r>
              <w:rPr>
                <w:rFonts w:ascii="仿宋_GB2312" w:hAnsi="仿宋_GB2312" w:cs="仿宋_GB2312" w:eastAsia="仿宋_GB2312"/>
              </w:rPr>
              <w:t>本项目不接受联合体响应，供应商须以一个独立的法人实体参加响应。供应商须在项目电子化交易系统中提交“非联合体不分包响应声明函”原件的扫描件，并完成电子签章。</w:t>
            </w:r>
          </w:p>
        </w:tc>
        <w:tc>
          <w:tcPr>
            <w:tcW w:type="dxa" w:w="1661"/>
          </w:tcPr>
          <w:p>
            <w:pPr>
              <w:pStyle w:val="null3"/>
            </w:pPr>
            <w:r>
              <w:rPr>
                <w:rFonts w:ascii="仿宋_GB2312" w:hAnsi="仿宋_GB2312" w:cs="仿宋_GB2312" w:eastAsia="仿宋_GB2312"/>
              </w:rPr>
              <w:t>非联合体不分包响应声明函.docx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信用记录声明及查询合法有效</w:t>
            </w:r>
          </w:p>
        </w:tc>
        <w:tc>
          <w:tcPr>
            <w:tcW w:type="dxa" w:w="3322"/>
          </w:tcPr>
          <w:p>
            <w:pPr>
              <w:pStyle w:val="null3"/>
            </w:pPr>
            <w:r>
              <w:rPr>
                <w:rFonts w:ascii="仿宋_GB2312" w:hAnsi="仿宋_GB2312" w:cs="仿宋_GB2312" w:eastAsia="仿宋_GB2312"/>
              </w:rPr>
              <w:t>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供应商信用记录声明函》，并完成电子签章。采购人及采购代理机构在开标后现场查询信用记录并下载查询报告及截图保存，存在不良信用记录的，按无效响应处理。</w:t>
            </w:r>
          </w:p>
        </w:tc>
        <w:tc>
          <w:tcPr>
            <w:tcW w:type="dxa" w:w="1661"/>
          </w:tcPr>
          <w:p>
            <w:pPr>
              <w:pStyle w:val="null3"/>
            </w:pPr>
            <w:r>
              <w:rPr>
                <w:rFonts w:ascii="仿宋_GB2312" w:hAnsi="仿宋_GB2312" w:cs="仿宋_GB2312" w:eastAsia="仿宋_GB2312"/>
              </w:rPr>
              <w:t>信用记录声明函.docx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法定代表人授权书合法有效</w:t>
            </w:r>
          </w:p>
        </w:tc>
        <w:tc>
          <w:tcPr>
            <w:tcW w:type="dxa" w:w="3322"/>
          </w:tcPr>
          <w:p>
            <w:pPr>
              <w:pStyle w:val="null3"/>
            </w:pPr>
            <w:r>
              <w:rPr>
                <w:rFonts w:ascii="仿宋_GB2312" w:hAnsi="仿宋_GB2312" w:cs="仿宋_GB2312" w:eastAsia="仿宋_GB2312"/>
              </w:rPr>
              <w:t>供应商法定代表人直接参加磋商的须提供本人身份证、法定代表人身份证明书，法定代表人授权代表参加磋商的须提供法定代表人授权书、被授权人身份证，并须在项目电子化交易系统中提交法定代表人身份证、法定代表人身份证明书（或法定代表人授权书、被授权人身份证）原件的扫描件，并完成电子签章。</w:t>
            </w:r>
          </w:p>
        </w:tc>
        <w:tc>
          <w:tcPr>
            <w:tcW w:type="dxa" w:w="1661"/>
          </w:tcPr>
          <w:p>
            <w:pPr>
              <w:pStyle w:val="null3"/>
            </w:pPr>
            <w:r>
              <w:rPr>
                <w:rFonts w:ascii="仿宋_GB2312" w:hAnsi="仿宋_GB2312" w:cs="仿宋_GB2312" w:eastAsia="仿宋_GB2312"/>
              </w:rPr>
              <w:t>法定代表人授权书.docx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响应文件的签字、盖章及有效期。</w:t>
            </w:r>
          </w:p>
        </w:tc>
        <w:tc>
          <w:tcPr>
            <w:tcW w:type="dxa" w:w="3322"/>
          </w:tcPr>
          <w:p>
            <w:pPr>
              <w:pStyle w:val="null3"/>
            </w:pPr>
            <w:r>
              <w:rPr>
                <w:rFonts w:ascii="仿宋_GB2312" w:hAnsi="仿宋_GB2312" w:cs="仿宋_GB2312" w:eastAsia="仿宋_GB2312"/>
              </w:rPr>
              <w:t>响应文件中的签字、盖章必须齐全、完整，响应函上须明确标明响应文件的有效期。响应文件签字、盖章不完整，有效期不符合要求的，符合性审查不予通过。</w:t>
            </w:r>
          </w:p>
        </w:tc>
        <w:tc>
          <w:tcPr>
            <w:tcW w:type="dxa" w:w="1661"/>
          </w:tcPr>
          <w:p>
            <w:pPr>
              <w:pStyle w:val="null3"/>
            </w:pPr>
            <w:r>
              <w:rPr>
                <w:rFonts w:ascii="仿宋_GB2312" w:hAnsi="仿宋_GB2312" w:cs="仿宋_GB2312" w:eastAsia="仿宋_GB2312"/>
              </w:rPr>
              <w:t>响应文件封面 响应函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响应报价不得超过项目预算价，否则符合性审查不予通过。</w:t>
            </w:r>
          </w:p>
        </w:tc>
        <w:tc>
          <w:tcPr>
            <w:tcW w:type="dxa" w:w="1661"/>
          </w:tcPr>
          <w:p>
            <w:pPr>
              <w:pStyle w:val="null3"/>
            </w:pPr>
            <w:r>
              <w:rPr>
                <w:rFonts w:ascii="仿宋_GB2312" w:hAnsi="仿宋_GB2312" w:cs="仿宋_GB2312" w:eastAsia="仿宋_GB2312"/>
              </w:rPr>
              <w:t>报价表 响应价格报价表.docx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供应商须对第三章《磋商项目技术、服务、商务及其他要求》中的技术及服务要求作出实质性响应，未作出实质性响应的，符合性审查不予通过。</w:t>
            </w:r>
          </w:p>
        </w:tc>
        <w:tc>
          <w:tcPr>
            <w:tcW w:type="dxa" w:w="1661"/>
          </w:tcPr>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供应商须对第三章《磋商项目技术、服务、商务及其他要求》中的商务要求作出实质性响应，未作出实质性响应的，符合性审查不予通过。</w:t>
            </w:r>
          </w:p>
        </w:tc>
        <w:tc>
          <w:tcPr>
            <w:tcW w:type="dxa" w:w="1661"/>
          </w:tcPr>
          <w:p>
            <w:pPr>
              <w:pStyle w:val="null3"/>
            </w:pPr>
            <w:r>
              <w:rPr>
                <w:rFonts w:ascii="仿宋_GB2312" w:hAnsi="仿宋_GB2312" w:cs="仿宋_GB2312" w:eastAsia="仿宋_GB2312"/>
              </w:rPr>
              <w:t>商务响应方案.docx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供应商承诺</w:t>
            </w:r>
          </w:p>
        </w:tc>
        <w:tc>
          <w:tcPr>
            <w:tcW w:type="dxa" w:w="3322"/>
          </w:tcPr>
          <w:p>
            <w:pPr>
              <w:pStyle w:val="null3"/>
            </w:pPr>
            <w:r>
              <w:rPr>
                <w:rFonts w:ascii="仿宋_GB2312" w:hAnsi="仿宋_GB2312" w:cs="仿宋_GB2312" w:eastAsia="仿宋_GB2312"/>
              </w:rPr>
              <w:t>供应商须按要求完成相关承诺，为进行相关承诺的，符合性审查不予通过。</w:t>
            </w:r>
          </w:p>
        </w:tc>
        <w:tc>
          <w:tcPr>
            <w:tcW w:type="dxa" w:w="1661"/>
          </w:tcPr>
          <w:p>
            <w:pPr>
              <w:pStyle w:val="null3"/>
            </w:pPr>
            <w:r>
              <w:rPr>
                <w:rFonts w:ascii="仿宋_GB2312" w:hAnsi="仿宋_GB2312" w:cs="仿宋_GB2312" w:eastAsia="仿宋_GB2312"/>
              </w:rPr>
              <w:t>供应商承诺书（一）.docx 供应商承诺书（二）.docx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技术响应方案</w:t>
            </w:r>
          </w:p>
        </w:tc>
        <w:tc>
          <w:tcPr>
            <w:tcW w:type="dxa" w:w="2492"/>
          </w:tcPr>
          <w:p>
            <w:pPr>
              <w:pStyle w:val="null3"/>
            </w:pPr>
            <w:r>
              <w:rPr>
                <w:rFonts w:ascii="仿宋_GB2312" w:hAnsi="仿宋_GB2312" w:cs="仿宋_GB2312" w:eastAsia="仿宋_GB2312"/>
              </w:rPr>
              <w:t>1. 岗位设置及人员配置响应（7分）：完全按项目需求设置保安队长、门卫岗、巡逻岗、消防监控岗、微型消防站值守岗5类岗位，足额配备30名人员（保安队长1名、门卫岗及巡逻岗合计14名、消防监控岗7名、微型消防站值守岗8名），排班方案明确（明确三班两运转/四班三运转模式），可保障7×24小时不间断值守，无空岗、脱岗隐患，得7分；人员足额配备，但未明确排班模式或轮休机制，排班不完善，得4-6分（未明确排班模式得4分，未明确轮休机制得5-6分）；人员缺失1名及以上或岗位缺失1项及以上，得0分。 2. 各岗位职责响应（7分）：完全覆盖5类岗位职责所有条款，且结合医院场景补充履职细节（如保安队长明确每日考勤督查1次、消防监控岗明确报警核实时限≤5分钟），得7分；覆盖4类岗位职责，无重大遗漏，未补充履职细节，得4-6分（覆盖4类且无遗漏得6分，覆盖4类有1项轻微遗漏得4-5分）；缺失3类及以上岗位职责，或与项目需求严重不符（如消防监控岗未提及持证值守），得0分。 3. 服务标准及工作规范响应（6分）：完全响应24小时轮班值守、巡逻频次（日间每2小时1次、夜间每1小时1次）、台账管理等核心规范，且提供具体落实措施（如巡逻路线示意图、台账模板），得6分；基本响应核心规范，但未提供落实措施，或1项核心规范未响应（如未明确巡逻频次），得3-5分（未提供措施得4-5分，1项核心规范未响应得3分）；核心规范未响应2项及以上，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商务响应方案</w:t>
            </w:r>
          </w:p>
        </w:tc>
        <w:tc>
          <w:tcPr>
            <w:tcW w:type="dxa" w:w="2492"/>
          </w:tcPr>
          <w:p>
            <w:pPr>
              <w:pStyle w:val="null3"/>
            </w:pPr>
            <w:r>
              <w:rPr>
                <w:rFonts w:ascii="仿宋_GB2312" w:hAnsi="仿宋_GB2312" w:cs="仿宋_GB2312" w:eastAsia="仿宋_GB2312"/>
              </w:rPr>
              <w:t>1. 履约承诺响应（3分）：承诺严格遵守磋商文件及合同约定，明确无擅自中断服务、私自更换人员等违规行为，且明确违约处置措施（如擅自更换人员每人次支付违约金500元），得3分；承诺涵盖主要违规行为，但未明确违约处置措施，得1-2分（涵盖所有违规行为得2分，涵盖部分违规行为得1分）；无履约承诺或承诺空洞，得0分。 2. 履约服务保障（3分）：建立履约服务保障体系，明确对接人员（姓名、联系方式），紧急事项响应≤30分钟、一般事项响应≤2小时，每月开展1次满意度回访，有完整整改机制，得3分；有保障体系，但1项未达标（如回访每2个月1次、紧急响应≤1小时），得1-2分（1项未达标得2分，2项未达标得1分）；未建立服务保障体系，得0分。 3. 商务条款响应（4分）：完全响应服务期限、付款方式、资料交付等商务条款，无偏离，得4分；1-2项轻微偏离（不影响履约，如资料交付延迟1-3个工作日），且有合理理由，得2-3分（1项偏离得3分，2项偏离得2分）；重大偏离（如不认可服务期限、拟分包主体工作）或偏离≥3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商务响应方案.docx</w:t>
            </w:r>
          </w:p>
        </w:tc>
      </w:tr>
      <w:tr>
        <w:tc>
          <w:tcPr>
            <w:tcW w:type="dxa" w:w="831"/>
            <w:vMerge/>
          </w:tcPr>
          <w:p/>
        </w:tc>
        <w:tc>
          <w:tcPr>
            <w:tcW w:type="dxa" w:w="1661"/>
          </w:tcPr>
          <w:p>
            <w:pPr>
              <w:pStyle w:val="null3"/>
            </w:pPr>
            <w:r>
              <w:rPr>
                <w:rFonts w:ascii="仿宋_GB2312" w:hAnsi="仿宋_GB2312" w:cs="仿宋_GB2312" w:eastAsia="仿宋_GB2312"/>
              </w:rPr>
              <w:t>技术保障响应方案</w:t>
            </w:r>
          </w:p>
        </w:tc>
        <w:tc>
          <w:tcPr>
            <w:tcW w:type="dxa" w:w="2492"/>
          </w:tcPr>
          <w:p>
            <w:pPr>
              <w:pStyle w:val="null3"/>
            </w:pPr>
            <w:r>
              <w:rPr>
                <w:rFonts w:ascii="仿宋_GB2312" w:hAnsi="仿宋_GB2312" w:cs="仿宋_GB2312" w:eastAsia="仿宋_GB2312"/>
              </w:rPr>
              <w:t>1. 安保设备保障（5分）：配备对讲机≥15台、消防器材按岗位足额配备，设备符合国家相关标准，明确维护周期（每月1次常规维护）、更换时限（故障后24小时内更换），且提供设备合格证明，得5分；有设备保障方案，但未明确维护/更换周期，或未提供合格证明，得3-4分（未明确周期得3分，未提供合格证明得4分）；无保障措施或设备数量/规格不达标，得0分。 2. 管理制度建设（5分）：建立安保管理、考勤、仪容风纪、台账、交接班5项核心制度，内容贴合医院场景，可直接落地，得4分；缺失1项非核心制度（如仪容风纪制度）或制度针对性不足，得3-4分（缺失1项得4分，针对性不足得3分）；未建立核心制度或缺失2项及以上，得0分。 3. 技术支持能力（5分）：技术支持团队≥3人，明确成员资质，每月开展1次集中技术指导、1次技术巡检，有明确支持流程，得5分；有技术团队，但未明确巡检/指导频次或支持流程，得3-4分（1项未明确得4分，2项均未明确得3分）；无技术支持团队，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技术保障响应方案.docx</w:t>
            </w:r>
          </w:p>
        </w:tc>
      </w:tr>
      <w:tr>
        <w:tc>
          <w:tcPr>
            <w:tcW w:type="dxa" w:w="831"/>
            <w:vMerge/>
          </w:tcPr>
          <w:p/>
        </w:tc>
        <w:tc>
          <w:tcPr>
            <w:tcW w:type="dxa" w:w="1661"/>
          </w:tcPr>
          <w:p>
            <w:pPr>
              <w:pStyle w:val="null3"/>
            </w:pPr>
            <w:r>
              <w:rPr>
                <w:rFonts w:ascii="仿宋_GB2312" w:hAnsi="仿宋_GB2312" w:cs="仿宋_GB2312" w:eastAsia="仿宋_GB2312"/>
              </w:rPr>
              <w:t>人员保障响应方案</w:t>
            </w:r>
          </w:p>
        </w:tc>
        <w:tc>
          <w:tcPr>
            <w:tcW w:type="dxa" w:w="2492"/>
          </w:tcPr>
          <w:p>
            <w:pPr>
              <w:pStyle w:val="null3"/>
            </w:pPr>
            <w:r>
              <w:rPr>
                <w:rFonts w:ascii="仿宋_GB2312" w:hAnsi="仿宋_GB2312" w:cs="仿宋_GB2312" w:eastAsia="仿宋_GB2312"/>
              </w:rPr>
              <w:t>人员保障响应方案（20分）： 1. 人员资质达标情况（8分）：全体安保人员持有效保安员证、无违法犯罪记录证明（公安机关出具，有效期内）；消防监控岗7名人员均持中级及以上消防设施操作员证（人证合一，有效期内）；保安队长提供3年及以上医院/大型公共场所安保管理经验证明（加盖原单位公章）；拟派人员均提供近3个月社保证明，所有资质齐全有效，得8分；1-2名人员资质不符（如消防监控岗资质不足、队长经验不足2年），得4-7分（1名不符得6-7分，2名不符得4-5分）；3名及以上资质不符或队长无相关经验，得0分。 2. 人员配置合理性（6分）：拟派人员均为18-60周岁（提供年龄证明），无大面积纹身、无不良嗜好（提供体检证明），形象端正、无残疾；人员分工明确，与岗位匹配度高；提供完整人员档案（含基本信息、资质、社保、体检证明），得6分；人员基本符合要求，但分工不明确或档案缺失1项非核心材料，得3-5分（分工不明确得3-4分，档案不完整得4-5分）；1名及以上人员年龄/形象等不符合要求，或分工混乱，得0分。 3. 人员管理及培训（6分）：建立人员管理、培训体系，明确人员调整需提前15个工作日书面征得采购单位同意；每月组织1次专项培训演练（培训≥4小时、演练≥2小时），有完整计划及记录模板，得6分；体系基本完善，但培训频次未达标（每2个月1次）或未明确调整流程，得3-5分（1项未达标得3-4分，2项均未达标得3分）；未建立管理培训体系，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人员保障响应方案.docx</w:t>
            </w:r>
          </w:p>
        </w:tc>
      </w:tr>
      <w:tr>
        <w:tc>
          <w:tcPr>
            <w:tcW w:type="dxa" w:w="831"/>
            <w:vMerge/>
          </w:tcPr>
          <w:p/>
        </w:tc>
        <w:tc>
          <w:tcPr>
            <w:tcW w:type="dxa" w:w="1661"/>
          </w:tcPr>
          <w:p>
            <w:pPr>
              <w:pStyle w:val="null3"/>
            </w:pPr>
            <w:r>
              <w:rPr>
                <w:rFonts w:ascii="仿宋_GB2312" w:hAnsi="仿宋_GB2312" w:cs="仿宋_GB2312" w:eastAsia="仿宋_GB2312"/>
              </w:rPr>
              <w:t>应急及风险防范处置响应方案</w:t>
            </w:r>
          </w:p>
        </w:tc>
        <w:tc>
          <w:tcPr>
            <w:tcW w:type="dxa" w:w="2492"/>
          </w:tcPr>
          <w:p>
            <w:pPr>
              <w:pStyle w:val="null3"/>
            </w:pPr>
            <w:r>
              <w:rPr>
                <w:rFonts w:ascii="仿宋_GB2312" w:hAnsi="仿宋_GB2312" w:cs="仿宋_GB2312" w:eastAsia="仿宋_GB2312"/>
              </w:rPr>
              <w:t>1. 风险防范方案（3分）：全面识别治安、消防、医患纠纷、危险品管控、急诊通道堵塞5类核心风险，每类风险明确防范责任人、防范频次（每日1次排查），措施具体，得3分；识别3-4类核心风险，措施不具体（未明确责任人/频次），得1-2分（识别4类得2分，识别3类得1分）；未制定方案或识别不足3类，得0分。 2. 应急处置方案（4分）：针对火灾、治安事件、医患纠纷、暴力扰序4类突发事件，明确响应时间≤5分钟，处置步骤≥4个，责任分工清晰，贴合医院实际，得4分；方案基本完整，但缺失1个处置步骤或未明确责任分工，得2-3分（1项不完善得3分，2项及以上不完善得2分）；未制定方案，得0分。 3. 应急演练及保障（3分）：每月开展1次应急演练，覆盖所有突发事件类型；配备灭火器、急救箱、防暴器材等应急物资，明确数量、存放位置，有维护方案（每月1次点检），得3分；有演练计划但未明确频次，或未提供应急物资清单，得1-2分（1项未明确得2分，2项均未明确得1分）；未承诺演练或无物资保障，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应急及风险防范处置响应方案.docx</w:t>
            </w:r>
          </w:p>
        </w:tc>
      </w:tr>
      <w:tr>
        <w:tc>
          <w:tcPr>
            <w:tcW w:type="dxa" w:w="831"/>
            <w:vMerge/>
          </w:tcPr>
          <w:p/>
        </w:tc>
        <w:tc>
          <w:tcPr>
            <w:tcW w:type="dxa" w:w="1661"/>
          </w:tcPr>
          <w:p>
            <w:pPr>
              <w:pStyle w:val="null3"/>
            </w:pPr>
            <w:r>
              <w:rPr>
                <w:rFonts w:ascii="仿宋_GB2312" w:hAnsi="仿宋_GB2312" w:cs="仿宋_GB2312" w:eastAsia="仿宋_GB2312"/>
              </w:rPr>
              <w:t>企业管理体系认证评价</w:t>
            </w:r>
          </w:p>
        </w:tc>
        <w:tc>
          <w:tcPr>
            <w:tcW w:type="dxa" w:w="2492"/>
          </w:tcPr>
          <w:p>
            <w:pPr>
              <w:pStyle w:val="null3"/>
            </w:pPr>
            <w:r>
              <w:rPr>
                <w:rFonts w:ascii="仿宋_GB2312" w:hAnsi="仿宋_GB2312" w:cs="仿宋_GB2312" w:eastAsia="仿宋_GB2312"/>
              </w:rPr>
              <w:t>企业管理体系认证评价（6分）：提供有效期内的质量管理体系认证证书、职业健康安全管理体系认证证书，每提供一个得3分，累计最高6分。未提供的，得0分。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企业管理体系认证证书.docx</w:t>
            </w:r>
          </w:p>
        </w:tc>
      </w:tr>
      <w:tr>
        <w:tc>
          <w:tcPr>
            <w:tcW w:type="dxa" w:w="831"/>
            <w:vMerge/>
          </w:tcPr>
          <w:p/>
        </w:tc>
        <w:tc>
          <w:tcPr>
            <w:tcW w:type="dxa" w:w="1661"/>
          </w:tcPr>
          <w:p>
            <w:pPr>
              <w:pStyle w:val="null3"/>
            </w:pPr>
            <w:r>
              <w:rPr>
                <w:rFonts w:ascii="仿宋_GB2312" w:hAnsi="仿宋_GB2312" w:cs="仿宋_GB2312" w:eastAsia="仿宋_GB2312"/>
              </w:rPr>
              <w:t>类似项目业绩评价</w:t>
            </w:r>
          </w:p>
        </w:tc>
        <w:tc>
          <w:tcPr>
            <w:tcW w:type="dxa" w:w="2492"/>
          </w:tcPr>
          <w:p>
            <w:pPr>
              <w:pStyle w:val="null3"/>
            </w:pPr>
            <w:r>
              <w:rPr>
                <w:rFonts w:ascii="仿宋_GB2312" w:hAnsi="仿宋_GB2312" w:cs="仿宋_GB2312" w:eastAsia="仿宋_GB2312"/>
              </w:rPr>
              <w:t>类似项目业绩（9分）：近3年（磋商公告发布之日倒算，以合同签订日期为准）具有同类安保服务项目业绩（同类业绩定义：门卫值守、秩序维护、巡逻防控、安全保卫类安保服务项目，含机关单位、医疗机构、园区、厂区、商超、小区等各类场所）。 计分规则：每提供1份已完成的有效同类安保服务业绩，得3分，最高得9分。 证明材料：需提供合同关键页（含合同封面、服务内容及期限、甲乙双方签章页）+履约验收材料/业主评价证明，资料不全不予得分。 说明：业绩不受服务场所性质、服务人数规模、地域范围限制，同一项目不重复计分。无任何类似业绩，得0分。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评分方法：采用低价优先法，满足磋商文件实质性要求且响应价格最低的供应商响应价格为磋商基准价，其价格得分为满分10分。 2. 得分计算公式：供应商价格得分=（磋商基准价÷供应商响应价格）×10，计算结果保留2位小数，四舍五入取整。 3. 特别说明：本项目专门面向中小企业采购，不进行价格扣除；磋商小组对响应价格异常低价的，按《财政部关于推动解决政府采购异常低价问题的通知》（财库〔2026〕2号）规定审查，要求供应商提供书面成本说明及具体测算依据，无法合理说明并提供有效依据的，视为无效响应。</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详见附件：响应价格报价表.docx</w:t>
      </w:r>
    </w:p>
    <w:p>
      <w:pPr>
        <w:pStyle w:val="null3"/>
        <w:ind w:firstLine="960"/>
      </w:pPr>
      <w:r>
        <w:rPr>
          <w:rFonts w:ascii="仿宋_GB2312" w:hAnsi="仿宋_GB2312" w:cs="仿宋_GB2312" w:eastAsia="仿宋_GB2312"/>
        </w:rPr>
        <w:t>详见附件：主体资格证明文件.docx</w:t>
      </w:r>
    </w:p>
    <w:p>
      <w:pPr>
        <w:pStyle w:val="null3"/>
        <w:ind w:firstLine="960"/>
      </w:pPr>
      <w:r>
        <w:rPr>
          <w:rFonts w:ascii="仿宋_GB2312" w:hAnsi="仿宋_GB2312" w:cs="仿宋_GB2312" w:eastAsia="仿宋_GB2312"/>
        </w:rPr>
        <w:t>详见附件：保安服务许可证.docx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详见附件：控股管理关系承诺函.docx</w:t>
      </w:r>
    </w:p>
    <w:p>
      <w:pPr>
        <w:pStyle w:val="null3"/>
        <w:ind w:firstLine="960"/>
      </w:pPr>
      <w:r>
        <w:rPr>
          <w:rFonts w:ascii="仿宋_GB2312" w:hAnsi="仿宋_GB2312" w:cs="仿宋_GB2312" w:eastAsia="仿宋_GB2312"/>
        </w:rPr>
        <w:t>详见附件：非联合体不分包响应声明函.docx</w:t>
      </w:r>
    </w:p>
    <w:p>
      <w:pPr>
        <w:pStyle w:val="null3"/>
        <w:ind w:firstLine="960"/>
      </w:pPr>
      <w:r>
        <w:rPr>
          <w:rFonts w:ascii="仿宋_GB2312" w:hAnsi="仿宋_GB2312" w:cs="仿宋_GB2312" w:eastAsia="仿宋_GB2312"/>
        </w:rPr>
        <w:t>详见附件：无重大违法记录声明.docx</w:t>
      </w:r>
    </w:p>
    <w:p>
      <w:pPr>
        <w:pStyle w:val="null3"/>
        <w:ind w:firstLine="960"/>
      </w:pPr>
      <w:r>
        <w:rPr>
          <w:rFonts w:ascii="仿宋_GB2312" w:hAnsi="仿宋_GB2312" w:cs="仿宋_GB2312" w:eastAsia="仿宋_GB2312"/>
        </w:rPr>
        <w:t>详见附件：信用记录声明函.docx</w:t>
      </w:r>
    </w:p>
    <w:p>
      <w:pPr>
        <w:pStyle w:val="null3"/>
        <w:ind w:firstLine="960"/>
      </w:pPr>
      <w:r>
        <w:rPr>
          <w:rFonts w:ascii="仿宋_GB2312" w:hAnsi="仿宋_GB2312" w:cs="仿宋_GB2312" w:eastAsia="仿宋_GB2312"/>
        </w:rPr>
        <w:t>详见附件：供应商承诺书（一）.docx</w:t>
      </w:r>
    </w:p>
    <w:p>
      <w:pPr>
        <w:pStyle w:val="null3"/>
        <w:ind w:firstLine="960"/>
      </w:pPr>
      <w:r>
        <w:rPr>
          <w:rFonts w:ascii="仿宋_GB2312" w:hAnsi="仿宋_GB2312" w:cs="仿宋_GB2312" w:eastAsia="仿宋_GB2312"/>
        </w:rPr>
        <w:t>详见附件：供应商承诺书（二）.docx</w:t>
      </w:r>
    </w:p>
    <w:p>
      <w:pPr>
        <w:pStyle w:val="null3"/>
        <w:ind w:firstLine="960"/>
      </w:pPr>
      <w:r>
        <w:rPr>
          <w:rFonts w:ascii="仿宋_GB2312" w:hAnsi="仿宋_GB2312" w:cs="仿宋_GB2312" w:eastAsia="仿宋_GB2312"/>
        </w:rPr>
        <w:t>详见附件：财务状况证明.docx</w:t>
      </w:r>
    </w:p>
    <w:p>
      <w:pPr>
        <w:pStyle w:val="null3"/>
        <w:ind w:firstLine="960"/>
      </w:pPr>
      <w:r>
        <w:rPr>
          <w:rFonts w:ascii="仿宋_GB2312" w:hAnsi="仿宋_GB2312" w:cs="仿宋_GB2312" w:eastAsia="仿宋_GB2312"/>
        </w:rPr>
        <w:t>详见附件：税收缴纳记录证明.docx</w:t>
      </w:r>
    </w:p>
    <w:p>
      <w:pPr>
        <w:pStyle w:val="null3"/>
        <w:ind w:firstLine="960"/>
      </w:pPr>
      <w:r>
        <w:rPr>
          <w:rFonts w:ascii="仿宋_GB2312" w:hAnsi="仿宋_GB2312" w:cs="仿宋_GB2312" w:eastAsia="仿宋_GB2312"/>
        </w:rPr>
        <w:t>详见附件：社会保障资金缴纳记录证明.docx</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详见附件：商务响应方案.docx</w:t>
      </w:r>
    </w:p>
    <w:p>
      <w:pPr>
        <w:pStyle w:val="null3"/>
        <w:ind w:firstLine="960"/>
      </w:pPr>
      <w:r>
        <w:rPr>
          <w:rFonts w:ascii="仿宋_GB2312" w:hAnsi="仿宋_GB2312" w:cs="仿宋_GB2312" w:eastAsia="仿宋_GB2312"/>
        </w:rPr>
        <w:t>详见附件：技术保障响应方案.docx</w:t>
      </w:r>
    </w:p>
    <w:p>
      <w:pPr>
        <w:pStyle w:val="null3"/>
        <w:ind w:firstLine="960"/>
      </w:pPr>
      <w:r>
        <w:rPr>
          <w:rFonts w:ascii="仿宋_GB2312" w:hAnsi="仿宋_GB2312" w:cs="仿宋_GB2312" w:eastAsia="仿宋_GB2312"/>
        </w:rPr>
        <w:t>详见附件：应急及风险防范处置响应方案.docx</w:t>
      </w:r>
    </w:p>
    <w:p>
      <w:pPr>
        <w:pStyle w:val="null3"/>
        <w:ind w:firstLine="960"/>
      </w:pPr>
      <w:r>
        <w:rPr>
          <w:rFonts w:ascii="仿宋_GB2312" w:hAnsi="仿宋_GB2312" w:cs="仿宋_GB2312" w:eastAsia="仿宋_GB2312"/>
        </w:rPr>
        <w:t>详见附件：企业管理体系认证证书.docx</w:t>
      </w:r>
    </w:p>
    <w:p>
      <w:pPr>
        <w:pStyle w:val="null3"/>
        <w:ind w:firstLine="960"/>
      </w:pPr>
      <w:r>
        <w:rPr>
          <w:rFonts w:ascii="仿宋_GB2312" w:hAnsi="仿宋_GB2312" w:cs="仿宋_GB2312" w:eastAsia="仿宋_GB2312"/>
        </w:rPr>
        <w:t>详见附件：业绩证明文件.docx</w:t>
      </w:r>
    </w:p>
    <w:p>
      <w:pPr>
        <w:pStyle w:val="null3"/>
        <w:ind w:firstLine="960"/>
      </w:pPr>
      <w:r>
        <w:rPr>
          <w:rFonts w:ascii="仿宋_GB2312" w:hAnsi="仿宋_GB2312" w:cs="仿宋_GB2312" w:eastAsia="仿宋_GB2312"/>
        </w:rPr>
        <w:t>详见附件：人员保障响应方案.docx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详见附件：商洛市中医医院安保服务项目采购合同.docx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