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版本号：SCZD2026-ZB-2315-00120260728001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儿科能力提升建设医疗设备采购项目（第一批）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SCZD2026-ZB-2315-001</w:t>
      </w:r>
      <w:r>
        <w:br/>
      </w:r>
      <w:r>
        <w:br/>
      </w:r>
      <w:r>
        <w:br/>
      </w:r>
    </w:p>
    <w:p>
      <w:pPr>
        <w:pStyle w:val="null3"/>
        <w:jc w:val="center"/>
        <w:outlineLvl w:val="2"/>
      </w:pPr>
      <w:r>
        <w:rPr>
          <w:rFonts w:ascii="仿宋_GB2312" w:hAnsi="仿宋_GB2312" w:cs="仿宋_GB2312" w:eastAsia="仿宋_GB2312"/>
          <w:sz w:val="28"/>
          <w:b/>
        </w:rPr>
        <w:t>镇巴县中医院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镇巴县中医院</w:t>
      </w:r>
      <w:r>
        <w:rPr>
          <w:rFonts w:ascii="仿宋_GB2312" w:hAnsi="仿宋_GB2312" w:cs="仿宋_GB2312" w:eastAsia="仿宋_GB2312"/>
        </w:rPr>
        <w:t>委托，拟对</w:t>
      </w:r>
      <w:r>
        <w:rPr>
          <w:rFonts w:ascii="仿宋_GB2312" w:hAnsi="仿宋_GB2312" w:cs="仿宋_GB2312" w:eastAsia="仿宋_GB2312"/>
        </w:rPr>
        <w:t>儿科能力提升建设医疗设备采购项目（第一批）</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SCZD2026-ZB-2315-001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儿科能力提升建设医疗设备采购项目（第一批）</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镇巴县中医院儿科能力提升建设医疗设备采购项目（第一批），本次采购血液透析集中供液系统一套及血液透析滤过机三台。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采购包1（血液透析集中供液系统）：属于专门面向中小企业采购。</w:t>
      </w:r>
    </w:p>
    <w:p>
      <w:pPr>
        <w:pStyle w:val="null3"/>
      </w:pPr>
      <w:r>
        <w:rPr>
          <w:rFonts w:ascii="仿宋_GB2312" w:hAnsi="仿宋_GB2312" w:cs="仿宋_GB2312" w:eastAsia="仿宋_GB2312"/>
        </w:rPr>
        <w:t>采购包2（血液透析滤过机）：属于专门面向中小企业采购。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1、特定资格要求：1、投标人合法注册的法人或其他组织的营业执照等证明文件。 2、投标人在递交投标文件截止时间前被“信用中国”网站（www.creditchina.gov.cn）和中国政府采购网（www.ccgp.gov.cn）上被列入失信被执行人、重大税收违法失信主体、政府采购严重违法失信行为记录名单的，不得参加投标。 3、投标人参加本项目的合法授权人授权委托书； 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提供授权代表在本单位养老保险缴纳证明）。 4、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应具有医疗器械生产许可证（投标产品须在其生产范围内）。 5、投标产品属于医疗器械管理范围的须提供医疗器械注册证。 6、投标人提供加盖公章的《汉中市政府采购供应商资格承诺函》。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1、特定资格要求：1、投标人合法注册的法人或其他组织的营业执照等证明文件。 2、投标人在递交投标文件截止时间前被“信用中国”网站（www.creditchina.gov.cn）和中国政府采购网（www.ccgp.gov.cn）上被列入失信被执行人、重大税收违法失信主体、政府采购严重违法失信行为记录名单的，不得参加投标。 3、投标人参加本项目的合法授权人授权委托书； 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提供授权代表在本单位养老保险缴纳证明）。 4、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应具有医疗器械生产许可证（投标产品须在其生产范围内）。 5、投标产品属于医疗器械管理范围的须提供医疗器械注册证。 6、投标人提供加盖公章的《汉中市政府采购供应商资格承诺函》。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镇巴县中医院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镇巴县城河西南路16号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镇巴县中医院经办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0916-6712125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王一博、雷鹏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采购包2：600,000.00元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采购包2保证金金额：12,000.00元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开户银行：中国银行西安雁塔区支行营业部</w:t>
            </w:r>
          </w:p>
          <w:p>
            <w:pPr>
              <w:pStyle w:val="null3"/>
            </w:pPr>
            <w:r>
              <w:rPr>
                <w:rFonts w:ascii="仿宋_GB2312" w:hAnsi="仿宋_GB2312" w:cs="仿宋_GB2312" w:eastAsia="仿宋_GB2312"/>
              </w:rPr>
              <w:t>银行账号：102462458075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代理服务费收费标准：参照原国家计委计价格〔2002〕1980号文和国家发改委发改办价格〔2003〕857号文的计算方法按标准计算，分合同包收取。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镇巴县中医院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镇巴县中医院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镇巴县中医院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详见拟签订的合同文本</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镇巴县中医院儿科能力提升建设医疗设备采购项目（第一批），本次采购血液透析集中供液系统一套及血液透析滤过机三台。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血液透析集中供液系统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血液透析滤过机</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标的名称：血液透析集中供液系统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rPr>
              <w:t>血液透析集中供液系统</w:t>
            </w:r>
          </w:p>
          <w:p>
            <w:pPr>
              <w:pStyle w:val="null3"/>
            </w:pPr>
            <w:r>
              <w:rPr>
                <w:rFonts w:ascii="仿宋_GB2312" w:hAnsi="仿宋_GB2312" w:cs="仿宋_GB2312" w:eastAsia="仿宋_GB2312"/>
              </w:rPr>
              <w:t>一、采购清单</w:t>
            </w:r>
          </w:p>
          <w:tbl>
            <w:tblPr>
              <w:tblBorders>
                <w:top w:val="none" w:color="000000" w:sz="4"/>
                <w:left w:val="none" w:color="000000" w:sz="4"/>
                <w:bottom w:val="none" w:color="000000" w:sz="4"/>
                <w:right w:val="none" w:color="000000" w:sz="4"/>
                <w:insideH w:val="none"/>
                <w:insideV w:val="none"/>
              </w:tblBorders>
            </w:tblPr>
            <w:tblGrid>
              <w:gridCol w:w="270"/>
              <w:gridCol w:w="436"/>
              <w:gridCol w:w="349"/>
              <w:gridCol w:w="678"/>
              <w:gridCol w:w="409"/>
              <w:gridCol w:w="409"/>
            </w:tblGrid>
            <w:tr>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设备名称</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数量（台/套）</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交货期</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质保期</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备注</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血液透析集中供液系统</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合同签订后40个日历日内。</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验收合格后≥3年</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bl>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1、▲产品构成：A液配供系统、B液配供系统组合构成多功能血液透析用浓缩液集中配液系统（适配于20～40床透析中心使用）；</w:t>
            </w:r>
          </w:p>
          <w:p>
            <w:pPr>
              <w:pStyle w:val="null3"/>
            </w:pPr>
            <w:r>
              <w:rPr>
                <w:rFonts w:ascii="仿宋_GB2312" w:hAnsi="仿宋_GB2312" w:cs="仿宋_GB2312" w:eastAsia="仿宋_GB2312"/>
              </w:rPr>
              <w:t>2、全自动配液、供液、清洗、消毒一体化系统；</w:t>
            </w:r>
          </w:p>
          <w:p>
            <w:pPr>
              <w:pStyle w:val="null3"/>
            </w:pPr>
            <w:r>
              <w:rPr>
                <w:rFonts w:ascii="仿宋_GB2312" w:hAnsi="仿宋_GB2312" w:cs="仿宋_GB2312" w:eastAsia="仿宋_GB2312"/>
              </w:rPr>
              <w:t>3、▲消毒方式：A液系统自动化学消毒；B液系统自动化学消毒和自动热消毒；</w:t>
            </w:r>
          </w:p>
          <w:p>
            <w:pPr>
              <w:pStyle w:val="null3"/>
            </w:pPr>
            <w:r>
              <w:rPr>
                <w:rFonts w:ascii="仿宋_GB2312" w:hAnsi="仿宋_GB2312" w:cs="仿宋_GB2312" w:eastAsia="仿宋_GB2312"/>
              </w:rPr>
              <w:t>4、B液系统热消毒加热方式：采用过流式加热器，末端回水温度≥85℃，升温、循环、冷却、排放自动完成；</w:t>
            </w:r>
          </w:p>
          <w:p>
            <w:pPr>
              <w:pStyle w:val="null3"/>
            </w:pPr>
            <w:r>
              <w:rPr>
                <w:rFonts w:ascii="仿宋_GB2312" w:hAnsi="仿宋_GB2312" w:cs="仿宋_GB2312" w:eastAsia="仿宋_GB2312"/>
              </w:rPr>
              <w:t>5、通过GB4793.1-2007《测量、控制和实验室用电气设备的安全要求 第1部分：通用要求》标准（提供具有国家合格评定认可机构的检测报告）；</w:t>
            </w:r>
          </w:p>
          <w:p>
            <w:pPr>
              <w:pStyle w:val="null3"/>
            </w:pPr>
            <w:r>
              <w:rPr>
                <w:rFonts w:ascii="仿宋_GB2312" w:hAnsi="仿宋_GB2312" w:cs="仿宋_GB2312" w:eastAsia="仿宋_GB2312"/>
              </w:rPr>
              <w:t>6、通过YY 0505-2012《医用电气设备 第1-2部分：安全通用要求并列标准：电磁兼容要求和试验》标准（提供具有国家合格评定认可机构的检测报告）；</w:t>
            </w:r>
          </w:p>
          <w:p>
            <w:pPr>
              <w:pStyle w:val="null3"/>
            </w:pPr>
            <w:r>
              <w:rPr>
                <w:rFonts w:ascii="仿宋_GB2312" w:hAnsi="仿宋_GB2312" w:cs="仿宋_GB2312" w:eastAsia="仿宋_GB2312"/>
              </w:rPr>
              <w:t>7、采用压感进水装置，进水误差≤0.2％；</w:t>
            </w:r>
          </w:p>
          <w:p>
            <w:pPr>
              <w:pStyle w:val="null3"/>
            </w:pPr>
            <w:r>
              <w:rPr>
                <w:rFonts w:ascii="仿宋_GB2312" w:hAnsi="仿宋_GB2312" w:cs="仿宋_GB2312" w:eastAsia="仿宋_GB2312"/>
              </w:rPr>
              <w:t>8、具有进水温度补偿功能，水温控制在20－30℃之间；</w:t>
            </w:r>
          </w:p>
          <w:p>
            <w:pPr>
              <w:pStyle w:val="null3"/>
            </w:pPr>
            <w:r>
              <w:rPr>
                <w:rFonts w:ascii="仿宋_GB2312" w:hAnsi="仿宋_GB2312" w:cs="仿宋_GB2312" w:eastAsia="仿宋_GB2312"/>
              </w:rPr>
              <w:t>9、配液电导在线检测。采用感应式电导传感器，测量范围为102-106µS/cm，测量精度为2 % MW ± 25 µS/cm（提供相应证明材料）；</w:t>
            </w:r>
          </w:p>
          <w:p>
            <w:pPr>
              <w:pStyle w:val="null3"/>
            </w:pPr>
            <w:r>
              <w:rPr>
                <w:rFonts w:ascii="仿宋_GB2312" w:hAnsi="仿宋_GB2312" w:cs="仿宋_GB2312" w:eastAsia="仿宋_GB2312"/>
              </w:rPr>
              <w:t>10、自动投粉检测，采用密度与电导双重检测，自动计算；</w:t>
            </w:r>
          </w:p>
          <w:p>
            <w:pPr>
              <w:pStyle w:val="null3"/>
            </w:pPr>
            <w:r>
              <w:rPr>
                <w:rFonts w:ascii="仿宋_GB2312" w:hAnsi="仿宋_GB2312" w:cs="仿宋_GB2312" w:eastAsia="仿宋_GB2312"/>
              </w:rPr>
              <w:t>11、一键推液，自动计算推进量；</w:t>
            </w:r>
          </w:p>
          <w:p>
            <w:pPr>
              <w:pStyle w:val="null3"/>
            </w:pPr>
            <w:r>
              <w:rPr>
                <w:rFonts w:ascii="仿宋_GB2312" w:hAnsi="仿宋_GB2312" w:cs="仿宋_GB2312" w:eastAsia="仿宋_GB2312"/>
              </w:rPr>
              <w:t>12、储液桶有储液的情况下，待机时自动进入脉冲循环状态；</w:t>
            </w:r>
          </w:p>
          <w:p>
            <w:pPr>
              <w:pStyle w:val="null3"/>
            </w:pPr>
            <w:r>
              <w:rPr>
                <w:rFonts w:ascii="仿宋_GB2312" w:hAnsi="仿宋_GB2312" w:cs="仿宋_GB2312" w:eastAsia="仿宋_GB2312"/>
              </w:rPr>
              <w:t>13、系统软件，自动集中配供液系统控制软件具有自主知识产权，支持远程连接控制和监测（提供中华人民共和国国家版权局审核通过的软件著作证书复印件）；</w:t>
            </w:r>
          </w:p>
          <w:p>
            <w:pPr>
              <w:pStyle w:val="null3"/>
            </w:pPr>
            <w:r>
              <w:rPr>
                <w:rFonts w:ascii="仿宋_GB2312" w:hAnsi="仿宋_GB2312" w:cs="仿宋_GB2312" w:eastAsia="仿宋_GB2312"/>
              </w:rPr>
              <w:t>14、自我诊断及声光报警，中文提示故障原因，报警状态等信息，同时具有液位、压力、电源及电导超标报警功能；</w:t>
            </w:r>
          </w:p>
          <w:p>
            <w:pPr>
              <w:pStyle w:val="null3"/>
            </w:pPr>
            <w:r>
              <w:rPr>
                <w:rFonts w:ascii="仿宋_GB2312" w:hAnsi="仿宋_GB2312" w:cs="仿宋_GB2312" w:eastAsia="仿宋_GB2312"/>
              </w:rPr>
              <w:t>15、A液配液罐及储液罐：卫生级PP材质，配液罐容积≥200L，储液罐容积≥350L；</w:t>
            </w:r>
          </w:p>
          <w:p>
            <w:pPr>
              <w:pStyle w:val="null3"/>
            </w:pPr>
            <w:r>
              <w:rPr>
                <w:rFonts w:ascii="仿宋_GB2312" w:hAnsi="仿宋_GB2312" w:cs="仿宋_GB2312" w:eastAsia="仿宋_GB2312"/>
              </w:rPr>
              <w:t>16、B液配液罐及储液罐：卫生级316不锈钢罐体，配液罐容积≥250L，储液罐容积≥250L，储液罐配有紫外线灭菌器；</w:t>
            </w:r>
          </w:p>
          <w:p>
            <w:pPr>
              <w:pStyle w:val="null3"/>
            </w:pPr>
            <w:r>
              <w:rPr>
                <w:rFonts w:ascii="仿宋_GB2312" w:hAnsi="仿宋_GB2312" w:cs="仿宋_GB2312" w:eastAsia="仿宋_GB2312"/>
              </w:rPr>
              <w:t>17、A液管件及阀门：A液主机部分采用特种PVC电动阀门及管件连接；</w:t>
            </w:r>
          </w:p>
          <w:p>
            <w:pPr>
              <w:pStyle w:val="null3"/>
            </w:pPr>
            <w:r>
              <w:rPr>
                <w:rFonts w:ascii="仿宋_GB2312" w:hAnsi="仿宋_GB2312" w:cs="仿宋_GB2312" w:eastAsia="仿宋_GB2312"/>
              </w:rPr>
              <w:t>18、B液管件及阀门：B液主机部分采用卫生级316不锈钢电动阀门及管件连接；</w:t>
            </w:r>
          </w:p>
          <w:p>
            <w:pPr>
              <w:pStyle w:val="null3"/>
            </w:pPr>
            <w:r>
              <w:rPr>
                <w:rFonts w:ascii="仿宋_GB2312" w:hAnsi="仿宋_GB2312" w:cs="仿宋_GB2312" w:eastAsia="仿宋_GB2312"/>
              </w:rPr>
              <w:t>19、供液管路：使用端连接装置采用聚砜材质耐高温插拔式接头（提供相应证明材料）；</w:t>
            </w:r>
          </w:p>
          <w:p>
            <w:pPr>
              <w:pStyle w:val="null3"/>
            </w:pPr>
            <w:r>
              <w:rPr>
                <w:rFonts w:ascii="仿宋_GB2312" w:hAnsi="仿宋_GB2312" w:cs="仿宋_GB2312" w:eastAsia="仿宋_GB2312"/>
              </w:rPr>
              <w:t>20、配液泵、供液泵：卫生级316不锈钢泵体。</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标的名称：血液透析滤过机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rPr>
              <w:t>血液透析滤过机</w:t>
            </w:r>
          </w:p>
          <w:p>
            <w:pPr>
              <w:pStyle w:val="null3"/>
            </w:pPr>
            <w:r>
              <w:rPr>
                <w:rFonts w:ascii="仿宋_GB2312" w:hAnsi="仿宋_GB2312" w:cs="仿宋_GB2312" w:eastAsia="仿宋_GB2312"/>
              </w:rPr>
              <w:t>一、采购清单</w:t>
            </w:r>
          </w:p>
          <w:tbl>
            <w:tblPr>
              <w:tblBorders>
                <w:top w:val="none" w:color="000000" w:sz="4"/>
                <w:left w:val="none" w:color="000000" w:sz="4"/>
                <w:bottom w:val="none" w:color="000000" w:sz="4"/>
                <w:right w:val="none" w:color="000000" w:sz="4"/>
                <w:insideH w:val="none"/>
                <w:insideV w:val="none"/>
              </w:tblBorders>
            </w:tblPr>
            <w:tblGrid>
              <w:gridCol w:w="270"/>
              <w:gridCol w:w="436"/>
              <w:gridCol w:w="349"/>
              <w:gridCol w:w="678"/>
              <w:gridCol w:w="409"/>
              <w:gridCol w:w="409"/>
            </w:tblGrid>
            <w:tr>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设备名称</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数量（台/套）</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交货期</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质保期</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备注</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血液透析滤过机</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合同签订后40个日历日内。</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验收合格后≥3年</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bl>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（一）、技术特点</w:t>
            </w:r>
          </w:p>
          <w:p>
            <w:pPr>
              <w:pStyle w:val="null3"/>
              <w:ind w:firstLine="480"/>
            </w:pPr>
            <w:r>
              <w:rPr>
                <w:rFonts w:ascii="仿宋_GB2312" w:hAnsi="仿宋_GB2312" w:cs="仿宋_GB2312" w:eastAsia="仿宋_GB2312"/>
              </w:rPr>
              <w:t>1、液晶显示器≥12英寸，具有血液透析、单纯超滤、超纯透析、在线血液滤过、在线血液透析滤过功能；</w:t>
            </w:r>
          </w:p>
          <w:p>
            <w:pPr>
              <w:pStyle w:val="null3"/>
              <w:ind w:firstLine="480"/>
            </w:pPr>
            <w:r>
              <w:rPr>
                <w:rFonts w:ascii="仿宋_GB2312" w:hAnsi="仿宋_GB2312" w:cs="仿宋_GB2312" w:eastAsia="仿宋_GB2312"/>
              </w:rPr>
              <w:t>2、具有平衡腔容量平衡反馈控制系统，腔体容积≥60毫升；</w:t>
            </w:r>
          </w:p>
          <w:p>
            <w:pPr>
              <w:pStyle w:val="null3"/>
              <w:ind w:firstLine="480"/>
            </w:pPr>
            <w:r>
              <w:rPr>
                <w:rFonts w:ascii="仿宋_GB2312" w:hAnsi="仿宋_GB2312" w:cs="仿宋_GB2312" w:eastAsia="仿宋_GB2312"/>
              </w:rPr>
              <w:t>▲3、采用电极实时监测平衡系统泄漏；</w:t>
            </w:r>
          </w:p>
          <w:p>
            <w:pPr>
              <w:pStyle w:val="null3"/>
              <w:ind w:firstLine="480"/>
            </w:pPr>
            <w:r>
              <w:rPr>
                <w:rFonts w:ascii="仿宋_GB2312" w:hAnsi="仿宋_GB2312" w:cs="仿宋_GB2312" w:eastAsia="仿宋_GB2312"/>
              </w:rPr>
              <w:t>4、具有可调钠和多种超滤曲线，包含钠离子、超滤速率、碳酸盐、肝素流量、透析液流量、透析液温度曲线，其中超滤曲线≥8+N种，内置默认固定超滤曲线≥8种，N代表至少1种无程序变化可任意设定的连续曲线，提供个性化治疗；</w:t>
            </w:r>
          </w:p>
          <w:p>
            <w:pPr>
              <w:pStyle w:val="null3"/>
              <w:ind w:firstLine="480"/>
            </w:pPr>
            <w:r>
              <w:rPr>
                <w:rFonts w:ascii="仿宋_GB2312" w:hAnsi="仿宋_GB2312" w:cs="仿宋_GB2312" w:eastAsia="仿宋_GB2312"/>
              </w:rPr>
              <w:t>5、具备电导度反馈控制系统；</w:t>
            </w:r>
          </w:p>
          <w:p>
            <w:pPr>
              <w:pStyle w:val="null3"/>
              <w:ind w:firstLine="480"/>
            </w:pPr>
            <w:r>
              <w:rPr>
                <w:rFonts w:ascii="仿宋_GB2312" w:hAnsi="仿宋_GB2312" w:cs="仿宋_GB2312" w:eastAsia="仿宋_GB2312"/>
              </w:rPr>
              <w:t>6、具有双级内毒素过滤功能；</w:t>
            </w:r>
          </w:p>
          <w:p>
            <w:pPr>
              <w:pStyle w:val="null3"/>
              <w:ind w:firstLine="480"/>
            </w:pPr>
            <w:r>
              <w:rPr>
                <w:rFonts w:ascii="仿宋_GB2312" w:hAnsi="仿宋_GB2312" w:cs="仿宋_GB2312" w:eastAsia="仿宋_GB2312"/>
              </w:rPr>
              <w:t>7、内置后备电源，停电后可维持治疗血液回路工作≥30分钟；</w:t>
            </w:r>
          </w:p>
          <w:p>
            <w:pPr>
              <w:pStyle w:val="null3"/>
              <w:ind w:firstLine="480"/>
            </w:pPr>
            <w:r>
              <w:rPr>
                <w:rFonts w:ascii="仿宋_GB2312" w:hAnsi="仿宋_GB2312" w:cs="仿宋_GB2312" w:eastAsia="仿宋_GB2312"/>
              </w:rPr>
              <w:t>8、采用红、黄、绿三色警示灯，配合多种音乐提示和报警功能；</w:t>
            </w:r>
          </w:p>
          <w:p>
            <w:pPr>
              <w:pStyle w:val="null3"/>
              <w:ind w:firstLine="480"/>
            </w:pPr>
            <w:r>
              <w:rPr>
                <w:rFonts w:ascii="仿宋_GB2312" w:hAnsi="仿宋_GB2312" w:cs="仿宋_GB2312" w:eastAsia="仿宋_GB2312"/>
              </w:rPr>
              <w:t>9、具有透析液放置平台，符合院感要求;</w:t>
            </w:r>
          </w:p>
          <w:p>
            <w:pPr>
              <w:pStyle w:val="null3"/>
              <w:ind w:firstLine="480"/>
            </w:pPr>
            <w:r>
              <w:rPr>
                <w:rFonts w:ascii="仿宋_GB2312" w:hAnsi="仿宋_GB2312" w:cs="仿宋_GB2312" w:eastAsia="仿宋_GB2312"/>
              </w:rPr>
              <w:t>10.负责与院方信息化系统连接，费用包含在设备报价中。</w:t>
            </w:r>
          </w:p>
          <w:p>
            <w:pPr>
              <w:pStyle w:val="null3"/>
            </w:pPr>
            <w:r>
              <w:rPr>
                <w:rFonts w:ascii="仿宋_GB2312" w:hAnsi="仿宋_GB2312" w:cs="仿宋_GB2312" w:eastAsia="仿宋_GB2312"/>
              </w:rPr>
              <w:t>（二）、技术参数</w:t>
            </w:r>
          </w:p>
          <w:p>
            <w:pPr>
              <w:pStyle w:val="null3"/>
              <w:ind w:firstLine="480"/>
            </w:pPr>
            <w:r>
              <w:rPr>
                <w:rFonts w:ascii="仿宋_GB2312" w:hAnsi="仿宋_GB2312" w:cs="仿宋_GB2312" w:eastAsia="仿宋_GB2312"/>
              </w:rPr>
              <w:t>1、动脉压监测范围: -500mmHg～+500mmHg，精度：±5mmHg；</w:t>
            </w:r>
          </w:p>
          <w:p>
            <w:pPr>
              <w:pStyle w:val="null3"/>
              <w:ind w:firstLine="480"/>
            </w:pPr>
            <w:r>
              <w:rPr>
                <w:rFonts w:ascii="仿宋_GB2312" w:hAnsi="仿宋_GB2312" w:cs="仿宋_GB2312" w:eastAsia="仿宋_GB2312"/>
              </w:rPr>
              <w:t>2、静脉压监测范围: -500mmHg～+500mmHg，精度: ±5mmHg；</w:t>
            </w:r>
          </w:p>
          <w:p>
            <w:pPr>
              <w:pStyle w:val="null3"/>
              <w:ind w:firstLine="480"/>
            </w:pPr>
            <w:r>
              <w:rPr>
                <w:rFonts w:ascii="仿宋_GB2312" w:hAnsi="仿宋_GB2312" w:cs="仿宋_GB2312" w:eastAsia="仿宋_GB2312"/>
              </w:rPr>
              <w:t>3、跨膜压监测范围: -500mmHg～+500mmHg，精度: ±5mmHg；</w:t>
            </w:r>
          </w:p>
          <w:p>
            <w:pPr>
              <w:pStyle w:val="null3"/>
              <w:ind w:firstLine="480"/>
            </w:pPr>
            <w:r>
              <w:rPr>
                <w:rFonts w:ascii="仿宋_GB2312" w:hAnsi="仿宋_GB2312" w:cs="仿宋_GB2312" w:eastAsia="仿宋_GB2312"/>
              </w:rPr>
              <w:t>4、透析液流量调节范围：0，300～800（可调）ml/min；</w:t>
            </w:r>
          </w:p>
          <w:p>
            <w:pPr>
              <w:pStyle w:val="null3"/>
              <w:ind w:firstLine="480"/>
            </w:pPr>
            <w:r>
              <w:rPr>
                <w:rFonts w:ascii="仿宋_GB2312" w:hAnsi="仿宋_GB2312" w:cs="仿宋_GB2312" w:eastAsia="仿宋_GB2312"/>
              </w:rPr>
              <w:t>5、透析液温度范围：33～40℃，精度：±0.5℃；</w:t>
            </w:r>
          </w:p>
          <w:p>
            <w:pPr>
              <w:pStyle w:val="null3"/>
              <w:ind w:firstLine="480"/>
            </w:pPr>
            <w:r>
              <w:rPr>
                <w:rFonts w:ascii="仿宋_GB2312" w:hAnsi="仿宋_GB2312" w:cs="仿宋_GB2312" w:eastAsia="仿宋_GB2312"/>
              </w:rPr>
              <w:t>▲6、透析液电导率调节范围:12～18ms/cm，精度: ±0.1 ms/cm ；</w:t>
            </w:r>
          </w:p>
          <w:p>
            <w:pPr>
              <w:pStyle w:val="null3"/>
              <w:ind w:firstLine="480"/>
            </w:pPr>
            <w:r>
              <w:rPr>
                <w:rFonts w:ascii="仿宋_GB2312" w:hAnsi="仿宋_GB2312" w:cs="仿宋_GB2312" w:eastAsia="仿宋_GB2312"/>
              </w:rPr>
              <w:t>7、血流量可调范围：0，30～650mL/min ；</w:t>
            </w:r>
          </w:p>
          <w:p>
            <w:pPr>
              <w:pStyle w:val="null3"/>
              <w:ind w:firstLine="480"/>
            </w:pPr>
            <w:r>
              <w:rPr>
                <w:rFonts w:ascii="仿宋_GB2312" w:hAnsi="仿宋_GB2312" w:cs="仿宋_GB2312" w:eastAsia="仿宋_GB2312"/>
              </w:rPr>
              <w:t>▲8、超滤控制范围：0～6000mL/h；</w:t>
            </w:r>
          </w:p>
          <w:p>
            <w:pPr>
              <w:pStyle w:val="null3"/>
              <w:ind w:firstLine="480"/>
            </w:pPr>
            <w:r>
              <w:rPr>
                <w:rFonts w:ascii="仿宋_GB2312" w:hAnsi="仿宋_GB2312" w:cs="仿宋_GB2312" w:eastAsia="仿宋_GB2312"/>
              </w:rPr>
              <w:t>9、肝素泵注入流量：0～10ml/h；</w:t>
            </w:r>
          </w:p>
          <w:p>
            <w:pPr>
              <w:pStyle w:val="null3"/>
              <w:ind w:firstLine="480"/>
            </w:pPr>
            <w:r>
              <w:rPr>
                <w:rFonts w:ascii="仿宋_GB2312" w:hAnsi="仿宋_GB2312" w:cs="仿宋_GB2312" w:eastAsia="仿宋_GB2312"/>
              </w:rPr>
              <w:t>10、气泡检测器：可监测≤0.02ml的气泡；</w:t>
            </w:r>
          </w:p>
          <w:p>
            <w:pPr>
              <w:pStyle w:val="null3"/>
              <w:ind w:firstLine="480"/>
            </w:pPr>
            <w:r>
              <w:rPr>
                <w:rFonts w:ascii="仿宋_GB2312" w:hAnsi="仿宋_GB2312" w:cs="仿宋_GB2312" w:eastAsia="仿宋_GB2312"/>
              </w:rPr>
              <w:t>11、漏血监测：可监测≤0.35mL/min的漏血(HCT32%)；</w:t>
            </w:r>
          </w:p>
          <w:p>
            <w:pPr>
              <w:pStyle w:val="null3"/>
              <w:ind w:firstLine="480"/>
            </w:pPr>
            <w:r>
              <w:rPr>
                <w:rFonts w:ascii="仿宋_GB2312" w:hAnsi="仿宋_GB2312" w:cs="仿宋_GB2312" w:eastAsia="仿宋_GB2312"/>
              </w:rPr>
              <w:t>12、置换液流量：0，30～650mL/min(HDF-online)；</w:t>
            </w:r>
          </w:p>
          <w:p>
            <w:pPr>
              <w:pStyle w:val="null3"/>
              <w:ind w:firstLine="480"/>
            </w:pPr>
            <w:r>
              <w:rPr>
                <w:rFonts w:ascii="仿宋_GB2312" w:hAnsi="仿宋_GB2312" w:cs="仿宋_GB2312" w:eastAsia="仿宋_GB2312"/>
              </w:rPr>
              <w:t>13、全自动消毒脱钙，可使用多种消毒液和酸洗液；</w:t>
            </w:r>
          </w:p>
          <w:p>
            <w:pPr>
              <w:pStyle w:val="null3"/>
              <w:ind w:firstLine="480"/>
            </w:pPr>
            <w:r>
              <w:rPr>
                <w:rFonts w:ascii="仿宋_GB2312" w:hAnsi="仿宋_GB2312" w:cs="仿宋_GB2312" w:eastAsia="仿宋_GB2312"/>
              </w:rPr>
              <w:t>▲14、具备热消毒功能，热消毒最高温度≥93℃消毒，时间≤30分钟。</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合同签订后40个日历日内。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合同签订后40个日历日内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镇巴县中医院指定地点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镇巴县中医院指定地点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预付款，合同签订后，招标人向供应商支付预付款，达到付款条件起30个工作日内，支付合同总金额的40.0%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进度款，货到现场、安装调试、培训完毕经验收合格并交付使用，满足支付条件后支付剩余合同款项，达到付款条件起30个工作日内，支付合同总金额的60.0%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预付款，合同签订后，招标人向供应商支付预付款，达到付款条件起30个工作日内，支付合同总金额的40.0%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进度款，货到现场、安装调试、培训完毕经验收合格并交付使用，满足支付条件后支付剩余合同款项，达到付款条件起30个工作日内，支付合同总金额的60.0%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供应商需提供加盖公章的《汉中市政府采购供应商资格承诺函》。</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供应商需提供加盖公章的《汉中市政府采购供应商资格承诺函》。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供应商需提供加盖公章的《汉中市政府采购供应商资格承诺函》。</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供应商需提供加盖公章的《汉中市政府采购供应商资格承诺函》。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1、投标人合法注册的法人或其他组织的营业执照等证明文件。 2、投标人在递交投标文件截止时间前被“信用中国”网站（www.creditchina.gov.cn）和中国政府采购网（www.ccgp.gov.cn）上被列入失信被执行人、重大税收违法失信主体、政府采购严重违法失信行为记录名单的，不得参加投标。 3、投标人参加本项目的合法授权人授权委托书； 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提供授权代表在本单位养老保险缴纳证明）。 4、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应具有医疗器械生产许可证（投标产品须在其生产范围内）。 5、投标产品属于医疗器械管理范围的须提供医疗器械注册证。 6、投标人提供加盖公章的《汉中市政府采购供应商资格承诺函》。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1、投标人合法注册的法人或其他组织的营业执照等证明文件。 2、投标人在递交投标文件截止时间前被“信用中国”网站（www.creditchina.gov.cn）和中国政府采购网（www.ccgp.gov.cn）上被列入失信被执行人、重大税收违法失信主体、政府采购严重违法失信行为记录名单的，不得参加投标。 3、投标人参加本项目的合法授权人授权委托书； 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提供授权代表在本单位养老保险缴纳证明）。 4、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应具有医疗器械生产许可证（投标产品须在其生产范围内）。 5、投标产品属于医疗器械管理范围的须提供医疗器械注册证。 6、投标人提供加盖公章的《汉中市政府采购供应商资格承诺函》。</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投标分项报价表.docx 投标函 中小企业声明函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投标内容满足招标文件中商务要求或技术实质性要求、不存在漏项或数量与要求不符情形</w:t>
            </w:r>
          </w:p>
        </w:tc>
        <w:tc>
          <w:tcPr>
            <w:tcW w:type="dxa" w:w="1661"/>
          </w:tcPr>
          <w:p>
            <w:pPr>
              <w:pStyle w:val="null3"/>
            </w:pPr>
            <w:r>
              <w:rPr>
                <w:rFonts w:ascii="仿宋_GB2312" w:hAnsi="仿宋_GB2312" w:cs="仿宋_GB2312" w:eastAsia="仿宋_GB2312"/>
              </w:rPr>
              <w:t>投标分项报价表.docx 投标方案.docx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 （弄虚作假、串通投标的情形见附注）</w:t>
            </w:r>
          </w:p>
        </w:tc>
        <w:tc>
          <w:tcPr>
            <w:tcW w:type="dxa" w:w="1661"/>
          </w:tcPr>
          <w:p>
            <w:pPr>
              <w:pStyle w:val="null3"/>
            </w:pPr>
            <w:r>
              <w:rPr>
                <w:rFonts w:ascii="仿宋_GB2312" w:hAnsi="仿宋_GB2312" w:cs="仿宋_GB2312" w:eastAsia="仿宋_GB2312"/>
              </w:rPr>
              <w:t>投标函 投标人参加政府采购活动承诺书.docx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投标函 投标人参加政府采购活动承诺书.docx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投标分项报价表.docx 投标函 中小企业声明函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投标内容满足招标文件中商务要求或技术实质性要求、不存在漏项或数量与要求不符情形</w:t>
            </w:r>
          </w:p>
        </w:tc>
        <w:tc>
          <w:tcPr>
            <w:tcW w:type="dxa" w:w="1661"/>
          </w:tcPr>
          <w:p>
            <w:pPr>
              <w:pStyle w:val="null3"/>
            </w:pPr>
            <w:r>
              <w:rPr>
                <w:rFonts w:ascii="仿宋_GB2312" w:hAnsi="仿宋_GB2312" w:cs="仿宋_GB2312" w:eastAsia="仿宋_GB2312"/>
              </w:rPr>
              <w:t>开标一览表 投标分项报价表.docx 投标方案.docx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 （弄虚作假、串通投标的情形见附注）</w:t>
            </w:r>
          </w:p>
        </w:tc>
        <w:tc>
          <w:tcPr>
            <w:tcW w:type="dxa" w:w="1661"/>
          </w:tcPr>
          <w:p>
            <w:pPr>
              <w:pStyle w:val="null3"/>
            </w:pPr>
            <w:r>
              <w:rPr>
                <w:rFonts w:ascii="仿宋_GB2312" w:hAnsi="仿宋_GB2312" w:cs="仿宋_GB2312" w:eastAsia="仿宋_GB2312"/>
              </w:rPr>
              <w:t>投标函 投标人参加政府采购活动承诺书.docx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投标函 投标人参加政府采购活动承诺书.docx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号）要求提供国家确定的认证机构出具的、处于有效期之内的节能产品或环境标志产品认证证书，每提供一个得1分，满分2分。政府强制采购产品不予加分。备注：以加盖投标人公章的证明材料为计分依据。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投标产品的技术指标评审：完全响应得38分。“▲”号技术参数一项不满足扣3分，非“▲”号技术指标参数一项不满足扣1分，扣完为止。 评审依据：按照技术参数要求提供相应的证明文件（包括不限于检测报告、技术白皮书、厂家产品说明等），在技术偏离表“说明”栏中标明证明材料的页码；无技术材料支持视为负偏离。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提供2023年7月1日至投标截止时间（以合同签订时间为准）所投品牌同类产品业绩，每提供一个业绩得2分，满分10分。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⼀、评审内容：提供完整可⾏有针对性的实施⽅案，包含：①供货⽅案、②安装调试⽅案、③技术⽀持⽅案、④质量保证措施、⑤验收⽅案。 ⼆、评审标准：每项内容完整可⾏且有针对性得2分，缺漏项不得分，满分10分；每项内容中每有⼀处有缺陷扣0.5分，扣完为⽌。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⼀、评审内容：提供完整可⾏有针对性的售后服务⽅案，包含：①售后服务范围及保障措施、②应急保障⽅案、③培训⽅案、④故障处理及补救措施、⑤备品配件服务承诺。 ⼆、评审标准：每项内容完整可⾏且有针对性得2分，缺漏项不得分，满分10分；每项内容中每有⼀处有缺陷扣0.5分，扣完为⽌。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号）要求提供国家确定的认证机构出具的、处于有效期之内的节能产品或环境标志产品认证证书，每提供一个得1分，满分2分。政府强制采购产品不予加分。备注：以加盖投标人公章的证明材料为计分依据。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投标产品的技术指标评审：完全响应得38分。“▲”号技术参数一项不满足扣3分，非“▲”号技术指标参数一项不满足扣1分，扣完为止。 评审依据：按照技术参数要求提供相应的证明文件（包括不限于检测报告、技术白皮书、厂家产品说明等），在技术偏离表“说明”栏中标明证明材料的页码；无技术材料支持视为负偏离。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提供2023年7月1日至投标截止时间（以合同签订时间为准）所投核心产品品牌同类产品业绩，每提供一个业绩得2分，满分10分。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⼀、评审内容：提供完整可⾏有针对性的实施⽅案，包含：①供货⽅案、②安装调试⽅案、③技术⽀持⽅案、④质量保证措施、⑤验收⽅案。 ⼆、评审标准：每项内容完整可⾏且有针对性得2分，缺漏项不得分，满分10分；每项内容中每有⼀处有缺陷扣0.5分，扣完为⽌。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⼀、评审内容：提供完整可⾏有针对性的售后服务⽅案，包含：①售后服务范围及保障措施、②应急保障⽅案、③培训⽅案、④故障处理及补救措施、⑤备品配件服务承诺。 ⼆、评审标准：每项内容完整可⾏且有针对性得2分，缺漏项不得分，满分10分；每项内容中每有⼀处有缺陷扣0.5分，扣完为⽌。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详见附件：投标人参加政府采购活动承诺书.docx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详见附件：投标人参加政府采购活动承诺书.docx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