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2B4173">
      <w:pPr>
        <w:rPr>
          <w:rFonts w:hint="eastAsia" w:ascii="仿宋" w:hAnsi="仿宋" w:eastAsia="仿宋" w:cs="仿宋"/>
          <w:b/>
          <w:bCs/>
          <w:color w:val="auto"/>
          <w:sz w:val="28"/>
          <w:szCs w:val="28"/>
          <w:highlight w:val="none"/>
          <w:lang w:val="zh-CN"/>
        </w:rPr>
      </w:pPr>
    </w:p>
    <w:p w14:paraId="642AA2DE">
      <w:pPr>
        <w:pStyle w:val="2"/>
        <w:rPr>
          <w:rFonts w:hint="eastAsia"/>
          <w:lang w:val="zh-CN"/>
        </w:rPr>
      </w:pPr>
    </w:p>
    <w:p w14:paraId="6A2A0A10">
      <w:pPr>
        <w:pStyle w:val="8"/>
        <w:rPr>
          <w:rFonts w:hint="eastAsia" w:ascii="仿宋" w:hAnsi="仿宋" w:eastAsia="仿宋" w:cs="仿宋"/>
          <w:lang w:val="zh-CN"/>
        </w:rPr>
      </w:pPr>
    </w:p>
    <w:p w14:paraId="1276496A">
      <w:pPr>
        <w:jc w:val="center"/>
        <w:rPr>
          <w:rFonts w:hint="eastAsia" w:ascii="仿宋" w:hAnsi="仿宋" w:eastAsia="仿宋" w:cs="仿宋"/>
          <w:b/>
          <w:color w:val="auto"/>
          <w:sz w:val="36"/>
          <w:szCs w:val="36"/>
          <w:highlight w:val="none"/>
          <w:lang w:val="zh-CN" w:eastAsia="zh-CN"/>
        </w:rPr>
      </w:pPr>
      <w:r>
        <w:rPr>
          <w:rFonts w:hint="eastAsia" w:ascii="仿宋" w:hAnsi="仿宋" w:eastAsia="仿宋" w:cs="仿宋"/>
          <w:b/>
          <w:color w:val="auto"/>
          <w:sz w:val="36"/>
          <w:szCs w:val="36"/>
          <w:highlight w:val="none"/>
          <w:lang w:val="en-US" w:eastAsia="zh-CN"/>
        </w:rPr>
        <w:t>西安市第九再生水厂污泥处置服务项目（合同包1）</w:t>
      </w:r>
    </w:p>
    <w:p w14:paraId="7D8512BD">
      <w:pPr>
        <w:rPr>
          <w:rFonts w:hint="eastAsia" w:ascii="仿宋" w:hAnsi="仿宋" w:eastAsia="仿宋" w:cs="仿宋"/>
          <w:b/>
          <w:bCs/>
          <w:color w:val="auto"/>
          <w:sz w:val="28"/>
          <w:szCs w:val="28"/>
          <w:highlight w:val="none"/>
          <w:lang w:val="zh-CN"/>
        </w:rPr>
      </w:pPr>
    </w:p>
    <w:p w14:paraId="130F1E9C">
      <w:pPr>
        <w:pStyle w:val="8"/>
        <w:rPr>
          <w:rFonts w:hint="eastAsia" w:ascii="仿宋" w:hAnsi="仿宋" w:eastAsia="仿宋" w:cs="仿宋"/>
          <w:b/>
          <w:bCs/>
          <w:color w:val="auto"/>
          <w:sz w:val="28"/>
          <w:szCs w:val="28"/>
          <w:highlight w:val="none"/>
          <w:lang w:val="zh-CN"/>
        </w:rPr>
      </w:pPr>
    </w:p>
    <w:p w14:paraId="1EA06A5C">
      <w:pPr>
        <w:pStyle w:val="8"/>
        <w:rPr>
          <w:rFonts w:hint="eastAsia" w:ascii="仿宋" w:hAnsi="仿宋" w:eastAsia="仿宋" w:cs="仿宋"/>
          <w:b/>
          <w:bCs/>
          <w:color w:val="auto"/>
          <w:sz w:val="28"/>
          <w:szCs w:val="28"/>
          <w:highlight w:val="none"/>
          <w:lang w:val="zh-CN"/>
        </w:rPr>
      </w:pPr>
    </w:p>
    <w:p w14:paraId="1616EBE5">
      <w:pPr>
        <w:pStyle w:val="8"/>
        <w:rPr>
          <w:rFonts w:hint="eastAsia" w:ascii="仿宋" w:hAnsi="仿宋" w:eastAsia="仿宋" w:cs="仿宋"/>
          <w:b/>
          <w:bCs/>
          <w:color w:val="auto"/>
          <w:sz w:val="28"/>
          <w:szCs w:val="28"/>
          <w:highlight w:val="none"/>
          <w:lang w:val="zh-CN"/>
        </w:rPr>
      </w:pPr>
    </w:p>
    <w:p w14:paraId="6815FFE8">
      <w:pPr>
        <w:pStyle w:val="8"/>
        <w:rPr>
          <w:rFonts w:hint="eastAsia" w:ascii="仿宋" w:hAnsi="仿宋" w:eastAsia="仿宋" w:cs="仿宋"/>
          <w:b/>
          <w:bCs/>
          <w:color w:val="auto"/>
          <w:sz w:val="28"/>
          <w:szCs w:val="28"/>
          <w:highlight w:val="none"/>
          <w:lang w:val="zh-CN"/>
        </w:rPr>
      </w:pPr>
    </w:p>
    <w:p w14:paraId="00C425F9">
      <w:pPr>
        <w:pStyle w:val="8"/>
        <w:rPr>
          <w:rFonts w:hint="eastAsia" w:ascii="仿宋" w:hAnsi="仿宋" w:eastAsia="仿宋" w:cs="仿宋"/>
          <w:b/>
          <w:bCs/>
          <w:color w:val="auto"/>
          <w:sz w:val="28"/>
          <w:szCs w:val="28"/>
          <w:highlight w:val="none"/>
          <w:lang w:val="zh-CN"/>
        </w:rPr>
      </w:pPr>
    </w:p>
    <w:p w14:paraId="119936EE">
      <w:pPr>
        <w:pStyle w:val="8"/>
        <w:rPr>
          <w:rFonts w:hint="eastAsia" w:ascii="仿宋" w:hAnsi="仿宋" w:eastAsia="仿宋" w:cs="仿宋"/>
          <w:b/>
          <w:bCs/>
          <w:color w:val="auto"/>
          <w:sz w:val="28"/>
          <w:szCs w:val="28"/>
          <w:highlight w:val="none"/>
          <w:lang w:val="zh-CN"/>
        </w:rPr>
      </w:pPr>
    </w:p>
    <w:p w14:paraId="7AF37A66">
      <w:pPr>
        <w:pStyle w:val="8"/>
        <w:rPr>
          <w:rFonts w:hint="eastAsia" w:ascii="仿宋" w:hAnsi="仿宋" w:eastAsia="仿宋" w:cs="仿宋"/>
          <w:lang w:val="zh-CN"/>
        </w:rPr>
      </w:pPr>
    </w:p>
    <w:p w14:paraId="12AAA357">
      <w:pPr>
        <w:pStyle w:val="3"/>
        <w:keepNext w:val="0"/>
        <w:keepLines w:val="0"/>
        <w:pageBreakBefore w:val="0"/>
        <w:widowControl w:val="0"/>
        <w:numPr>
          <w:ilvl w:val="0"/>
          <w:numId w:val="0"/>
        </w:numPr>
        <w:wordWrap/>
        <w:overflowPunct/>
        <w:topLinePunct w:val="0"/>
        <w:bidi w:val="0"/>
        <w:spacing w:line="360" w:lineRule="auto"/>
        <w:jc w:val="center"/>
        <w:rPr>
          <w:rFonts w:hint="eastAsia" w:ascii="仿宋" w:hAnsi="仿宋" w:eastAsia="仿宋" w:cs="仿宋"/>
          <w:b/>
          <w:bCs/>
          <w:color w:val="auto"/>
          <w:sz w:val="28"/>
          <w:szCs w:val="28"/>
          <w:highlight w:val="none"/>
          <w:lang w:val="zh-CN"/>
        </w:rPr>
      </w:pPr>
      <w:r>
        <w:rPr>
          <w:rFonts w:hint="eastAsia" w:ascii="仿宋" w:hAnsi="仿宋" w:eastAsia="仿宋" w:cs="仿宋"/>
          <w:b/>
          <w:sz w:val="72"/>
          <w:szCs w:val="72"/>
          <w:highlight w:val="none"/>
        </w:rPr>
        <w:t>服 务 合 同</w:t>
      </w:r>
    </w:p>
    <w:p w14:paraId="07A8C2C8">
      <w:pPr>
        <w:pStyle w:val="3"/>
        <w:keepNext w:val="0"/>
        <w:keepLines w:val="0"/>
        <w:pageBreakBefore w:val="0"/>
        <w:widowControl w:val="0"/>
        <w:numPr>
          <w:ilvl w:val="0"/>
          <w:numId w:val="0"/>
        </w:numPr>
        <w:wordWrap/>
        <w:overflowPunct/>
        <w:topLinePunct w:val="0"/>
        <w:bidi w:val="0"/>
        <w:spacing w:line="360" w:lineRule="auto"/>
        <w:jc w:val="center"/>
        <w:rPr>
          <w:rFonts w:hint="eastAsia" w:ascii="仿宋" w:hAnsi="仿宋" w:eastAsia="仿宋" w:cs="仿宋"/>
          <w:b/>
          <w:bCs/>
          <w:color w:val="auto"/>
          <w:sz w:val="28"/>
          <w:szCs w:val="28"/>
          <w:highlight w:val="none"/>
          <w:lang w:val="zh-CN"/>
        </w:rPr>
      </w:pPr>
    </w:p>
    <w:p w14:paraId="62A513D9">
      <w:pPr>
        <w:rPr>
          <w:rFonts w:hint="eastAsia" w:ascii="仿宋" w:hAnsi="仿宋" w:eastAsia="仿宋" w:cs="仿宋"/>
          <w:lang w:val="zh-CN"/>
        </w:rPr>
      </w:pPr>
    </w:p>
    <w:p w14:paraId="1D65D272">
      <w:pPr>
        <w:rPr>
          <w:rFonts w:hint="eastAsia" w:ascii="仿宋" w:hAnsi="仿宋" w:eastAsia="仿宋" w:cs="仿宋"/>
          <w:lang w:val="zh-CN"/>
        </w:rPr>
      </w:pPr>
    </w:p>
    <w:p w14:paraId="4981B527">
      <w:pPr>
        <w:pStyle w:val="2"/>
        <w:rPr>
          <w:rFonts w:hint="eastAsia"/>
          <w:lang w:val="zh-CN"/>
        </w:rPr>
      </w:pPr>
    </w:p>
    <w:p w14:paraId="60372C7D">
      <w:pPr>
        <w:pStyle w:val="2"/>
        <w:rPr>
          <w:rFonts w:hint="eastAsia" w:ascii="仿宋" w:hAnsi="仿宋" w:eastAsia="仿宋" w:cs="仿宋"/>
          <w:lang w:val="zh-CN"/>
        </w:rPr>
      </w:pPr>
    </w:p>
    <w:p w14:paraId="62065036">
      <w:pPr>
        <w:rPr>
          <w:rFonts w:hint="eastAsia" w:ascii="仿宋" w:hAnsi="仿宋" w:eastAsia="仿宋" w:cs="仿宋"/>
          <w:lang w:val="zh-CN"/>
        </w:rPr>
      </w:pPr>
    </w:p>
    <w:p w14:paraId="04D4FBFA">
      <w:pPr>
        <w:pStyle w:val="3"/>
        <w:keepNext w:val="0"/>
        <w:keepLines w:val="0"/>
        <w:pageBreakBefore w:val="0"/>
        <w:widowControl w:val="0"/>
        <w:numPr>
          <w:ilvl w:val="0"/>
          <w:numId w:val="0"/>
        </w:numPr>
        <w:wordWrap/>
        <w:overflowPunct/>
        <w:topLinePunct w:val="0"/>
        <w:bidi w:val="0"/>
        <w:spacing w:line="360" w:lineRule="auto"/>
        <w:jc w:val="center"/>
        <w:rPr>
          <w:rFonts w:hint="eastAsia" w:ascii="仿宋" w:hAnsi="仿宋" w:eastAsia="仿宋" w:cs="仿宋"/>
          <w:b/>
          <w:bCs/>
          <w:color w:val="auto"/>
          <w:sz w:val="28"/>
          <w:szCs w:val="28"/>
          <w:highlight w:val="none"/>
          <w:lang w:val="zh-CN"/>
        </w:rPr>
      </w:pPr>
    </w:p>
    <w:p w14:paraId="243F5C41">
      <w:pPr>
        <w:spacing w:line="480" w:lineRule="auto"/>
        <w:ind w:firstLine="1606" w:firstLineChars="500"/>
        <w:rPr>
          <w:rFonts w:hint="eastAsia" w:ascii="仿宋" w:hAnsi="仿宋" w:eastAsia="仿宋" w:cs="仿宋"/>
          <w:b/>
          <w:bCs/>
          <w:color w:val="auto"/>
          <w:sz w:val="32"/>
          <w:szCs w:val="32"/>
          <w:highlight w:val="none"/>
          <w:u w:val="single"/>
        </w:rPr>
      </w:pPr>
      <w:r>
        <w:rPr>
          <w:rFonts w:hint="eastAsia" w:ascii="仿宋" w:hAnsi="仿宋" w:eastAsia="仿宋" w:cs="仿宋"/>
          <w:b/>
          <w:bCs/>
          <w:color w:val="auto"/>
          <w:sz w:val="32"/>
          <w:szCs w:val="32"/>
          <w:highlight w:val="none"/>
        </w:rPr>
        <w:t>甲方：</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u w:val="single"/>
          <w:lang w:val="en-US" w:eastAsia="zh-CN"/>
        </w:rPr>
        <w:t xml:space="preserve">   </w:t>
      </w:r>
      <w:r>
        <w:rPr>
          <w:rFonts w:hint="eastAsia" w:ascii="仿宋" w:hAnsi="仿宋" w:eastAsia="仿宋" w:cs="仿宋"/>
          <w:b/>
          <w:bCs/>
          <w:color w:val="auto"/>
          <w:sz w:val="32"/>
          <w:szCs w:val="32"/>
          <w:highlight w:val="none"/>
          <w:u w:val="single"/>
          <w:lang w:eastAsia="zh-CN"/>
        </w:rPr>
        <w:t>西安市长安区水务局</w:t>
      </w:r>
      <w:r>
        <w:rPr>
          <w:rFonts w:hint="eastAsia" w:ascii="仿宋" w:hAnsi="仿宋" w:eastAsia="仿宋" w:cs="仿宋"/>
          <w:b/>
          <w:bCs/>
          <w:color w:val="auto"/>
          <w:sz w:val="32"/>
          <w:szCs w:val="32"/>
          <w:highlight w:val="none"/>
          <w:u w:val="single"/>
          <w:lang w:val="en-US" w:eastAsia="zh-CN"/>
        </w:rPr>
        <w:t xml:space="preserve">    </w:t>
      </w:r>
    </w:p>
    <w:p w14:paraId="70D3AFC9">
      <w:pPr>
        <w:pStyle w:val="3"/>
        <w:keepNext w:val="0"/>
        <w:keepLines w:val="0"/>
        <w:pageBreakBefore w:val="0"/>
        <w:widowControl w:val="0"/>
        <w:numPr>
          <w:ilvl w:val="0"/>
          <w:numId w:val="0"/>
        </w:numPr>
        <w:wordWrap/>
        <w:overflowPunct/>
        <w:topLinePunct w:val="0"/>
        <w:bidi w:val="0"/>
        <w:spacing w:line="480" w:lineRule="auto"/>
        <w:ind w:firstLine="1606" w:firstLineChars="500"/>
        <w:jc w:val="both"/>
        <w:rPr>
          <w:rFonts w:hint="eastAsia" w:ascii="仿宋" w:hAnsi="仿宋" w:eastAsia="仿宋" w:cs="仿宋"/>
          <w:b/>
          <w:bCs/>
          <w:color w:val="auto"/>
          <w:sz w:val="32"/>
          <w:szCs w:val="32"/>
          <w:highlight w:val="none"/>
          <w:u w:val="single"/>
          <w:lang w:val="en-US" w:eastAsia="zh-CN"/>
        </w:rPr>
      </w:pPr>
      <w:r>
        <w:rPr>
          <w:rFonts w:hint="eastAsia" w:ascii="仿宋" w:hAnsi="仿宋" w:eastAsia="仿宋" w:cs="仿宋"/>
          <w:b/>
          <w:bCs/>
          <w:color w:val="auto"/>
          <w:sz w:val="32"/>
          <w:szCs w:val="32"/>
          <w:highlight w:val="none"/>
        </w:rPr>
        <w:t>乙方：</w:t>
      </w:r>
      <w:r>
        <w:rPr>
          <w:rFonts w:hint="eastAsia" w:ascii="仿宋" w:hAnsi="仿宋" w:eastAsia="仿宋" w:cs="仿宋"/>
          <w:b/>
          <w:bCs/>
          <w:color w:val="auto"/>
          <w:sz w:val="32"/>
          <w:szCs w:val="32"/>
          <w:highlight w:val="none"/>
          <w:u w:val="single"/>
          <w:lang w:val="en-US" w:eastAsia="zh-CN"/>
        </w:rPr>
        <w:t xml:space="preserve">                          </w:t>
      </w:r>
    </w:p>
    <w:p w14:paraId="584C06BF">
      <w:pPr>
        <w:pStyle w:val="3"/>
        <w:keepNext w:val="0"/>
        <w:keepLines w:val="0"/>
        <w:pageBreakBefore w:val="0"/>
        <w:widowControl w:val="0"/>
        <w:numPr>
          <w:ilvl w:val="0"/>
          <w:numId w:val="0"/>
        </w:numPr>
        <w:wordWrap/>
        <w:overflowPunct/>
        <w:topLinePunct w:val="0"/>
        <w:bidi w:val="0"/>
        <w:spacing w:line="480" w:lineRule="auto"/>
        <w:ind w:firstLine="1606" w:firstLineChars="500"/>
        <w:jc w:val="both"/>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签订时间：</w:t>
      </w:r>
      <w:r>
        <w:rPr>
          <w:rFonts w:hint="eastAsia" w:ascii="仿宋" w:hAnsi="仿宋" w:eastAsia="仿宋" w:cs="仿宋"/>
          <w:b/>
          <w:bCs/>
          <w:color w:val="auto"/>
          <w:sz w:val="32"/>
          <w:szCs w:val="32"/>
          <w:highlight w:val="none"/>
          <w:u w:val="single"/>
        </w:rPr>
        <w:t xml:space="preserve">          </w:t>
      </w:r>
      <w:r>
        <w:rPr>
          <w:rFonts w:hint="eastAsia" w:ascii="仿宋" w:hAnsi="仿宋" w:eastAsia="仿宋" w:cs="仿宋"/>
          <w:b/>
          <w:bCs/>
          <w:color w:val="auto"/>
          <w:sz w:val="32"/>
          <w:szCs w:val="32"/>
          <w:highlight w:val="none"/>
          <w:u w:val="single"/>
          <w:lang w:val="en-US" w:eastAsia="zh-CN"/>
        </w:rPr>
        <w:t xml:space="preserve">            </w:t>
      </w:r>
    </w:p>
    <w:p w14:paraId="1C936A18">
      <w:pPr>
        <w:pStyle w:val="3"/>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b/>
          <w:bCs/>
          <w:color w:val="auto"/>
          <w:sz w:val="28"/>
          <w:szCs w:val="28"/>
          <w:highlight w:val="none"/>
          <w:lang w:val="zh-CN"/>
        </w:rPr>
      </w:pPr>
    </w:p>
    <w:p w14:paraId="291B4227">
      <w:pPr>
        <w:jc w:val="center"/>
        <w:rPr>
          <w:rFonts w:hint="eastAsia" w:ascii="仿宋" w:hAnsi="仿宋" w:eastAsia="仿宋" w:cs="仿宋"/>
          <w:b/>
          <w:color w:val="auto"/>
          <w:sz w:val="30"/>
          <w:szCs w:val="30"/>
          <w:highlight w:val="none"/>
          <w:lang w:val="zh-CN" w:eastAsia="zh-CN"/>
        </w:rPr>
      </w:pPr>
      <w:r>
        <w:rPr>
          <w:rFonts w:hint="eastAsia" w:ascii="仿宋" w:hAnsi="仿宋" w:eastAsia="仿宋" w:cs="仿宋"/>
          <w:b/>
          <w:color w:val="auto"/>
          <w:sz w:val="30"/>
          <w:szCs w:val="30"/>
          <w:highlight w:val="none"/>
          <w:lang w:val="en-US" w:eastAsia="zh-CN"/>
        </w:rPr>
        <w:t>西安市第九再生水厂污泥处置服务项目（合同包1）</w:t>
      </w:r>
    </w:p>
    <w:p w14:paraId="45C98E74">
      <w:pPr>
        <w:keepNext w:val="0"/>
        <w:keepLines w:val="0"/>
        <w:pageBreakBefore w:val="0"/>
        <w:widowControl/>
        <w:kinsoku w:val="0"/>
        <w:wordWrap/>
        <w:overflowPunct/>
        <w:topLinePunct/>
        <w:autoSpaceDE w:val="0"/>
        <w:autoSpaceDN w:val="0"/>
        <w:bidi w:val="0"/>
        <w:adjustRightInd w:val="0"/>
        <w:snapToGrid w:val="0"/>
        <w:spacing w:line="360" w:lineRule="auto"/>
        <w:jc w:val="center"/>
        <w:textAlignment w:val="baseline"/>
        <w:rPr>
          <w:rFonts w:hint="eastAsia" w:ascii="仿宋" w:hAnsi="仿宋" w:eastAsia="仿宋" w:cs="仿宋"/>
          <w:b/>
          <w:bCs/>
          <w:spacing w:val="-23"/>
          <w:sz w:val="30"/>
          <w:szCs w:val="30"/>
          <w:lang w:val="en-US" w:eastAsia="zh-CN"/>
        </w:rPr>
      </w:pPr>
      <w:r>
        <w:rPr>
          <w:rFonts w:hint="eastAsia" w:ascii="仿宋" w:hAnsi="仿宋" w:eastAsia="仿宋" w:cs="仿宋"/>
          <w:b/>
          <w:bCs/>
          <w:spacing w:val="-23"/>
          <w:sz w:val="30"/>
          <w:szCs w:val="30"/>
          <w:lang w:val="en-US" w:eastAsia="zh-CN"/>
        </w:rPr>
        <w:t>服务合同</w:t>
      </w:r>
    </w:p>
    <w:p w14:paraId="6A2000D5">
      <w:pPr>
        <w:keepNext w:val="0"/>
        <w:keepLines w:val="0"/>
        <w:pageBreakBefore w:val="0"/>
        <w:widowControl/>
        <w:kinsoku w:val="0"/>
        <w:wordWrap/>
        <w:overflowPunct/>
        <w:topLinePunct/>
        <w:autoSpaceDE w:val="0"/>
        <w:autoSpaceDN w:val="0"/>
        <w:bidi w:val="0"/>
        <w:adjustRightInd w:val="0"/>
        <w:snapToGrid w:val="0"/>
        <w:spacing w:line="360" w:lineRule="auto"/>
        <w:ind w:firstLine="420" w:firstLineChars="200"/>
        <w:textAlignment w:val="baseline"/>
        <w:rPr>
          <w:rFonts w:hint="eastAsia" w:ascii="仿宋" w:hAnsi="仿宋" w:eastAsia="仿宋" w:cs="仿宋"/>
          <w:sz w:val="24"/>
          <w:szCs w:val="24"/>
        </w:rPr>
      </w:pPr>
      <w:r>
        <w:rPr>
          <w:rFonts w:hint="eastAsia" w:ascii="仿宋" w:hAnsi="仿宋" w:eastAsia="仿宋" w:cs="仿宋"/>
          <w:color w:val="auto"/>
          <w:sz w:val="21"/>
          <w:szCs w:val="21"/>
          <w:highlight w:val="none"/>
        </w:rPr>
        <w:t>（本格式条款供采购人和</w:t>
      </w:r>
      <w:r>
        <w:rPr>
          <w:rFonts w:hint="eastAsia" w:ascii="仿宋" w:hAnsi="仿宋" w:eastAsia="仿宋" w:cs="仿宋"/>
          <w:color w:val="auto"/>
          <w:sz w:val="21"/>
          <w:szCs w:val="21"/>
          <w:highlight w:val="none"/>
          <w:lang w:eastAsia="zh-CN"/>
        </w:rPr>
        <w:t>中标（</w:t>
      </w:r>
      <w:r>
        <w:rPr>
          <w:rFonts w:hint="eastAsia" w:ascii="仿宋" w:hAnsi="仿宋" w:eastAsia="仿宋" w:cs="仿宋"/>
          <w:color w:val="auto"/>
          <w:sz w:val="21"/>
          <w:szCs w:val="21"/>
          <w:highlight w:val="none"/>
        </w:rPr>
        <w:t>成交</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供应商双方签订合同参考，最终以采购人实际签订的合同为准）</w:t>
      </w:r>
    </w:p>
    <w:p w14:paraId="695F752B">
      <w:pPr>
        <w:spacing w:line="240" w:lineRule="auto"/>
        <w:ind w:firstLine="420" w:firstLineChars="200"/>
        <w:rPr>
          <w:rFonts w:hint="eastAsia" w:ascii="仿宋" w:hAnsi="仿宋" w:eastAsia="仿宋" w:cs="仿宋"/>
          <w:color w:val="auto"/>
          <w:sz w:val="21"/>
          <w:szCs w:val="21"/>
          <w:highlight w:val="none"/>
        </w:rPr>
      </w:pPr>
    </w:p>
    <w:p w14:paraId="0CE20551">
      <w:pPr>
        <w:spacing w:line="360" w:lineRule="auto"/>
        <w:ind w:left="420" w:left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甲方（采购人）：______________________________</w:t>
      </w:r>
    </w:p>
    <w:p w14:paraId="55A7C6FE">
      <w:pPr>
        <w:spacing w:line="360" w:lineRule="auto"/>
        <w:ind w:left="420" w:left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甲方住所：____________________________________</w:t>
      </w:r>
    </w:p>
    <w:p w14:paraId="0BE4869F">
      <w:pPr>
        <w:spacing w:line="360" w:lineRule="auto"/>
        <w:ind w:left="420" w:left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乙方（中标供应商）：__________________________</w:t>
      </w:r>
    </w:p>
    <w:p w14:paraId="65D01AA7">
      <w:pPr>
        <w:spacing w:line="360" w:lineRule="auto"/>
        <w:ind w:left="420" w:left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乙方住所：____________________________________</w:t>
      </w:r>
    </w:p>
    <w:p w14:paraId="2308C351">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根据《中华人民共和国政府采购法》及实施条例、《中华人民共和国民法典》和</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eastAsia="zh-CN"/>
        </w:rPr>
        <w:t>（</w:t>
      </w:r>
      <w:r>
        <w:rPr>
          <w:rFonts w:hint="eastAsia" w:ascii="仿宋" w:hAnsi="仿宋" w:eastAsia="仿宋" w:cs="仿宋"/>
          <w:color w:val="auto"/>
          <w:sz w:val="28"/>
          <w:szCs w:val="28"/>
          <w:highlight w:val="none"/>
          <w:u w:val="single"/>
        </w:rPr>
        <w:t>项目名称</w:t>
      </w:r>
      <w:r>
        <w:rPr>
          <w:rFonts w:hint="eastAsia" w:ascii="仿宋" w:hAnsi="仿宋" w:eastAsia="仿宋" w:cs="仿宋"/>
          <w:color w:val="auto"/>
          <w:sz w:val="28"/>
          <w:szCs w:val="28"/>
          <w:highlight w:val="none"/>
          <w:u w:val="single"/>
          <w:lang w:eastAsia="zh-CN"/>
        </w:rPr>
        <w:t>、</w:t>
      </w:r>
      <w:r>
        <w:rPr>
          <w:rFonts w:hint="eastAsia" w:ascii="仿宋" w:hAnsi="仿宋" w:eastAsia="仿宋" w:cs="仿宋"/>
          <w:color w:val="auto"/>
          <w:sz w:val="28"/>
          <w:szCs w:val="28"/>
          <w:highlight w:val="none"/>
          <w:u w:val="single"/>
          <w:lang w:val="en-US" w:eastAsia="zh-CN"/>
        </w:rPr>
        <w:t xml:space="preserve">包号) </w:t>
      </w: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eastAsia="zh-CN"/>
        </w:rPr>
        <w:t>采购文件</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响应文件</w:t>
      </w:r>
      <w:r>
        <w:rPr>
          <w:rFonts w:hint="eastAsia" w:ascii="仿宋" w:hAnsi="仿宋" w:eastAsia="仿宋" w:cs="仿宋"/>
          <w:color w:val="auto"/>
          <w:sz w:val="28"/>
          <w:szCs w:val="28"/>
          <w:highlight w:val="none"/>
        </w:rPr>
        <w:t>等有关规定，为确保甲方采购项目的顺利实施，甲、乙双方在平等自愿原则下签订本合同，并共同遵守如下条款：</w:t>
      </w:r>
    </w:p>
    <w:p w14:paraId="3CD4B4C1">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1、本合同内容受中华人民共和国的法律保护和制约。</w:t>
      </w:r>
    </w:p>
    <w:p w14:paraId="235EFC41">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2、本合同项下全部内容均不得转让、不得分包、不得挂靠、若甲方在后台签订后发现乙方有上述行为的，合同终止。</w:t>
      </w:r>
    </w:p>
    <w:p w14:paraId="7086220E">
      <w:pPr>
        <w:spacing w:line="360" w:lineRule="auto"/>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3、乙方必须遵守国家相关部门的现行有关规定，保证提供的服务全部内容严格按照</w:t>
      </w:r>
      <w:r>
        <w:rPr>
          <w:rFonts w:hint="eastAsia" w:ascii="仿宋" w:hAnsi="仿宋" w:eastAsia="仿宋" w:cs="仿宋"/>
          <w:color w:val="auto"/>
          <w:sz w:val="28"/>
          <w:szCs w:val="28"/>
          <w:highlight w:val="none"/>
          <w:lang w:eastAsia="zh-CN"/>
        </w:rPr>
        <w:t>响应文件</w:t>
      </w:r>
      <w:r>
        <w:rPr>
          <w:rFonts w:hint="eastAsia" w:ascii="仿宋" w:hAnsi="仿宋" w:eastAsia="仿宋" w:cs="仿宋"/>
          <w:color w:val="auto"/>
          <w:sz w:val="28"/>
          <w:szCs w:val="28"/>
          <w:highlight w:val="none"/>
        </w:rPr>
        <w:t>的承诺执行。</w:t>
      </w:r>
    </w:p>
    <w:p w14:paraId="26A858A4">
      <w:pPr>
        <w:spacing w:line="240" w:lineRule="auto"/>
        <w:ind w:firstLine="618" w:firstLineChars="200"/>
        <w:jc w:val="both"/>
        <w:rPr>
          <w:rFonts w:hint="eastAsia" w:ascii="仿宋" w:hAnsi="仿宋" w:eastAsia="仿宋" w:cs="仿宋"/>
          <w:b/>
          <w:bCs/>
          <w:snapToGrid w:val="0"/>
          <w:color w:val="000000"/>
          <w:spacing w:val="14"/>
          <w:kern w:val="0"/>
          <w:sz w:val="28"/>
          <w:szCs w:val="28"/>
          <w:highlight w:val="none"/>
          <w:lang w:val="en-US" w:eastAsia="zh-CN" w:bidi="ar-SA"/>
        </w:rPr>
      </w:pPr>
      <w:r>
        <w:rPr>
          <w:rFonts w:hint="eastAsia" w:ascii="仿宋" w:hAnsi="仿宋" w:eastAsia="仿宋" w:cs="仿宋"/>
          <w:b/>
          <w:bCs/>
          <w:snapToGrid w:val="0"/>
          <w:color w:val="000000"/>
          <w:spacing w:val="14"/>
          <w:kern w:val="0"/>
          <w:sz w:val="28"/>
          <w:szCs w:val="28"/>
          <w:highlight w:val="none"/>
          <w:lang w:val="en-US" w:eastAsia="zh-CN" w:bidi="ar-SA"/>
        </w:rPr>
        <w:t>第一条  项目基本情况</w:t>
      </w:r>
    </w:p>
    <w:p w14:paraId="30A8FEC1">
      <w:pPr>
        <w:spacing w:line="560" w:lineRule="exact"/>
        <w:ind w:firstLine="616"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spacing w:val="14"/>
          <w:sz w:val="28"/>
          <w:szCs w:val="28"/>
          <w:highlight w:val="none"/>
          <w:lang w:val="en-US" w:eastAsia="zh-CN" w:bidi="ar-SA"/>
        </w:rPr>
        <w:t>西安市第九再生水厂污泥处置服务项目，主要对西安市第九再生水厂每日产生的污泥按照环保相关要求及时进行无害化合规处置，须做到污泥日产日清，厂内无堆放，做好现场安全及保洁工作，污泥处置必须达到无害化处理并符合国家环保相关要求及《中华人民共和国固体废物污染环境防治法》《西安市城市生活污水处理厂污泥处理处置管理规定》的规定。</w:t>
      </w:r>
    </w:p>
    <w:p w14:paraId="3FB28DD1">
      <w:pPr>
        <w:spacing w:line="240" w:lineRule="auto"/>
        <w:ind w:firstLine="618" w:firstLineChars="200"/>
        <w:jc w:val="both"/>
        <w:rPr>
          <w:rFonts w:hint="eastAsia" w:ascii="仿宋" w:hAnsi="仿宋" w:eastAsia="仿宋" w:cs="仿宋"/>
          <w:b/>
          <w:bCs/>
          <w:snapToGrid w:val="0"/>
          <w:color w:val="000000"/>
          <w:spacing w:val="14"/>
          <w:kern w:val="0"/>
          <w:sz w:val="28"/>
          <w:szCs w:val="28"/>
          <w:highlight w:val="none"/>
          <w:lang w:val="en-US" w:eastAsia="zh-CN" w:bidi="ar-SA"/>
        </w:rPr>
      </w:pPr>
      <w:r>
        <w:rPr>
          <w:rFonts w:hint="eastAsia" w:ascii="仿宋" w:hAnsi="仿宋" w:eastAsia="仿宋" w:cs="仿宋"/>
          <w:b/>
          <w:bCs/>
          <w:snapToGrid w:val="0"/>
          <w:color w:val="000000"/>
          <w:spacing w:val="14"/>
          <w:kern w:val="0"/>
          <w:sz w:val="28"/>
          <w:szCs w:val="28"/>
          <w:highlight w:val="none"/>
          <w:lang w:val="en-US" w:eastAsia="zh-CN" w:bidi="ar-SA"/>
        </w:rPr>
        <w:t>第二条  履约期限、地点及方式</w:t>
      </w:r>
    </w:p>
    <w:p w14:paraId="75603449">
      <w:pPr>
        <w:spacing w:line="560" w:lineRule="exact"/>
        <w:ind w:left="279" w:leftChars="133" w:firstLine="280" w:firstLineChars="1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履约期限：</w:t>
      </w:r>
      <w:r>
        <w:rPr>
          <w:rFonts w:hint="eastAsia" w:ascii="仿宋" w:hAnsi="仿宋" w:eastAsia="仿宋" w:cs="仿宋"/>
          <w:color w:val="auto"/>
          <w:sz w:val="28"/>
          <w:szCs w:val="28"/>
          <w:highlight w:val="none"/>
          <w:u w:val="single"/>
          <w:lang w:val="en-US" w:eastAsia="zh-CN"/>
        </w:rPr>
        <w:t xml:space="preserve"> 1年 </w:t>
      </w:r>
      <w:r>
        <w:rPr>
          <w:rFonts w:hint="eastAsia" w:ascii="仿宋" w:hAnsi="仿宋" w:eastAsia="仿宋" w:cs="仿宋"/>
          <w:color w:val="auto"/>
          <w:sz w:val="28"/>
          <w:szCs w:val="28"/>
          <w:highlight w:val="none"/>
          <w:lang w:val="en-US" w:eastAsia="zh-CN"/>
        </w:rPr>
        <w:t>，具体时间从</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日起至</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日止</w:t>
      </w:r>
      <w:r>
        <w:rPr>
          <w:rFonts w:hint="eastAsia" w:ascii="仿宋" w:hAnsi="仿宋" w:eastAsia="仿宋" w:cs="仿宋"/>
          <w:color w:val="auto"/>
          <w:sz w:val="28"/>
          <w:szCs w:val="28"/>
          <w:highlight w:val="none"/>
        </w:rPr>
        <w:t>。</w:t>
      </w:r>
    </w:p>
    <w:p w14:paraId="5C7C24D1">
      <w:pPr>
        <w:spacing w:line="240" w:lineRule="auto"/>
        <w:ind w:firstLine="618" w:firstLineChars="200"/>
        <w:jc w:val="both"/>
        <w:rPr>
          <w:rFonts w:hint="eastAsia" w:ascii="仿宋" w:hAnsi="仿宋" w:eastAsia="仿宋" w:cs="仿宋"/>
          <w:b/>
          <w:bCs/>
          <w:snapToGrid w:val="0"/>
          <w:color w:val="000000"/>
          <w:spacing w:val="14"/>
          <w:kern w:val="0"/>
          <w:sz w:val="28"/>
          <w:szCs w:val="28"/>
          <w:highlight w:val="none"/>
          <w:lang w:val="en-US" w:eastAsia="zh-CN" w:bidi="ar-SA"/>
        </w:rPr>
      </w:pPr>
      <w:r>
        <w:rPr>
          <w:rFonts w:hint="eastAsia" w:ascii="仿宋" w:hAnsi="仿宋" w:eastAsia="仿宋" w:cs="仿宋"/>
          <w:b/>
          <w:bCs/>
          <w:snapToGrid w:val="0"/>
          <w:color w:val="000000"/>
          <w:spacing w:val="14"/>
          <w:kern w:val="0"/>
          <w:sz w:val="28"/>
          <w:szCs w:val="28"/>
          <w:highlight w:val="none"/>
          <w:lang w:val="en-US" w:eastAsia="zh-CN" w:bidi="ar-SA"/>
        </w:rPr>
        <w:t>第三条  合同价款及支付方式</w:t>
      </w:r>
    </w:p>
    <w:p w14:paraId="77D1172F">
      <w:pPr>
        <w:spacing w:line="56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1.污泥处置费用</w:t>
      </w:r>
      <w:r>
        <w:rPr>
          <w:rFonts w:hint="eastAsia" w:ascii="仿宋" w:hAnsi="仿宋" w:eastAsia="仿宋" w:cs="仿宋"/>
          <w:color w:val="auto"/>
          <w:sz w:val="28"/>
          <w:szCs w:val="28"/>
          <w:highlight w:val="none"/>
          <w:lang w:val="en-US" w:eastAsia="zh-CN"/>
        </w:rPr>
        <w:t>单价</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元/吨</w:t>
      </w:r>
      <w:r>
        <w:rPr>
          <w:rFonts w:hint="eastAsia" w:ascii="仿宋" w:hAnsi="仿宋" w:eastAsia="仿宋" w:cs="仿宋"/>
          <w:color w:val="auto"/>
          <w:sz w:val="28"/>
          <w:szCs w:val="28"/>
          <w:highlight w:val="none"/>
          <w:lang w:eastAsia="zh-CN"/>
        </w:rPr>
        <w:t>；</w:t>
      </w:r>
    </w:p>
    <w:p w14:paraId="4C6857D6">
      <w:pPr>
        <w:spacing w:line="56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2.年预估污泥处置总量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none"/>
          <w:lang w:val="en-US" w:eastAsia="zh-CN"/>
        </w:rPr>
        <w:t>万</w:t>
      </w:r>
      <w:r>
        <w:rPr>
          <w:rFonts w:hint="eastAsia" w:ascii="仿宋" w:hAnsi="仿宋" w:eastAsia="仿宋" w:cs="仿宋"/>
          <w:color w:val="auto"/>
          <w:sz w:val="28"/>
          <w:szCs w:val="28"/>
          <w:highlight w:val="none"/>
        </w:rPr>
        <w:t>吨</w:t>
      </w:r>
      <w:r>
        <w:rPr>
          <w:rFonts w:hint="eastAsia" w:ascii="仿宋" w:hAnsi="仿宋" w:eastAsia="仿宋" w:cs="仿宋"/>
          <w:color w:val="auto"/>
          <w:sz w:val="28"/>
          <w:szCs w:val="28"/>
          <w:highlight w:val="none"/>
          <w:lang w:val="en-US" w:eastAsia="zh-CN"/>
        </w:rPr>
        <w:t>/年</w:t>
      </w:r>
      <w:r>
        <w:rPr>
          <w:rFonts w:hint="eastAsia" w:ascii="仿宋" w:hAnsi="仿宋" w:eastAsia="仿宋" w:cs="仿宋"/>
          <w:color w:val="auto"/>
          <w:sz w:val="28"/>
          <w:szCs w:val="28"/>
          <w:highlight w:val="none"/>
          <w:lang w:eastAsia="zh-CN"/>
        </w:rPr>
        <w:t>；</w:t>
      </w:r>
    </w:p>
    <w:p w14:paraId="64055F78">
      <w:pPr>
        <w:spacing w:line="560" w:lineRule="exact"/>
        <w:ind w:firstLine="560" w:firstLineChars="200"/>
        <w:jc w:val="both"/>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lang w:val="en-US" w:eastAsia="zh-CN"/>
        </w:rPr>
        <w:t>3.年预估处置总费用</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none"/>
          <w:lang w:val="en-US" w:eastAsia="zh-CN"/>
        </w:rPr>
        <w:t>元；</w:t>
      </w:r>
    </w:p>
    <w:p w14:paraId="7ABAEF6B">
      <w:pPr>
        <w:spacing w:line="56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处置工艺：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eastAsia="zh-CN"/>
        </w:rPr>
        <w:t>。</w:t>
      </w:r>
    </w:p>
    <w:p w14:paraId="72953984">
      <w:pPr>
        <w:autoSpaceDE w:val="0"/>
        <w:autoSpaceDN w:val="0"/>
        <w:adjustRightInd w:val="0"/>
        <w:spacing w:line="560" w:lineRule="exact"/>
        <w:ind w:firstLine="600"/>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注：合同执行期间单价不予调整，污泥处置量以吨为单位计量，乙方处置的污泥量以每日外运且经各方现场确认的五联单数据为准，污泥产生单位、运输单位、处置单位共同在五联单上进行签字确认并加盖公章，并按月汇总计量。最终费用结算以甲、乙双方确认的污泥实际处置量、结合单价据实结算。</w:t>
      </w:r>
    </w:p>
    <w:p w14:paraId="541FCD4F">
      <w:pPr>
        <w:spacing w:line="56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5.上述价款为含税总价，服务费用包括但不限于：人工费（含人员工资、社保、保险、福利等）、管理费、机械费（含使用车辆、机械设备等费用）、</w:t>
      </w:r>
      <w:r>
        <w:rPr>
          <w:rFonts w:hint="eastAsia" w:ascii="仿宋" w:hAnsi="仿宋" w:eastAsia="仿宋" w:cs="仿宋"/>
          <w:color w:val="auto"/>
          <w:sz w:val="28"/>
          <w:szCs w:val="28"/>
          <w:highlight w:val="none"/>
          <w:lang w:eastAsia="zh-CN"/>
        </w:rPr>
        <w:t>建筑物及设备设施的维护</w:t>
      </w:r>
      <w:r>
        <w:rPr>
          <w:rFonts w:hint="eastAsia" w:ascii="仿宋" w:hAnsi="仿宋" w:eastAsia="仿宋" w:cs="仿宋"/>
          <w:color w:val="auto"/>
          <w:sz w:val="28"/>
          <w:szCs w:val="28"/>
          <w:highlight w:val="none"/>
          <w:lang w:val="en-US" w:eastAsia="zh-CN"/>
        </w:rPr>
        <w:t>维修</w:t>
      </w:r>
      <w:r>
        <w:rPr>
          <w:rFonts w:hint="eastAsia" w:ascii="仿宋" w:hAnsi="仿宋" w:eastAsia="仿宋" w:cs="仿宋"/>
          <w:color w:val="auto"/>
          <w:sz w:val="28"/>
          <w:szCs w:val="28"/>
          <w:highlight w:val="none"/>
          <w:lang w:eastAsia="zh-CN"/>
        </w:rPr>
        <w:t>费、</w:t>
      </w:r>
      <w:r>
        <w:rPr>
          <w:rFonts w:hint="eastAsia" w:ascii="仿宋" w:hAnsi="仿宋" w:eastAsia="仿宋" w:cs="仿宋"/>
          <w:color w:val="auto"/>
          <w:sz w:val="28"/>
          <w:szCs w:val="28"/>
          <w:highlight w:val="none"/>
          <w:lang w:val="en-US" w:eastAsia="zh-CN"/>
        </w:rPr>
        <w:t>水电费、</w:t>
      </w:r>
      <w:r>
        <w:rPr>
          <w:rFonts w:hint="eastAsia" w:ascii="仿宋" w:hAnsi="仿宋" w:eastAsia="仿宋" w:cs="仿宋"/>
          <w:color w:val="auto"/>
          <w:sz w:val="28"/>
          <w:szCs w:val="28"/>
          <w:highlight w:val="none"/>
          <w:lang w:eastAsia="zh-CN"/>
        </w:rPr>
        <w:t>垃圾</w:t>
      </w:r>
      <w:r>
        <w:rPr>
          <w:rFonts w:hint="eastAsia" w:ascii="仿宋" w:hAnsi="仿宋" w:eastAsia="仿宋" w:cs="仿宋"/>
          <w:color w:val="auto"/>
          <w:sz w:val="28"/>
          <w:szCs w:val="28"/>
          <w:highlight w:val="none"/>
          <w:lang w:val="en-US" w:eastAsia="zh-CN"/>
        </w:rPr>
        <w:t>清运</w:t>
      </w:r>
      <w:r>
        <w:rPr>
          <w:rFonts w:hint="eastAsia" w:ascii="仿宋" w:hAnsi="仿宋" w:eastAsia="仿宋" w:cs="仿宋"/>
          <w:color w:val="auto"/>
          <w:sz w:val="28"/>
          <w:szCs w:val="28"/>
          <w:highlight w:val="none"/>
          <w:lang w:eastAsia="zh-CN"/>
        </w:rPr>
        <w:t>及处理费、</w:t>
      </w:r>
      <w:r>
        <w:rPr>
          <w:rFonts w:hint="eastAsia" w:ascii="仿宋" w:hAnsi="仿宋" w:eastAsia="仿宋" w:cs="仿宋"/>
          <w:color w:val="auto"/>
          <w:sz w:val="28"/>
          <w:szCs w:val="28"/>
          <w:highlight w:val="none"/>
          <w:lang w:val="en-US" w:eastAsia="zh-CN"/>
        </w:rPr>
        <w:t>耗材、处置场地租赁费、意外险、利润、税金、风险等一切相关费用。</w:t>
      </w:r>
    </w:p>
    <w:p w14:paraId="3CCE69AF">
      <w:pPr>
        <w:spacing w:line="56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付款方式</w:t>
      </w:r>
      <w:r>
        <w:rPr>
          <w:rFonts w:hint="eastAsia" w:ascii="仿宋" w:hAnsi="仿宋" w:eastAsia="仿宋" w:cs="仿宋"/>
          <w:color w:val="auto"/>
          <w:sz w:val="28"/>
          <w:szCs w:val="28"/>
          <w:highlight w:val="none"/>
        </w:rPr>
        <w:t>：</w:t>
      </w:r>
      <w:r>
        <w:rPr>
          <w:rFonts w:hint="eastAsia" w:ascii="仿宋" w:hAnsi="仿宋" w:eastAsia="仿宋" w:cs="仿宋"/>
          <w:color w:val="auto"/>
          <w:spacing w:val="4"/>
          <w:sz w:val="28"/>
          <w:szCs w:val="28"/>
          <w:highlight w:val="none"/>
          <w:lang w:val="en-US" w:eastAsia="zh-CN"/>
        </w:rPr>
        <w:t>按季度支付费用，乙方须接受甲方不定期的监督检查，最终费用结算以甲乙双方确认的污泥实际处置量、结合单价据实结算。每期付款时乙方应提供等额发票申请款项。</w:t>
      </w:r>
    </w:p>
    <w:p w14:paraId="30F72BFC">
      <w:pPr>
        <w:spacing w:line="240" w:lineRule="auto"/>
        <w:ind w:firstLine="618" w:firstLineChars="200"/>
        <w:jc w:val="both"/>
        <w:rPr>
          <w:rFonts w:hint="eastAsia" w:ascii="仿宋" w:hAnsi="仿宋" w:eastAsia="仿宋" w:cs="仿宋"/>
          <w:b/>
          <w:bCs/>
          <w:snapToGrid w:val="0"/>
          <w:color w:val="000000"/>
          <w:spacing w:val="14"/>
          <w:kern w:val="0"/>
          <w:sz w:val="28"/>
          <w:szCs w:val="28"/>
          <w:highlight w:val="none"/>
          <w:lang w:val="en-US" w:eastAsia="zh-CN" w:bidi="ar-SA"/>
        </w:rPr>
      </w:pPr>
      <w:r>
        <w:rPr>
          <w:rFonts w:hint="eastAsia" w:ascii="仿宋" w:hAnsi="仿宋" w:eastAsia="仿宋" w:cs="仿宋"/>
          <w:b/>
          <w:bCs/>
          <w:snapToGrid w:val="0"/>
          <w:color w:val="000000"/>
          <w:spacing w:val="14"/>
          <w:kern w:val="0"/>
          <w:sz w:val="28"/>
          <w:szCs w:val="28"/>
          <w:highlight w:val="none"/>
          <w:lang w:val="en-US" w:eastAsia="zh-CN" w:bidi="ar-SA"/>
        </w:rPr>
        <w:t>第四条  处理处置范围、方式及能力</w:t>
      </w:r>
    </w:p>
    <w:p w14:paraId="6E913870">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1.处理处置范围：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5B64A50B">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2.处理处置方式：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0A915A45">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3.处置处理能力：</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3756835B">
      <w:pPr>
        <w:spacing w:line="240" w:lineRule="auto"/>
        <w:ind w:firstLine="618" w:firstLineChars="200"/>
        <w:jc w:val="both"/>
        <w:rPr>
          <w:rFonts w:hint="eastAsia" w:ascii="仿宋" w:hAnsi="仿宋" w:eastAsia="仿宋" w:cs="仿宋"/>
          <w:b/>
          <w:bCs/>
          <w:snapToGrid w:val="0"/>
          <w:color w:val="000000"/>
          <w:spacing w:val="14"/>
          <w:kern w:val="0"/>
          <w:sz w:val="28"/>
          <w:szCs w:val="28"/>
          <w:highlight w:val="none"/>
          <w:lang w:val="en-US" w:eastAsia="zh-CN" w:bidi="ar-SA"/>
        </w:rPr>
      </w:pPr>
      <w:r>
        <w:rPr>
          <w:rFonts w:hint="eastAsia" w:ascii="仿宋" w:hAnsi="仿宋" w:eastAsia="仿宋" w:cs="仿宋"/>
          <w:b/>
          <w:bCs/>
          <w:snapToGrid w:val="0"/>
          <w:color w:val="000000"/>
          <w:spacing w:val="14"/>
          <w:kern w:val="0"/>
          <w:sz w:val="28"/>
          <w:szCs w:val="28"/>
          <w:highlight w:val="none"/>
          <w:lang w:val="en-US" w:eastAsia="zh-CN" w:bidi="ar-SA"/>
        </w:rPr>
        <w:t>第五条  权利与义务</w:t>
      </w:r>
    </w:p>
    <w:p w14:paraId="72500D6B">
      <w:pPr>
        <w:spacing w:line="560" w:lineRule="exact"/>
        <w:ind w:firstLine="562" w:firstLineChars="200"/>
        <w:jc w:val="both"/>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（一） 甲方权利与义务：</w:t>
      </w:r>
    </w:p>
    <w:p w14:paraId="1DCAE741">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（1）甲方有权对污泥的处置过程进行监督管理。</w:t>
      </w:r>
    </w:p>
    <w:p w14:paraId="490F56FC">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（2）甲方按照协议约定完成污泥现场核查及处置费用核算。</w:t>
      </w:r>
    </w:p>
    <w:p w14:paraId="7F4A6D7E">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（3）按</w:t>
      </w:r>
      <w:r>
        <w:rPr>
          <w:rFonts w:hint="eastAsia" w:ascii="仿宋" w:hAnsi="仿宋" w:eastAsia="仿宋" w:cs="仿宋"/>
          <w:color w:val="auto"/>
          <w:sz w:val="28"/>
          <w:szCs w:val="28"/>
          <w:highlight w:val="none"/>
          <w:lang w:eastAsia="zh-CN"/>
        </w:rPr>
        <w:t>本合同</w:t>
      </w:r>
      <w:r>
        <w:rPr>
          <w:rFonts w:hint="eastAsia" w:ascii="仿宋" w:hAnsi="仿宋" w:eastAsia="仿宋" w:cs="仿宋"/>
          <w:color w:val="auto"/>
          <w:sz w:val="28"/>
          <w:szCs w:val="28"/>
          <w:highlight w:val="none"/>
        </w:rPr>
        <w:t>第三</w:t>
      </w:r>
      <w:r>
        <w:rPr>
          <w:rFonts w:hint="eastAsia" w:ascii="仿宋" w:hAnsi="仿宋" w:eastAsia="仿宋" w:cs="仿宋"/>
          <w:color w:val="auto"/>
          <w:sz w:val="28"/>
          <w:szCs w:val="28"/>
          <w:highlight w:val="none"/>
          <w:lang w:eastAsia="zh-CN"/>
        </w:rPr>
        <w:t>条款</w:t>
      </w:r>
      <w:r>
        <w:rPr>
          <w:rFonts w:hint="eastAsia" w:ascii="仿宋" w:hAnsi="仿宋" w:eastAsia="仿宋" w:cs="仿宋"/>
          <w:color w:val="auto"/>
          <w:sz w:val="28"/>
          <w:szCs w:val="28"/>
          <w:highlight w:val="none"/>
        </w:rPr>
        <w:t>约定及时付款。</w:t>
      </w:r>
    </w:p>
    <w:p w14:paraId="460A4774">
      <w:pPr>
        <w:spacing w:line="560" w:lineRule="exact"/>
        <w:ind w:firstLine="562" w:firstLineChars="200"/>
        <w:jc w:val="both"/>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（二）乙方职责</w:t>
      </w:r>
    </w:p>
    <w:p w14:paraId="3B84E0C9">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（1）乙方须在合同签订后三日内提供污泥处置服务。</w:t>
      </w:r>
    </w:p>
    <w:p w14:paraId="7AD7FDA2">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（2）乙方因不可抗力、生产运行调整变化或其他原因等不能处置污泥时，应提前一天通知甲方，并报甲方备案。</w:t>
      </w:r>
    </w:p>
    <w:p w14:paraId="24F6C0A2">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（3）本合同期限内，乙方未向甲方报备，及未严格按工艺要求及时进行处置，除应承担相应的法律责任外，同时视为严重违约。</w:t>
      </w:r>
    </w:p>
    <w:p w14:paraId="609FB3C7">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（4）乙方自行办理污泥运输、处置过程中所需的相关手续，甲方予以配合，所需费用，由乙方承担。</w:t>
      </w:r>
    </w:p>
    <w:p w14:paraId="44EEAA63">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乙方必须依照有关法律法规的规定、合同约定、甲方及各部门要求，配套建设、正常使用环境污染防治及安全等设施并履行污泥处置全过程的污染防治和环保、安全等要求，各项污染物稳定达标排放，避免对周边环境产生影响。乙方未按要求运输、处置污泥的，乙方承担环保、安全、法律、经济等一切责任，甲方不承担由此而造成的任何责任。造成任何一方、第三方等任何损失，由乙方负责，与甲方无关，甲方不承担连带及其它任何责任。</w:t>
      </w:r>
    </w:p>
    <w:p w14:paraId="4D32B12C">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（6）乙方承诺对甲方提供的一切资料及其他商业秘密履行保密义务，未经甲方同意，不得向任何第三方泄露。</w:t>
      </w:r>
    </w:p>
    <w:p w14:paraId="757DD709">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（7）乙方工作应符合国家有关规定及本合同约定的条件。</w:t>
      </w:r>
    </w:p>
    <w:p w14:paraId="29B63656">
      <w:pPr>
        <w:spacing w:line="240" w:lineRule="auto"/>
        <w:ind w:firstLine="618" w:firstLineChars="200"/>
        <w:jc w:val="both"/>
        <w:rPr>
          <w:rFonts w:hint="eastAsia" w:ascii="仿宋" w:hAnsi="仿宋" w:eastAsia="仿宋" w:cs="仿宋"/>
          <w:b/>
          <w:bCs/>
          <w:snapToGrid w:val="0"/>
          <w:color w:val="000000"/>
          <w:spacing w:val="14"/>
          <w:kern w:val="0"/>
          <w:sz w:val="28"/>
          <w:szCs w:val="28"/>
          <w:highlight w:val="none"/>
          <w:lang w:val="en-US" w:eastAsia="zh-CN" w:bidi="ar-SA"/>
        </w:rPr>
      </w:pPr>
      <w:r>
        <w:rPr>
          <w:rFonts w:hint="eastAsia" w:ascii="仿宋" w:hAnsi="仿宋" w:eastAsia="仿宋" w:cs="仿宋"/>
          <w:b/>
          <w:bCs/>
          <w:snapToGrid w:val="0"/>
          <w:color w:val="000000"/>
          <w:spacing w:val="14"/>
          <w:kern w:val="0"/>
          <w:sz w:val="28"/>
          <w:szCs w:val="28"/>
          <w:highlight w:val="none"/>
          <w:lang w:val="en-US" w:eastAsia="zh-CN" w:bidi="ar-SA"/>
        </w:rPr>
        <w:t>第六条  服务质量保证</w:t>
      </w:r>
    </w:p>
    <w:p w14:paraId="245C0ED2">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1.服务成果符合国家标准和相关政策法规技术规范及《</w:t>
      </w:r>
      <w:r>
        <w:rPr>
          <w:rFonts w:hint="eastAsia" w:ascii="仿宋" w:hAnsi="仿宋" w:eastAsia="仿宋" w:cs="仿宋"/>
          <w:color w:val="auto"/>
          <w:sz w:val="28"/>
          <w:szCs w:val="28"/>
          <w:highlight w:val="none"/>
          <w:lang w:eastAsia="zh-CN"/>
        </w:rPr>
        <w:t>中华人民共和国固体废物污染环境防治法</w:t>
      </w:r>
      <w:r>
        <w:rPr>
          <w:rFonts w:hint="eastAsia" w:ascii="仿宋" w:hAnsi="仿宋" w:eastAsia="仿宋" w:cs="仿宋"/>
          <w:color w:val="auto"/>
          <w:sz w:val="28"/>
          <w:szCs w:val="28"/>
          <w:highlight w:val="none"/>
        </w:rPr>
        <w:t>》的要求，须按行业管理要求履行备案。</w:t>
      </w:r>
    </w:p>
    <w:p w14:paraId="1A9E3C48">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2.服务期间应确保人员稳定，响应及时。</w:t>
      </w:r>
    </w:p>
    <w:p w14:paraId="53DFCBCE">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3.乙方提供的服务，若发生侵权而产生的一切后果，由服务商负责。采购人保留索赔权力。</w:t>
      </w:r>
    </w:p>
    <w:p w14:paraId="25C40690">
      <w:pPr>
        <w:spacing w:line="240" w:lineRule="auto"/>
        <w:ind w:firstLine="618" w:firstLineChars="200"/>
        <w:jc w:val="both"/>
        <w:rPr>
          <w:rFonts w:hint="eastAsia" w:ascii="仿宋" w:hAnsi="仿宋" w:eastAsia="仿宋" w:cs="仿宋"/>
          <w:b/>
          <w:bCs/>
          <w:snapToGrid w:val="0"/>
          <w:color w:val="000000"/>
          <w:spacing w:val="14"/>
          <w:kern w:val="0"/>
          <w:sz w:val="28"/>
          <w:szCs w:val="28"/>
          <w:highlight w:val="none"/>
          <w:lang w:val="en-US" w:eastAsia="zh-CN" w:bidi="ar-SA"/>
        </w:rPr>
      </w:pPr>
      <w:r>
        <w:rPr>
          <w:rFonts w:hint="eastAsia" w:ascii="仿宋" w:hAnsi="仿宋" w:eastAsia="仿宋" w:cs="仿宋"/>
          <w:b/>
          <w:bCs/>
          <w:snapToGrid w:val="0"/>
          <w:color w:val="000000"/>
          <w:spacing w:val="14"/>
          <w:kern w:val="0"/>
          <w:sz w:val="28"/>
          <w:szCs w:val="28"/>
          <w:highlight w:val="none"/>
          <w:lang w:val="en-US" w:eastAsia="zh-CN" w:bidi="ar-SA"/>
        </w:rPr>
        <w:t>第七条  不可抗力</w:t>
      </w:r>
    </w:p>
    <w:p w14:paraId="02DD803A">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签约任一方由于受诸如严重火灾、洪水、台风、地震等不可抗力事故的影响而不能执行合同时，履行合同的期限应予以延长，则延长的期限应相当于事故所影响的时间。不可抗力系指双方在缔结本合同时所不能预见的，并且它的发生及其后果是无法避免和无法克服的。</w:t>
      </w:r>
    </w:p>
    <w:p w14:paraId="34D9FEBC">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2.受阻一方应在不可抗力发生后尽快按要求通知对方并于事故发生后 7 天内将有关当局出具的证明文件用特快专递或挂号信寄给对方审阅确认。一旦不可抗力事故的影响持续 10 天以上，双方应通过友好协商在合理的时间内达成进一步履行合同的协议。</w:t>
      </w:r>
    </w:p>
    <w:p w14:paraId="307EEF88">
      <w:pPr>
        <w:spacing w:line="240" w:lineRule="auto"/>
        <w:ind w:firstLine="618" w:firstLineChars="200"/>
        <w:jc w:val="both"/>
        <w:rPr>
          <w:rFonts w:hint="eastAsia" w:ascii="仿宋" w:hAnsi="仿宋" w:eastAsia="仿宋" w:cs="仿宋"/>
          <w:b/>
          <w:bCs/>
          <w:snapToGrid w:val="0"/>
          <w:color w:val="000000"/>
          <w:spacing w:val="14"/>
          <w:kern w:val="0"/>
          <w:sz w:val="28"/>
          <w:szCs w:val="28"/>
          <w:highlight w:val="none"/>
          <w:lang w:val="en-US" w:eastAsia="zh-CN" w:bidi="ar-SA"/>
        </w:rPr>
      </w:pPr>
      <w:r>
        <w:rPr>
          <w:rFonts w:hint="eastAsia" w:ascii="仿宋" w:hAnsi="仿宋" w:eastAsia="仿宋" w:cs="仿宋"/>
          <w:b/>
          <w:bCs/>
          <w:snapToGrid w:val="0"/>
          <w:color w:val="000000"/>
          <w:spacing w:val="14"/>
          <w:kern w:val="0"/>
          <w:sz w:val="28"/>
          <w:szCs w:val="28"/>
          <w:highlight w:val="none"/>
          <w:lang w:val="en-US" w:eastAsia="zh-CN" w:bidi="ar-SA"/>
        </w:rPr>
        <w:t>第八条  违约责任</w:t>
      </w:r>
    </w:p>
    <w:p w14:paraId="0BDB4417">
      <w:pPr>
        <w:keepNext w:val="0"/>
        <w:keepLines w:val="0"/>
        <w:pageBreakBefore w:val="0"/>
        <w:widowControl/>
        <w:kinsoku/>
        <w:wordWrap/>
        <w:overflowPunct/>
        <w:topLinePunct w:val="0"/>
        <w:autoSpaceDE/>
        <w:autoSpaceDN/>
        <w:bidi w:val="0"/>
        <w:adjustRightInd/>
        <w:snapToGrid/>
        <w:spacing w:line="560" w:lineRule="exact"/>
        <w:ind w:right="0" w:firstLine="576" w:firstLineChars="200"/>
        <w:textAlignment w:val="auto"/>
        <w:rPr>
          <w:rFonts w:hint="eastAsia" w:ascii="仿宋" w:hAnsi="仿宋" w:eastAsia="仿宋" w:cs="仿宋"/>
          <w:spacing w:val="4"/>
          <w:sz w:val="28"/>
          <w:szCs w:val="28"/>
          <w:highlight w:val="none"/>
          <w:lang w:val="en-US" w:eastAsia="zh-CN"/>
        </w:rPr>
      </w:pPr>
      <w:r>
        <w:rPr>
          <w:rFonts w:hint="eastAsia" w:ascii="仿宋" w:hAnsi="仿宋" w:eastAsia="仿宋" w:cs="仿宋"/>
          <w:spacing w:val="4"/>
          <w:sz w:val="28"/>
          <w:szCs w:val="28"/>
          <w:highlight w:val="none"/>
          <w:lang w:val="en-US" w:eastAsia="zh-CN"/>
        </w:rPr>
        <w:t>1.按《中华人民共和国民法典》中的相关条款执行；</w:t>
      </w:r>
    </w:p>
    <w:p w14:paraId="2DA60F78">
      <w:pPr>
        <w:keepNext w:val="0"/>
        <w:keepLines w:val="0"/>
        <w:pageBreakBefore w:val="0"/>
        <w:widowControl/>
        <w:kinsoku/>
        <w:wordWrap/>
        <w:overflowPunct/>
        <w:topLinePunct w:val="0"/>
        <w:autoSpaceDE/>
        <w:autoSpaceDN/>
        <w:bidi w:val="0"/>
        <w:adjustRightInd/>
        <w:snapToGrid/>
        <w:spacing w:line="560" w:lineRule="exact"/>
        <w:ind w:left="0" w:right="0" w:firstLine="576" w:firstLineChars="200"/>
        <w:textAlignment w:val="auto"/>
        <w:rPr>
          <w:rFonts w:hint="eastAsia" w:ascii="仿宋" w:hAnsi="仿宋" w:eastAsia="仿宋" w:cs="仿宋"/>
          <w:spacing w:val="4"/>
          <w:sz w:val="28"/>
          <w:szCs w:val="28"/>
          <w:highlight w:val="none"/>
          <w:lang w:val="en-US" w:eastAsia="zh-CN"/>
        </w:rPr>
      </w:pPr>
      <w:r>
        <w:rPr>
          <w:rFonts w:hint="eastAsia" w:ascii="仿宋" w:hAnsi="仿宋" w:eastAsia="仿宋" w:cs="仿宋"/>
          <w:spacing w:val="4"/>
          <w:sz w:val="28"/>
          <w:szCs w:val="28"/>
          <w:highlight w:val="none"/>
          <w:lang w:val="en-US" w:eastAsia="zh-CN"/>
        </w:rPr>
        <w:t>2.未按合同要求提供服务或服务质量不能满足本次采购要求，甲方有权终止合同和对乙方违约行为进行追究，同时按政府采购法的有关规定进行相应的处罚；</w:t>
      </w:r>
    </w:p>
    <w:p w14:paraId="5F5F0724">
      <w:pPr>
        <w:keepNext w:val="0"/>
        <w:keepLines w:val="0"/>
        <w:pageBreakBefore w:val="0"/>
        <w:widowControl/>
        <w:kinsoku/>
        <w:wordWrap/>
        <w:overflowPunct/>
        <w:topLinePunct w:val="0"/>
        <w:autoSpaceDE/>
        <w:autoSpaceDN/>
        <w:bidi w:val="0"/>
        <w:adjustRightInd/>
        <w:snapToGrid/>
        <w:spacing w:line="560" w:lineRule="exact"/>
        <w:ind w:left="0" w:right="0" w:firstLine="576" w:firstLineChars="200"/>
        <w:textAlignment w:val="auto"/>
        <w:rPr>
          <w:rFonts w:hint="eastAsia" w:ascii="仿宋" w:hAnsi="仿宋" w:eastAsia="仿宋" w:cs="仿宋"/>
          <w:spacing w:val="4"/>
          <w:sz w:val="28"/>
          <w:szCs w:val="28"/>
          <w:highlight w:val="none"/>
          <w:lang w:val="en-US" w:eastAsia="zh-CN"/>
        </w:rPr>
      </w:pPr>
      <w:r>
        <w:rPr>
          <w:rFonts w:hint="eastAsia" w:ascii="仿宋" w:hAnsi="仿宋" w:eastAsia="仿宋" w:cs="仿宋"/>
          <w:spacing w:val="4"/>
          <w:sz w:val="28"/>
          <w:szCs w:val="28"/>
          <w:highlight w:val="none"/>
          <w:lang w:val="en-US" w:eastAsia="zh-CN"/>
        </w:rPr>
        <w:t>3.本合同在执行过程中，若遇到不可抗力的因素而影响本合同正常执行或需要修改、变更合同内容的，经双方协商一致后，可另签订补充协议，与合同具有同等法律效力；</w:t>
      </w:r>
    </w:p>
    <w:p w14:paraId="02DBB94F">
      <w:pPr>
        <w:keepNext w:val="0"/>
        <w:keepLines w:val="0"/>
        <w:pageBreakBefore w:val="0"/>
        <w:widowControl/>
        <w:kinsoku/>
        <w:wordWrap/>
        <w:overflowPunct/>
        <w:topLinePunct w:val="0"/>
        <w:autoSpaceDE/>
        <w:autoSpaceDN/>
        <w:bidi w:val="0"/>
        <w:adjustRightInd/>
        <w:snapToGrid/>
        <w:spacing w:line="560" w:lineRule="exact"/>
        <w:ind w:left="0" w:right="0" w:firstLine="576" w:firstLineChars="200"/>
        <w:textAlignment w:val="auto"/>
        <w:rPr>
          <w:rFonts w:hint="eastAsia" w:ascii="仿宋" w:hAnsi="仿宋" w:eastAsia="仿宋" w:cs="仿宋"/>
          <w:spacing w:val="4"/>
          <w:sz w:val="28"/>
          <w:szCs w:val="28"/>
          <w:highlight w:val="none"/>
          <w:lang w:val="en-US" w:eastAsia="zh-CN"/>
        </w:rPr>
      </w:pPr>
      <w:r>
        <w:rPr>
          <w:rFonts w:hint="eastAsia" w:ascii="仿宋" w:hAnsi="仿宋" w:eastAsia="仿宋" w:cs="仿宋"/>
          <w:spacing w:val="4"/>
          <w:sz w:val="28"/>
          <w:szCs w:val="28"/>
          <w:highlight w:val="none"/>
          <w:lang w:val="en-US" w:eastAsia="zh-CN"/>
        </w:rPr>
        <w:t>4.乙方应认真履行职责，若不按合同规定履行其职责，视为违约，每次违约，乙方须向甲方支付违约金10000元；乙方累计两次违约，甲方有权单方面解除本合同，乙方须向甲方支付合同总价款20%的违约金；</w:t>
      </w:r>
    </w:p>
    <w:p w14:paraId="55378D53">
      <w:pPr>
        <w:keepNext w:val="0"/>
        <w:keepLines w:val="0"/>
        <w:pageBreakBefore w:val="0"/>
        <w:widowControl/>
        <w:kinsoku/>
        <w:wordWrap/>
        <w:overflowPunct/>
        <w:topLinePunct w:val="0"/>
        <w:autoSpaceDE/>
        <w:autoSpaceDN/>
        <w:bidi w:val="0"/>
        <w:adjustRightInd/>
        <w:snapToGrid/>
        <w:spacing w:line="560" w:lineRule="exact"/>
        <w:ind w:left="0" w:right="0" w:firstLine="576" w:firstLineChars="200"/>
        <w:textAlignment w:val="auto"/>
        <w:rPr>
          <w:rFonts w:hint="eastAsia" w:ascii="仿宋" w:hAnsi="仿宋" w:eastAsia="仿宋" w:cs="仿宋"/>
          <w:spacing w:val="4"/>
          <w:sz w:val="28"/>
          <w:szCs w:val="28"/>
          <w:highlight w:val="none"/>
          <w:lang w:val="en-US" w:eastAsia="zh-CN"/>
        </w:rPr>
      </w:pPr>
      <w:r>
        <w:rPr>
          <w:rFonts w:hint="eastAsia" w:ascii="仿宋" w:hAnsi="仿宋" w:eastAsia="仿宋" w:cs="仿宋"/>
          <w:spacing w:val="4"/>
          <w:sz w:val="28"/>
          <w:szCs w:val="28"/>
          <w:highlight w:val="none"/>
          <w:lang w:val="en-US" w:eastAsia="zh-CN"/>
        </w:rPr>
        <w:t>5.合同履行期间，因乙方相关工作人员或设施设备造成的责任事故及纠纷，在合同约定的服务范围及场所内，发生的第三人人身意外伤害，一切责任均由乙方全部承担。</w:t>
      </w:r>
    </w:p>
    <w:p w14:paraId="6F16FAA6">
      <w:pPr>
        <w:spacing w:line="240" w:lineRule="auto"/>
        <w:ind w:firstLine="618" w:firstLineChars="200"/>
        <w:jc w:val="both"/>
        <w:rPr>
          <w:rFonts w:hint="eastAsia" w:ascii="仿宋" w:hAnsi="仿宋" w:eastAsia="仿宋" w:cs="仿宋"/>
          <w:b/>
          <w:bCs/>
          <w:snapToGrid w:val="0"/>
          <w:color w:val="000000"/>
          <w:spacing w:val="14"/>
          <w:kern w:val="0"/>
          <w:sz w:val="28"/>
          <w:szCs w:val="28"/>
          <w:highlight w:val="none"/>
          <w:lang w:val="en-US" w:eastAsia="zh-CN" w:bidi="ar-SA"/>
        </w:rPr>
      </w:pPr>
      <w:r>
        <w:rPr>
          <w:rFonts w:hint="eastAsia" w:ascii="仿宋" w:hAnsi="仿宋" w:eastAsia="仿宋" w:cs="仿宋"/>
          <w:b/>
          <w:bCs/>
          <w:snapToGrid w:val="0"/>
          <w:color w:val="000000"/>
          <w:spacing w:val="14"/>
          <w:kern w:val="0"/>
          <w:sz w:val="28"/>
          <w:szCs w:val="28"/>
          <w:highlight w:val="none"/>
          <w:lang w:val="en-US" w:eastAsia="zh-CN" w:bidi="ar-SA"/>
        </w:rPr>
        <w:t>第九条  解决合同纠纷的方式</w:t>
      </w:r>
    </w:p>
    <w:p w14:paraId="3C22F285">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1.执行本合同中发生的或与本合同有关的争端，双方应通过友好协商的方式解决，若协商无法解决的，应通过在甲方所在地的人民法院诉讼解决。</w:t>
      </w:r>
    </w:p>
    <w:p w14:paraId="4CA751B2">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2.在诉讼期间，除正在进行诉讼部分外，合同其它部分继续执行。</w:t>
      </w:r>
    </w:p>
    <w:p w14:paraId="21F4136B">
      <w:pPr>
        <w:spacing w:line="240" w:lineRule="auto"/>
        <w:ind w:firstLine="618" w:firstLineChars="200"/>
        <w:jc w:val="both"/>
        <w:rPr>
          <w:rFonts w:hint="eastAsia" w:ascii="仿宋" w:hAnsi="仿宋" w:eastAsia="仿宋" w:cs="仿宋"/>
          <w:b/>
          <w:bCs/>
          <w:snapToGrid w:val="0"/>
          <w:color w:val="000000"/>
          <w:spacing w:val="14"/>
          <w:kern w:val="0"/>
          <w:sz w:val="28"/>
          <w:szCs w:val="28"/>
          <w:highlight w:val="none"/>
          <w:lang w:val="en-US" w:eastAsia="zh-CN" w:bidi="ar-SA"/>
        </w:rPr>
      </w:pPr>
      <w:r>
        <w:rPr>
          <w:rFonts w:hint="eastAsia" w:ascii="仿宋" w:hAnsi="仿宋" w:eastAsia="仿宋" w:cs="仿宋"/>
          <w:b/>
          <w:bCs/>
          <w:snapToGrid w:val="0"/>
          <w:color w:val="000000"/>
          <w:spacing w:val="14"/>
          <w:kern w:val="0"/>
          <w:sz w:val="28"/>
          <w:szCs w:val="28"/>
          <w:highlight w:val="none"/>
          <w:lang w:val="en-US" w:eastAsia="zh-CN" w:bidi="ar-SA"/>
        </w:rPr>
        <w:t>第十条  合同的修订和补充</w:t>
      </w:r>
    </w:p>
    <w:p w14:paraId="10A01858">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对合同款做出的任何改动，均须由双方签署书面的合同</w:t>
      </w:r>
      <w:r>
        <w:rPr>
          <w:rFonts w:hint="eastAsia" w:ascii="仿宋" w:hAnsi="仿宋" w:eastAsia="仿宋" w:cs="仿宋"/>
          <w:color w:val="auto"/>
          <w:sz w:val="28"/>
          <w:szCs w:val="28"/>
          <w:highlight w:val="none"/>
          <w:lang w:val="en-US" w:eastAsia="zh-CN"/>
        </w:rPr>
        <w:t>补充协议</w:t>
      </w:r>
      <w:r>
        <w:rPr>
          <w:rFonts w:hint="eastAsia" w:ascii="仿宋" w:hAnsi="仿宋" w:eastAsia="仿宋" w:cs="仿宋"/>
          <w:color w:val="auto"/>
          <w:sz w:val="28"/>
          <w:szCs w:val="28"/>
          <w:highlight w:val="none"/>
        </w:rPr>
        <w:t>。</w:t>
      </w:r>
    </w:p>
    <w:p w14:paraId="1F58D578">
      <w:pPr>
        <w:spacing w:line="240" w:lineRule="auto"/>
        <w:ind w:firstLine="618" w:firstLineChars="200"/>
        <w:jc w:val="both"/>
        <w:rPr>
          <w:rFonts w:hint="eastAsia" w:ascii="仿宋" w:hAnsi="仿宋" w:eastAsia="仿宋" w:cs="仿宋"/>
          <w:b/>
          <w:bCs/>
          <w:snapToGrid w:val="0"/>
          <w:color w:val="000000"/>
          <w:spacing w:val="14"/>
          <w:kern w:val="0"/>
          <w:sz w:val="28"/>
          <w:szCs w:val="28"/>
          <w:highlight w:val="none"/>
          <w:lang w:val="en-US" w:eastAsia="zh-CN" w:bidi="ar-SA"/>
        </w:rPr>
      </w:pPr>
      <w:r>
        <w:rPr>
          <w:rFonts w:hint="eastAsia" w:ascii="仿宋" w:hAnsi="仿宋" w:eastAsia="仿宋" w:cs="仿宋"/>
          <w:b/>
          <w:bCs/>
          <w:snapToGrid w:val="0"/>
          <w:color w:val="000000"/>
          <w:spacing w:val="14"/>
          <w:kern w:val="0"/>
          <w:sz w:val="28"/>
          <w:szCs w:val="28"/>
          <w:highlight w:val="none"/>
          <w:lang w:val="en-US" w:eastAsia="zh-CN" w:bidi="ar-SA"/>
        </w:rPr>
        <w:t>第十一条  合同的变更和终止</w:t>
      </w:r>
    </w:p>
    <w:p w14:paraId="6C8638E3">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spacing w:val="4"/>
          <w:sz w:val="28"/>
          <w:szCs w:val="28"/>
          <w:highlight w:val="none"/>
          <w:lang w:val="en-US" w:eastAsia="zh-CN"/>
        </w:rPr>
        <w:t>本合同在执行过程中，若遇到不可抗力的因素而影响本合同正常执行或需要修改、变更合同内容的，经双方协商一致后，可另签订补充协议，与合同具有同等法律效力</w:t>
      </w:r>
      <w:r>
        <w:rPr>
          <w:rFonts w:hint="eastAsia" w:ascii="仿宋" w:hAnsi="仿宋" w:eastAsia="仿宋" w:cs="仿宋"/>
          <w:color w:val="auto"/>
          <w:sz w:val="28"/>
          <w:szCs w:val="28"/>
          <w:highlight w:val="none"/>
        </w:rPr>
        <w:t>。</w:t>
      </w:r>
    </w:p>
    <w:p w14:paraId="3FB1B69D">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2.合同约定事项，所依据的法律、法规发生重大变化的，或甲、乙双方协商变更合同条款的，可以协商变更，并签订变更合同书；如本条相关事项与上一条冲突的，遵照上一条执行。</w:t>
      </w:r>
    </w:p>
    <w:p w14:paraId="01509A41">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3.合同未尽事宜，按国家和地方有关规定执行，双方认为需要进一步明确的事项，可签订补充或变更事项，与合同具有同等法律效力，一并执行。</w:t>
      </w:r>
    </w:p>
    <w:p w14:paraId="7A4F305E">
      <w:pPr>
        <w:spacing w:line="560" w:lineRule="exact"/>
        <w:ind w:firstLine="560" w:firstLineChars="200"/>
        <w:jc w:val="both"/>
        <w:rPr>
          <w:rFonts w:hint="eastAsia" w:ascii="仿宋" w:hAnsi="仿宋" w:eastAsia="仿宋" w:cs="仿宋"/>
          <w:color w:val="auto"/>
          <w:sz w:val="28"/>
          <w:szCs w:val="28"/>
          <w:highlight w:val="none"/>
          <w:lang w:val="en-US" w:eastAsia="en-US"/>
        </w:rPr>
      </w:pPr>
      <w:r>
        <w:rPr>
          <w:rFonts w:hint="eastAsia" w:ascii="仿宋" w:hAnsi="仿宋" w:eastAsia="仿宋" w:cs="仿宋"/>
          <w:color w:val="auto"/>
          <w:sz w:val="28"/>
          <w:szCs w:val="28"/>
          <w:highlight w:val="none"/>
          <w:lang w:val="en-US" w:eastAsia="en-US"/>
        </w:rPr>
        <w:t>4.甲方变更地址或联系方式时，应提前30日以书面形式通知对方。甲方变更名称、法定代表人、主要负责人等事项，不影响合同的履行。在合同的有效期内，甲方发生合并或者分立等情况，合同继续有效且由继承甲方权利义务的单位继续履行。</w:t>
      </w:r>
    </w:p>
    <w:p w14:paraId="16C8920B">
      <w:pPr>
        <w:spacing w:line="56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乙</w:t>
      </w:r>
      <w:r>
        <w:rPr>
          <w:rFonts w:hint="eastAsia" w:ascii="仿宋" w:hAnsi="仿宋" w:eastAsia="仿宋" w:cs="仿宋"/>
          <w:color w:val="auto"/>
          <w:sz w:val="28"/>
          <w:szCs w:val="28"/>
          <w:highlight w:val="none"/>
          <w:lang w:val="en-US" w:eastAsia="zh-CN"/>
        </w:rPr>
        <w:t>方无法按照合同约定提供行泥处置服务时，甲方有权终止合同，并要求赔偿损失。</w:t>
      </w:r>
    </w:p>
    <w:p w14:paraId="02711B29">
      <w:pPr>
        <w:pStyle w:val="4"/>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第十</w:t>
      </w: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rPr>
        <w:t>条</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合同生效执行</w:t>
      </w:r>
    </w:p>
    <w:p w14:paraId="61584799">
      <w:pPr>
        <w:autoSpaceDE w:val="0"/>
        <w:autoSpaceDN w:val="0"/>
        <w:adjustRightInd w:val="0"/>
        <w:spacing w:line="560" w:lineRule="exact"/>
        <w:ind w:firstLine="600"/>
        <w:rPr>
          <w:rFonts w:hint="eastAsia" w:ascii="仿宋" w:hAnsi="仿宋" w:eastAsia="仿宋" w:cs="仿宋"/>
          <w:color w:val="000000" w:themeColor="text1"/>
          <w:sz w:val="28"/>
          <w:szCs w:val="28"/>
          <w:highlight w:val="none"/>
          <w:lang w:val="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．本合同一式</w:t>
      </w:r>
      <w:r>
        <w:rPr>
          <w:rFonts w:hint="eastAsia" w:ascii="仿宋" w:hAnsi="仿宋" w:eastAsia="仿宋" w:cs="仿宋"/>
          <w:color w:val="000000" w:themeColor="text1"/>
          <w:sz w:val="28"/>
          <w:szCs w:val="28"/>
          <w:highlight w:val="none"/>
          <w:lang w:val="en-US" w:eastAsia="zh-CN"/>
          <w14:textFill>
            <w14:solidFill>
              <w14:schemeClr w14:val="tx1"/>
            </w14:solidFill>
          </w14:textFill>
        </w:rPr>
        <w:t>陆</w:t>
      </w:r>
      <w:r>
        <w:rPr>
          <w:rFonts w:hint="eastAsia" w:ascii="仿宋" w:hAnsi="仿宋" w:eastAsia="仿宋" w:cs="仿宋"/>
          <w:color w:val="000000" w:themeColor="text1"/>
          <w:sz w:val="28"/>
          <w:szCs w:val="28"/>
          <w:highlight w:val="none"/>
          <w14:textFill>
            <w14:solidFill>
              <w14:schemeClr w14:val="tx1"/>
            </w14:solidFill>
          </w14:textFill>
        </w:rPr>
        <w:t>份，自双方签</w:t>
      </w:r>
      <w:r>
        <w:rPr>
          <w:rFonts w:hint="eastAsia" w:ascii="仿宋" w:hAnsi="仿宋" w:eastAsia="仿宋" w:cs="仿宋"/>
          <w:color w:val="000000" w:themeColor="text1"/>
          <w:sz w:val="28"/>
          <w:szCs w:val="28"/>
          <w:highlight w:val="none"/>
          <w:lang w:val="en-US" w:eastAsia="zh-CN"/>
          <w14:textFill>
            <w14:solidFill>
              <w14:schemeClr w14:val="tx1"/>
            </w14:solidFill>
          </w14:textFill>
        </w:rPr>
        <w:t>字盖</w:t>
      </w:r>
      <w:r>
        <w:rPr>
          <w:rFonts w:hint="eastAsia" w:ascii="仿宋" w:hAnsi="仿宋" w:eastAsia="仿宋" w:cs="仿宋"/>
          <w:color w:val="000000" w:themeColor="text1"/>
          <w:sz w:val="28"/>
          <w:szCs w:val="28"/>
          <w:highlight w:val="none"/>
          <w14:textFill>
            <w14:solidFill>
              <w14:schemeClr w14:val="tx1"/>
            </w14:solidFill>
          </w14:textFill>
        </w:rPr>
        <w:t>章之日起</w:t>
      </w:r>
      <w:r>
        <w:rPr>
          <w:rFonts w:hint="eastAsia" w:ascii="仿宋" w:hAnsi="仿宋" w:eastAsia="仿宋" w:cs="仿宋"/>
          <w:color w:val="000000" w:themeColor="text1"/>
          <w:sz w:val="28"/>
          <w:szCs w:val="28"/>
          <w:highlight w:val="none"/>
          <w:lang w:val="en-US" w:eastAsia="zh-CN"/>
          <w14:textFill>
            <w14:solidFill>
              <w14:schemeClr w14:val="tx1"/>
            </w14:solidFill>
          </w14:textFill>
        </w:rPr>
        <w:t>生</w:t>
      </w:r>
      <w:r>
        <w:rPr>
          <w:rFonts w:hint="eastAsia" w:ascii="仿宋" w:hAnsi="仿宋" w:eastAsia="仿宋" w:cs="仿宋"/>
          <w:color w:val="000000" w:themeColor="text1"/>
          <w:sz w:val="28"/>
          <w:szCs w:val="28"/>
          <w:highlight w:val="none"/>
          <w14:textFill>
            <w14:solidFill>
              <w14:schemeClr w14:val="tx1"/>
            </w14:solidFill>
          </w14:textFill>
        </w:rPr>
        <w:t>效。</w:t>
      </w:r>
      <w:r>
        <w:rPr>
          <w:rFonts w:hint="eastAsia" w:ascii="仿宋" w:hAnsi="仿宋" w:eastAsia="仿宋" w:cs="仿宋"/>
          <w:color w:val="000000" w:themeColor="text1"/>
          <w:sz w:val="28"/>
          <w:szCs w:val="28"/>
          <w:highlight w:val="none"/>
          <w:lang w:val="zh-CN"/>
          <w14:textFill>
            <w14:solidFill>
              <w14:schemeClr w14:val="tx1"/>
            </w14:solidFill>
          </w14:textFill>
        </w:rPr>
        <w:t>甲乙双方各执肆份，附件属于合同</w:t>
      </w:r>
      <w:r>
        <w:rPr>
          <w:rFonts w:hint="eastAsia" w:ascii="仿宋" w:hAnsi="仿宋" w:eastAsia="仿宋" w:cs="仿宋"/>
          <w:color w:val="000000" w:themeColor="text1"/>
          <w:sz w:val="28"/>
          <w:szCs w:val="28"/>
          <w:highlight w:val="none"/>
          <w:lang w:val="en-US" w:eastAsia="zh-CN"/>
          <w14:textFill>
            <w14:solidFill>
              <w14:schemeClr w14:val="tx1"/>
            </w14:solidFill>
          </w14:textFill>
        </w:rPr>
        <w:t>的组成部分</w:t>
      </w:r>
      <w:r>
        <w:rPr>
          <w:rFonts w:hint="eastAsia" w:ascii="仿宋" w:hAnsi="仿宋" w:eastAsia="仿宋" w:cs="仿宋"/>
          <w:color w:val="000000" w:themeColor="text1"/>
          <w:sz w:val="28"/>
          <w:szCs w:val="28"/>
          <w:highlight w:val="none"/>
          <w:lang w:val="zh-CN"/>
          <w14:textFill>
            <w14:solidFill>
              <w14:schemeClr w14:val="tx1"/>
            </w14:solidFill>
          </w14:textFill>
        </w:rPr>
        <w:t>，具</w:t>
      </w:r>
      <w:r>
        <w:rPr>
          <w:rFonts w:hint="eastAsia" w:ascii="仿宋" w:hAnsi="仿宋" w:eastAsia="仿宋" w:cs="仿宋"/>
          <w:color w:val="000000" w:themeColor="text1"/>
          <w:sz w:val="28"/>
          <w:szCs w:val="28"/>
          <w:highlight w:val="none"/>
          <w:lang w:val="en-US" w:eastAsia="zh-CN"/>
          <w14:textFill>
            <w14:solidFill>
              <w14:schemeClr w14:val="tx1"/>
            </w14:solidFill>
          </w14:textFill>
        </w:rPr>
        <w:t>有</w:t>
      </w:r>
      <w:r>
        <w:rPr>
          <w:rFonts w:hint="eastAsia" w:ascii="仿宋" w:hAnsi="仿宋" w:eastAsia="仿宋" w:cs="仿宋"/>
          <w:color w:val="000000" w:themeColor="text1"/>
          <w:sz w:val="28"/>
          <w:szCs w:val="28"/>
          <w:highlight w:val="none"/>
          <w:lang w:val="zh-CN"/>
          <w14:textFill>
            <w14:solidFill>
              <w14:schemeClr w14:val="tx1"/>
            </w14:solidFill>
          </w14:textFill>
        </w:rPr>
        <w:t>同等法律效力。</w:t>
      </w:r>
    </w:p>
    <w:p w14:paraId="7E86A07C">
      <w:pPr>
        <w:autoSpaceDE w:val="0"/>
        <w:autoSpaceDN w:val="0"/>
        <w:adjustRightInd w:val="0"/>
        <w:spacing w:line="560" w:lineRule="exact"/>
        <w:ind w:firstLine="560" w:firstLineChars="200"/>
        <w:rPr>
          <w:rFonts w:hint="eastAsia" w:ascii="仿宋" w:hAnsi="仿宋" w:eastAsia="仿宋" w:cs="仿宋"/>
          <w:bCs/>
          <w:color w:val="000000" w:themeColor="text1"/>
          <w:sz w:val="28"/>
          <w:szCs w:val="28"/>
          <w:lang w:val="zh-CN"/>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2.</w:t>
      </w:r>
      <w:r>
        <w:rPr>
          <w:rFonts w:hint="eastAsia" w:ascii="仿宋" w:hAnsi="仿宋" w:eastAsia="仿宋" w:cs="仿宋"/>
          <w:bCs/>
          <w:color w:val="000000" w:themeColor="text1"/>
          <w:sz w:val="28"/>
          <w:szCs w:val="28"/>
          <w:lang w:val="zh-CN"/>
          <w14:textFill>
            <w14:solidFill>
              <w14:schemeClr w14:val="tx1"/>
            </w14:solidFill>
          </w14:textFill>
        </w:rPr>
        <w:t>未尽事宜，双方协商解决，若本合同履行发生争议，双方均可向甲方所在地法院提起诉讼。</w:t>
      </w:r>
    </w:p>
    <w:p w14:paraId="7ED4DC20">
      <w:pPr>
        <w:pStyle w:val="4"/>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第十</w:t>
      </w:r>
      <w:r>
        <w:rPr>
          <w:rFonts w:hint="eastAsia" w:ascii="仿宋" w:hAnsi="仿宋" w:eastAsia="仿宋" w:cs="仿宋"/>
          <w:color w:val="auto"/>
          <w:sz w:val="28"/>
          <w:szCs w:val="28"/>
          <w:highlight w:val="none"/>
          <w:lang w:val="en-US" w:eastAsia="zh-CN"/>
        </w:rPr>
        <w:t>三</w:t>
      </w:r>
      <w:r>
        <w:rPr>
          <w:rFonts w:hint="eastAsia" w:ascii="仿宋" w:hAnsi="仿宋" w:eastAsia="仿宋" w:cs="仿宋"/>
          <w:color w:val="auto"/>
          <w:sz w:val="28"/>
          <w:szCs w:val="28"/>
          <w:highlight w:val="none"/>
        </w:rPr>
        <w:t>条  附件</w:t>
      </w:r>
    </w:p>
    <w:p w14:paraId="4F3E92AC">
      <w:pPr>
        <w:spacing w:line="56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1．项目</w:t>
      </w:r>
      <w:r>
        <w:rPr>
          <w:rFonts w:hint="eastAsia" w:ascii="仿宋" w:hAnsi="仿宋" w:eastAsia="仿宋" w:cs="仿宋"/>
          <w:color w:val="auto"/>
          <w:sz w:val="28"/>
          <w:szCs w:val="28"/>
          <w:highlight w:val="none"/>
          <w:lang w:eastAsia="zh-CN"/>
        </w:rPr>
        <w:t>采购文件</w:t>
      </w:r>
    </w:p>
    <w:p w14:paraId="4E6F1B7C">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2．项目修改澄清文件</w:t>
      </w:r>
    </w:p>
    <w:p w14:paraId="32DEB235">
      <w:pPr>
        <w:spacing w:line="56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3．项目</w:t>
      </w:r>
      <w:r>
        <w:rPr>
          <w:rFonts w:hint="eastAsia" w:ascii="仿宋" w:hAnsi="仿宋" w:eastAsia="仿宋" w:cs="仿宋"/>
          <w:color w:val="auto"/>
          <w:sz w:val="28"/>
          <w:szCs w:val="28"/>
          <w:highlight w:val="none"/>
          <w:lang w:eastAsia="zh-CN"/>
        </w:rPr>
        <w:t>响应文件</w:t>
      </w:r>
    </w:p>
    <w:p w14:paraId="68A1C8DA">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4．成交通知书</w:t>
      </w:r>
    </w:p>
    <w:p w14:paraId="32B5EC84">
      <w:pPr>
        <w:spacing w:line="56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w:t>
      </w:r>
      <w:bookmarkStart w:id="0" w:name="_GoBack"/>
      <w:bookmarkEnd w:id="0"/>
    </w:p>
    <w:p w14:paraId="007BF3AF">
      <w:pPr>
        <w:pStyle w:val="2"/>
        <w:spacing w:line="240" w:lineRule="auto"/>
        <w:ind w:firstLine="280" w:firstLineChars="100"/>
        <w:rPr>
          <w:rFonts w:hint="eastAsia" w:ascii="仿宋" w:hAnsi="仿宋" w:eastAsia="仿宋" w:cs="仿宋"/>
          <w:color w:val="000000" w:themeColor="text1"/>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sz w:val="28"/>
          <w:szCs w:val="28"/>
          <w:highlight w:val="none"/>
          <w:lang w:val="en-US" w:eastAsia="zh-CN" w:bidi="ar-SA"/>
          <w14:textFill>
            <w14:solidFill>
              <w14:schemeClr w14:val="tx1"/>
            </w14:solidFill>
          </w14:textFill>
        </w:rPr>
        <w:t>（以下无正文内容）</w:t>
      </w:r>
    </w:p>
    <w:tbl>
      <w:tblPr>
        <w:tblStyle w:val="11"/>
        <w:tblW w:w="88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9"/>
        <w:gridCol w:w="1940"/>
        <w:gridCol w:w="2651"/>
        <w:gridCol w:w="1798"/>
      </w:tblGrid>
      <w:tr w14:paraId="49E19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2509" w:type="dxa"/>
            <w:vAlign w:val="center"/>
          </w:tcPr>
          <w:p w14:paraId="50FA1838">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w:t>
            </w:r>
          </w:p>
          <w:p w14:paraId="6120B3B0">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（盖章）：</w:t>
            </w:r>
          </w:p>
        </w:tc>
        <w:tc>
          <w:tcPr>
            <w:tcW w:w="1940" w:type="dxa"/>
            <w:vAlign w:val="center"/>
          </w:tcPr>
          <w:p w14:paraId="3DD615F0">
            <w:pPr>
              <w:spacing w:line="240" w:lineRule="auto"/>
              <w:jc w:val="center"/>
              <w:rPr>
                <w:rFonts w:hint="eastAsia" w:ascii="仿宋" w:hAnsi="仿宋" w:eastAsia="仿宋" w:cs="仿宋"/>
                <w:color w:val="auto"/>
                <w:sz w:val="28"/>
                <w:szCs w:val="28"/>
                <w:highlight w:val="none"/>
              </w:rPr>
            </w:pPr>
          </w:p>
        </w:tc>
        <w:tc>
          <w:tcPr>
            <w:tcW w:w="2651" w:type="dxa"/>
            <w:vAlign w:val="center"/>
          </w:tcPr>
          <w:p w14:paraId="7F941FB6">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乙方</w:t>
            </w:r>
          </w:p>
          <w:p w14:paraId="745F9179">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（盖章）：</w:t>
            </w:r>
          </w:p>
        </w:tc>
        <w:tc>
          <w:tcPr>
            <w:tcW w:w="1798" w:type="dxa"/>
            <w:vAlign w:val="center"/>
          </w:tcPr>
          <w:p w14:paraId="0266F49F">
            <w:pPr>
              <w:spacing w:line="240" w:lineRule="auto"/>
              <w:jc w:val="center"/>
              <w:rPr>
                <w:rFonts w:hint="eastAsia" w:ascii="仿宋" w:hAnsi="仿宋" w:eastAsia="仿宋" w:cs="仿宋"/>
                <w:color w:val="auto"/>
                <w:sz w:val="28"/>
                <w:szCs w:val="28"/>
                <w:highlight w:val="none"/>
              </w:rPr>
            </w:pPr>
          </w:p>
        </w:tc>
      </w:tr>
      <w:tr w14:paraId="73C12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2509" w:type="dxa"/>
            <w:vAlign w:val="center"/>
          </w:tcPr>
          <w:p w14:paraId="28363FEC">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p w14:paraId="5208FBD8">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w:t>
            </w:r>
          </w:p>
        </w:tc>
        <w:tc>
          <w:tcPr>
            <w:tcW w:w="1940" w:type="dxa"/>
            <w:vAlign w:val="center"/>
          </w:tcPr>
          <w:p w14:paraId="26A76EE4">
            <w:pPr>
              <w:spacing w:line="240" w:lineRule="auto"/>
              <w:jc w:val="center"/>
              <w:rPr>
                <w:rFonts w:hint="eastAsia" w:ascii="仿宋" w:hAnsi="仿宋" w:eastAsia="仿宋" w:cs="仿宋"/>
                <w:color w:val="auto"/>
                <w:sz w:val="28"/>
                <w:szCs w:val="28"/>
                <w:highlight w:val="none"/>
              </w:rPr>
            </w:pPr>
          </w:p>
        </w:tc>
        <w:tc>
          <w:tcPr>
            <w:tcW w:w="2651" w:type="dxa"/>
            <w:vAlign w:val="center"/>
          </w:tcPr>
          <w:p w14:paraId="713FD40F">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p w14:paraId="3357B8CF">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w:t>
            </w:r>
          </w:p>
        </w:tc>
        <w:tc>
          <w:tcPr>
            <w:tcW w:w="1798" w:type="dxa"/>
            <w:vAlign w:val="center"/>
          </w:tcPr>
          <w:p w14:paraId="4DB81BE4">
            <w:pPr>
              <w:spacing w:line="240" w:lineRule="auto"/>
              <w:jc w:val="center"/>
              <w:rPr>
                <w:rFonts w:hint="eastAsia" w:ascii="仿宋" w:hAnsi="仿宋" w:eastAsia="仿宋" w:cs="仿宋"/>
                <w:color w:val="auto"/>
                <w:sz w:val="28"/>
                <w:szCs w:val="28"/>
                <w:highlight w:val="none"/>
              </w:rPr>
            </w:pPr>
          </w:p>
        </w:tc>
      </w:tr>
      <w:tr w14:paraId="6D7F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2509" w:type="dxa"/>
            <w:vAlign w:val="center"/>
          </w:tcPr>
          <w:p w14:paraId="62FB2F90">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p>
        </w:tc>
        <w:tc>
          <w:tcPr>
            <w:tcW w:w="1940" w:type="dxa"/>
            <w:vAlign w:val="center"/>
          </w:tcPr>
          <w:p w14:paraId="22377FB0">
            <w:pPr>
              <w:spacing w:line="240" w:lineRule="auto"/>
              <w:jc w:val="center"/>
              <w:rPr>
                <w:rFonts w:hint="eastAsia" w:ascii="仿宋" w:hAnsi="仿宋" w:eastAsia="仿宋" w:cs="仿宋"/>
                <w:color w:val="auto"/>
                <w:sz w:val="28"/>
                <w:szCs w:val="28"/>
                <w:highlight w:val="none"/>
              </w:rPr>
            </w:pPr>
          </w:p>
        </w:tc>
        <w:tc>
          <w:tcPr>
            <w:tcW w:w="2651" w:type="dxa"/>
            <w:vAlign w:val="center"/>
          </w:tcPr>
          <w:p w14:paraId="1ED434CB">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p>
        </w:tc>
        <w:tc>
          <w:tcPr>
            <w:tcW w:w="1798" w:type="dxa"/>
            <w:vAlign w:val="center"/>
          </w:tcPr>
          <w:p w14:paraId="1C39017F">
            <w:pPr>
              <w:spacing w:line="240" w:lineRule="auto"/>
              <w:jc w:val="center"/>
              <w:rPr>
                <w:rFonts w:hint="eastAsia" w:ascii="仿宋" w:hAnsi="仿宋" w:eastAsia="仿宋" w:cs="仿宋"/>
                <w:color w:val="auto"/>
                <w:sz w:val="28"/>
                <w:szCs w:val="28"/>
                <w:highlight w:val="none"/>
              </w:rPr>
            </w:pPr>
          </w:p>
        </w:tc>
      </w:tr>
      <w:tr w14:paraId="5E6CC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2509" w:type="dxa"/>
            <w:vAlign w:val="center"/>
          </w:tcPr>
          <w:p w14:paraId="513735C0">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c>
          <w:tcPr>
            <w:tcW w:w="1940" w:type="dxa"/>
            <w:vAlign w:val="center"/>
          </w:tcPr>
          <w:p w14:paraId="77F862B7">
            <w:pPr>
              <w:spacing w:line="240" w:lineRule="auto"/>
              <w:jc w:val="center"/>
              <w:rPr>
                <w:rFonts w:hint="eastAsia" w:ascii="仿宋" w:hAnsi="仿宋" w:eastAsia="仿宋" w:cs="仿宋"/>
                <w:color w:val="auto"/>
                <w:sz w:val="28"/>
                <w:szCs w:val="28"/>
                <w:highlight w:val="none"/>
              </w:rPr>
            </w:pPr>
          </w:p>
        </w:tc>
        <w:tc>
          <w:tcPr>
            <w:tcW w:w="2651" w:type="dxa"/>
            <w:vAlign w:val="center"/>
          </w:tcPr>
          <w:p w14:paraId="3F039D36">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tc>
        <w:tc>
          <w:tcPr>
            <w:tcW w:w="1798" w:type="dxa"/>
            <w:vAlign w:val="center"/>
          </w:tcPr>
          <w:p w14:paraId="7DCEC9F1">
            <w:pPr>
              <w:spacing w:line="240" w:lineRule="auto"/>
              <w:jc w:val="center"/>
              <w:rPr>
                <w:rFonts w:hint="eastAsia" w:ascii="仿宋" w:hAnsi="仿宋" w:eastAsia="仿宋" w:cs="仿宋"/>
                <w:color w:val="auto"/>
                <w:sz w:val="28"/>
                <w:szCs w:val="28"/>
                <w:highlight w:val="none"/>
              </w:rPr>
            </w:pPr>
          </w:p>
        </w:tc>
      </w:tr>
      <w:tr w14:paraId="4B854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2509" w:type="dxa"/>
            <w:vAlign w:val="center"/>
          </w:tcPr>
          <w:p w14:paraId="5A18D163">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银行帐号：</w:t>
            </w:r>
          </w:p>
        </w:tc>
        <w:tc>
          <w:tcPr>
            <w:tcW w:w="1940" w:type="dxa"/>
            <w:vAlign w:val="center"/>
          </w:tcPr>
          <w:p w14:paraId="1CFFE9B1">
            <w:pPr>
              <w:spacing w:line="240" w:lineRule="auto"/>
              <w:jc w:val="center"/>
              <w:rPr>
                <w:rFonts w:hint="eastAsia" w:ascii="仿宋" w:hAnsi="仿宋" w:eastAsia="仿宋" w:cs="仿宋"/>
                <w:color w:val="auto"/>
                <w:sz w:val="28"/>
                <w:szCs w:val="28"/>
                <w:highlight w:val="none"/>
              </w:rPr>
            </w:pPr>
          </w:p>
        </w:tc>
        <w:tc>
          <w:tcPr>
            <w:tcW w:w="2651" w:type="dxa"/>
            <w:vAlign w:val="center"/>
          </w:tcPr>
          <w:p w14:paraId="58C7023A">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银行帐号：</w:t>
            </w:r>
          </w:p>
        </w:tc>
        <w:tc>
          <w:tcPr>
            <w:tcW w:w="1798" w:type="dxa"/>
            <w:vAlign w:val="center"/>
          </w:tcPr>
          <w:p w14:paraId="4A13F723">
            <w:pPr>
              <w:spacing w:line="240" w:lineRule="auto"/>
              <w:jc w:val="center"/>
              <w:rPr>
                <w:rFonts w:hint="eastAsia" w:ascii="仿宋" w:hAnsi="仿宋" w:eastAsia="仿宋" w:cs="仿宋"/>
                <w:color w:val="auto"/>
                <w:sz w:val="28"/>
                <w:szCs w:val="28"/>
                <w:highlight w:val="none"/>
              </w:rPr>
            </w:pPr>
          </w:p>
        </w:tc>
      </w:tr>
      <w:tr w14:paraId="3952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2509" w:type="dxa"/>
            <w:vAlign w:val="center"/>
          </w:tcPr>
          <w:p w14:paraId="09B0FCC9">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p>
        </w:tc>
        <w:tc>
          <w:tcPr>
            <w:tcW w:w="1940" w:type="dxa"/>
            <w:vAlign w:val="center"/>
          </w:tcPr>
          <w:p w14:paraId="2C48E212">
            <w:pPr>
              <w:spacing w:line="240" w:lineRule="auto"/>
              <w:jc w:val="center"/>
              <w:rPr>
                <w:rFonts w:hint="eastAsia" w:ascii="仿宋" w:hAnsi="仿宋" w:eastAsia="仿宋" w:cs="仿宋"/>
                <w:color w:val="auto"/>
                <w:sz w:val="28"/>
                <w:szCs w:val="28"/>
                <w:highlight w:val="none"/>
              </w:rPr>
            </w:pPr>
          </w:p>
        </w:tc>
        <w:tc>
          <w:tcPr>
            <w:tcW w:w="2651" w:type="dxa"/>
            <w:vAlign w:val="center"/>
          </w:tcPr>
          <w:p w14:paraId="1C0E2448">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p>
        </w:tc>
        <w:tc>
          <w:tcPr>
            <w:tcW w:w="1798" w:type="dxa"/>
            <w:vAlign w:val="center"/>
          </w:tcPr>
          <w:p w14:paraId="05B71D8E">
            <w:pPr>
              <w:spacing w:line="240" w:lineRule="auto"/>
              <w:jc w:val="center"/>
              <w:rPr>
                <w:rFonts w:hint="eastAsia" w:ascii="仿宋" w:hAnsi="仿宋" w:eastAsia="仿宋" w:cs="仿宋"/>
                <w:color w:val="auto"/>
                <w:sz w:val="28"/>
                <w:szCs w:val="28"/>
                <w:highlight w:val="none"/>
              </w:rPr>
            </w:pPr>
          </w:p>
        </w:tc>
      </w:tr>
      <w:tr w14:paraId="7EE4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2509" w:type="dxa"/>
            <w:vAlign w:val="center"/>
          </w:tcPr>
          <w:p w14:paraId="37113277">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    真：</w:t>
            </w:r>
          </w:p>
        </w:tc>
        <w:tc>
          <w:tcPr>
            <w:tcW w:w="1940" w:type="dxa"/>
            <w:vAlign w:val="center"/>
          </w:tcPr>
          <w:p w14:paraId="2FD8B55D">
            <w:pPr>
              <w:spacing w:line="240" w:lineRule="auto"/>
              <w:jc w:val="center"/>
              <w:rPr>
                <w:rFonts w:hint="eastAsia" w:ascii="仿宋" w:hAnsi="仿宋" w:eastAsia="仿宋" w:cs="仿宋"/>
                <w:color w:val="auto"/>
                <w:sz w:val="28"/>
                <w:szCs w:val="28"/>
                <w:highlight w:val="none"/>
              </w:rPr>
            </w:pPr>
          </w:p>
        </w:tc>
        <w:tc>
          <w:tcPr>
            <w:tcW w:w="2651" w:type="dxa"/>
            <w:vAlign w:val="center"/>
          </w:tcPr>
          <w:p w14:paraId="185010A5">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传    真：</w:t>
            </w:r>
          </w:p>
        </w:tc>
        <w:tc>
          <w:tcPr>
            <w:tcW w:w="1798" w:type="dxa"/>
            <w:vAlign w:val="center"/>
          </w:tcPr>
          <w:p w14:paraId="2A748E06">
            <w:pPr>
              <w:spacing w:line="240" w:lineRule="auto"/>
              <w:jc w:val="center"/>
              <w:rPr>
                <w:rFonts w:hint="eastAsia" w:ascii="仿宋" w:hAnsi="仿宋" w:eastAsia="仿宋" w:cs="仿宋"/>
                <w:color w:val="auto"/>
                <w:sz w:val="28"/>
                <w:szCs w:val="28"/>
                <w:highlight w:val="none"/>
              </w:rPr>
            </w:pPr>
          </w:p>
        </w:tc>
      </w:tr>
      <w:tr w14:paraId="7A274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2509" w:type="dxa"/>
            <w:vAlign w:val="center"/>
          </w:tcPr>
          <w:p w14:paraId="505AEE4D">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签约日期：</w:t>
            </w:r>
          </w:p>
        </w:tc>
        <w:tc>
          <w:tcPr>
            <w:tcW w:w="1940" w:type="dxa"/>
            <w:vAlign w:val="center"/>
          </w:tcPr>
          <w:p w14:paraId="6312876D">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tc>
        <w:tc>
          <w:tcPr>
            <w:tcW w:w="2651" w:type="dxa"/>
            <w:vAlign w:val="center"/>
          </w:tcPr>
          <w:p w14:paraId="21AAA74E">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签约日期：</w:t>
            </w:r>
          </w:p>
        </w:tc>
        <w:tc>
          <w:tcPr>
            <w:tcW w:w="1798" w:type="dxa"/>
            <w:vAlign w:val="center"/>
          </w:tcPr>
          <w:p w14:paraId="0312CA52">
            <w:pPr>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tc>
      </w:tr>
    </w:tbl>
    <w:p w14:paraId="05918CD0">
      <w:pPr>
        <w:rPr>
          <w:rFonts w:hint="eastAsia" w:ascii="仿宋" w:hAnsi="仿宋" w:eastAsia="仿宋" w:cs="仿宋"/>
          <w:lang w:eastAsia="zh-CN"/>
        </w:rPr>
      </w:pPr>
    </w:p>
    <w:sectPr>
      <w:pgSz w:w="11906" w:h="16838"/>
      <w:pgMar w:top="1383" w:right="1689" w:bottom="1383" w:left="15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B54228"/>
    <w:rsid w:val="00382D01"/>
    <w:rsid w:val="005106BA"/>
    <w:rsid w:val="00726300"/>
    <w:rsid w:val="007708D0"/>
    <w:rsid w:val="043A5387"/>
    <w:rsid w:val="0443699B"/>
    <w:rsid w:val="04995026"/>
    <w:rsid w:val="078B3D54"/>
    <w:rsid w:val="090F12DD"/>
    <w:rsid w:val="0E2726BC"/>
    <w:rsid w:val="0F2859B9"/>
    <w:rsid w:val="13173D0A"/>
    <w:rsid w:val="139A439A"/>
    <w:rsid w:val="16B965DF"/>
    <w:rsid w:val="17CA0378"/>
    <w:rsid w:val="1855387D"/>
    <w:rsid w:val="1AAE21D3"/>
    <w:rsid w:val="1CAC2742"/>
    <w:rsid w:val="1F49071C"/>
    <w:rsid w:val="1F6D6787"/>
    <w:rsid w:val="233F72B3"/>
    <w:rsid w:val="28095B17"/>
    <w:rsid w:val="29422464"/>
    <w:rsid w:val="294855A0"/>
    <w:rsid w:val="2DC12B58"/>
    <w:rsid w:val="2FB04AC6"/>
    <w:rsid w:val="30417061"/>
    <w:rsid w:val="31421EBF"/>
    <w:rsid w:val="321F1AC4"/>
    <w:rsid w:val="33095C22"/>
    <w:rsid w:val="33300912"/>
    <w:rsid w:val="33D12714"/>
    <w:rsid w:val="34313801"/>
    <w:rsid w:val="34D24E23"/>
    <w:rsid w:val="36AD0F63"/>
    <w:rsid w:val="39A86313"/>
    <w:rsid w:val="39BF1493"/>
    <w:rsid w:val="3C4D705F"/>
    <w:rsid w:val="3D34540B"/>
    <w:rsid w:val="3E2148E6"/>
    <w:rsid w:val="3F4F6E41"/>
    <w:rsid w:val="3FB833DA"/>
    <w:rsid w:val="42002B7B"/>
    <w:rsid w:val="44962F52"/>
    <w:rsid w:val="44E24648"/>
    <w:rsid w:val="45781487"/>
    <w:rsid w:val="48971EF2"/>
    <w:rsid w:val="4A370E45"/>
    <w:rsid w:val="4A59738B"/>
    <w:rsid w:val="4AB54228"/>
    <w:rsid w:val="4B6978CC"/>
    <w:rsid w:val="4BB770C8"/>
    <w:rsid w:val="4DA30E74"/>
    <w:rsid w:val="4DC31516"/>
    <w:rsid w:val="4F7962EB"/>
    <w:rsid w:val="5089104D"/>
    <w:rsid w:val="51322FB9"/>
    <w:rsid w:val="56AD4B11"/>
    <w:rsid w:val="575953F6"/>
    <w:rsid w:val="57AF2B0B"/>
    <w:rsid w:val="57F33EE3"/>
    <w:rsid w:val="59140E77"/>
    <w:rsid w:val="59AC5779"/>
    <w:rsid w:val="5AE43BDF"/>
    <w:rsid w:val="5D153C42"/>
    <w:rsid w:val="5D2E60F1"/>
    <w:rsid w:val="5DCA1FD3"/>
    <w:rsid w:val="5F1A32AE"/>
    <w:rsid w:val="5F642481"/>
    <w:rsid w:val="60251BBC"/>
    <w:rsid w:val="60A72DA9"/>
    <w:rsid w:val="61E46378"/>
    <w:rsid w:val="623A6333"/>
    <w:rsid w:val="62C51434"/>
    <w:rsid w:val="63F75FB6"/>
    <w:rsid w:val="65466C2E"/>
    <w:rsid w:val="65C37EAD"/>
    <w:rsid w:val="68E32614"/>
    <w:rsid w:val="6A445335"/>
    <w:rsid w:val="6D961F83"/>
    <w:rsid w:val="6E86191A"/>
    <w:rsid w:val="6EBF49C3"/>
    <w:rsid w:val="72606E27"/>
    <w:rsid w:val="734F0FD2"/>
    <w:rsid w:val="737D3D70"/>
    <w:rsid w:val="73EB1762"/>
    <w:rsid w:val="74581611"/>
    <w:rsid w:val="749A3341"/>
    <w:rsid w:val="782A5B6A"/>
    <w:rsid w:val="784705BF"/>
    <w:rsid w:val="79665036"/>
    <w:rsid w:val="799E6493"/>
    <w:rsid w:val="7A3251AA"/>
    <w:rsid w:val="7B1A5C2B"/>
    <w:rsid w:val="7BD77DB7"/>
    <w:rsid w:val="7C880E85"/>
    <w:rsid w:val="7D252DA4"/>
    <w:rsid w:val="7D2B5E75"/>
    <w:rsid w:val="7E6D4A02"/>
    <w:rsid w:val="7FDE2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楷体" w:cstheme="minorBidi"/>
      <w:b/>
      <w:kern w:val="44"/>
      <w:sz w:val="44"/>
    </w:rPr>
  </w:style>
  <w:style w:type="paragraph" w:styleId="4">
    <w:name w:val="heading 2"/>
    <w:basedOn w:val="1"/>
    <w:next w:val="1"/>
    <w:semiHidden/>
    <w:unhideWhenUsed/>
    <w:qFormat/>
    <w:uiPriority w:val="0"/>
    <w:pPr>
      <w:keepNext/>
      <w:keepLines/>
      <w:widowControl w:val="0"/>
      <w:autoSpaceDE w:val="0"/>
      <w:autoSpaceDN w:val="0"/>
      <w:adjustRightInd w:val="0"/>
      <w:spacing w:before="120" w:line="240" w:lineRule="auto"/>
      <w:ind w:left="567" w:hanging="567"/>
      <w:jc w:val="center"/>
      <w:outlineLvl w:val="1"/>
    </w:pPr>
    <w:rPr>
      <w:rFonts w:ascii="宋体" w:hAnsi="宋体" w:eastAsia="楷体" w:cs="Times New Roman"/>
      <w:b/>
      <w:bCs/>
      <w:kern w:val="0"/>
      <w:sz w:val="28"/>
      <w:szCs w:val="20"/>
      <w:lang w:val="en-US" w:eastAsia="zh-CN" w:bidi="ar-SA"/>
    </w:rPr>
  </w:style>
  <w:style w:type="paragraph" w:styleId="5">
    <w:name w:val="heading 3"/>
    <w:next w:val="1"/>
    <w:semiHidden/>
    <w:unhideWhenUsed/>
    <w:qFormat/>
    <w:uiPriority w:val="0"/>
    <w:pPr>
      <w:keepNext/>
      <w:keepLines/>
      <w:widowControl w:val="0"/>
      <w:autoSpaceDE w:val="0"/>
      <w:autoSpaceDN w:val="0"/>
      <w:adjustRightInd w:val="0"/>
      <w:spacing w:before="360" w:after="120" w:line="240" w:lineRule="auto"/>
      <w:ind w:left="709" w:hanging="709"/>
      <w:jc w:val="left"/>
      <w:outlineLvl w:val="2"/>
    </w:pPr>
    <w:rPr>
      <w:rFonts w:ascii="宋体" w:hAnsi="宋体" w:eastAsia="楷体" w:cs="Times New Roman"/>
      <w:b/>
      <w:bCs/>
      <w:kern w:val="0"/>
      <w:sz w:val="28"/>
      <w:szCs w:val="28"/>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6">
    <w:name w:val="Normal Indent"/>
    <w:basedOn w:val="1"/>
    <w:qFormat/>
    <w:uiPriority w:val="0"/>
    <w:pPr>
      <w:ind w:firstLine="420" w:firstLineChars="200"/>
    </w:pPr>
  </w:style>
  <w:style w:type="paragraph" w:styleId="7">
    <w:name w:val="Body Text 3"/>
    <w:basedOn w:val="1"/>
    <w:qFormat/>
    <w:uiPriority w:val="0"/>
    <w:pPr>
      <w:spacing w:after="120"/>
    </w:pPr>
    <w:rPr>
      <w:sz w:val="16"/>
      <w:szCs w:val="16"/>
    </w:rPr>
  </w:style>
  <w:style w:type="paragraph" w:styleId="8">
    <w:name w:val="footer"/>
    <w:basedOn w:val="1"/>
    <w:qFormat/>
    <w:uiPriority w:val="0"/>
    <w:pPr>
      <w:tabs>
        <w:tab w:val="center" w:pos="4153"/>
        <w:tab w:val="right" w:pos="8306"/>
      </w:tabs>
      <w:snapToGrid w:val="0"/>
      <w:jc w:val="left"/>
    </w:pPr>
    <w:rPr>
      <w:rFonts w:eastAsia="宋体"/>
      <w:kern w:val="0"/>
      <w:sz w:val="18"/>
    </w:rPr>
  </w:style>
  <w:style w:type="paragraph" w:styleId="9">
    <w:name w:val="Body Text First Indent"/>
    <w:basedOn w:val="2"/>
    <w:qFormat/>
    <w:uiPriority w:val="0"/>
    <w:pPr>
      <w:ind w:firstLine="420" w:firstLineChars="1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Table Text"/>
    <w:basedOn w:val="1"/>
    <w:semiHidden/>
    <w:qFormat/>
    <w:uiPriority w:val="0"/>
    <w:rPr>
      <w:rFonts w:ascii="宋体" w:hAnsi="宋体" w:eastAsia="宋体" w:cs="宋体"/>
      <w:sz w:val="24"/>
      <w:szCs w:val="24"/>
      <w:lang w:val="en-US" w:eastAsia="en-US" w:bidi="ar-SA"/>
    </w:rPr>
  </w:style>
  <w:style w:type="table" w:customStyle="1" w:styleId="1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3672</Words>
  <Characters>3681</Characters>
  <Lines>0</Lines>
  <Paragraphs>0</Paragraphs>
  <TotalTime>5</TotalTime>
  <ScaleCrop>false</ScaleCrop>
  <LinksUpToDate>false</LinksUpToDate>
  <CharactersWithSpaces>3873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2025-05-14T08:28:00Z</dcterms:created>
  <dc:creator>河北首富花少北</dc:creator>
  <cp:lastModifiedBy>柠檬子1380532068</cp:lastModifiedBy>
  <cp:lastPrinted>2026-03-06T08:03:00Z</cp:lastPrinted>
  <dcterms:modified xsi:type="dcterms:W3CDTF">2026-06-02T04:25:52Z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95E0EEF4A6C84BB8B5085D92A87996F1_11</vt:lpwstr>
  </property>
  <property fmtid="{D5CDD505-2E9C-101B-9397-08002B2CF9AE}" pid="4" name="KSOTemplateDocerSaveRecord">
    <vt:lpwstr>eyJoZGlkIjoiYzhmM2M3MzI0YTUzYTU0NTA3ZmM5YWIzNmFlOTFhZWQiLCJ1c2VySWQiOiI1NDU3OTMxIn0=</vt:lpwstr>
  </property>
</Properties>
</file>