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3ED72">
      <w:pPr>
        <w:tabs>
          <w:tab w:val="left" w:pos="1427"/>
        </w:tabs>
        <w:jc w:val="center"/>
        <w:rPr>
          <w:rFonts w:ascii="宋体" w:hAnsi="宋体" w:cs="宋体"/>
          <w:color w:val="auto"/>
          <w:sz w:val="32"/>
          <w:szCs w:val="32"/>
          <w:highlight w:val="yellow"/>
        </w:rPr>
      </w:pPr>
      <w:r>
        <w:rPr>
          <w:rFonts w:hint="eastAsia" w:ascii="宋体" w:hAnsi="宋体" w:cs="宋体"/>
          <w:b/>
          <w:bCs/>
          <w:color w:val="auto"/>
          <w:sz w:val="32"/>
          <w:szCs w:val="32"/>
          <w:highlight w:val="none"/>
        </w:rPr>
        <w:t>合同草案条款</w:t>
      </w:r>
    </w:p>
    <w:p w14:paraId="4599BDC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采购人（以下简称甲方）：</w:t>
      </w:r>
    </w:p>
    <w:p w14:paraId="339F66F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供应商（以下简称乙方）：</w:t>
      </w:r>
    </w:p>
    <w:p w14:paraId="43C74BA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根据《中华人民共和国民法典》、《中华人民共和国政府采购法》及其它有关法律、行政法规，为明确双方在</w:t>
      </w:r>
      <w:r>
        <w:rPr>
          <w:rFonts w:hint="eastAsia" w:ascii="宋体" w:hAnsi="宋体" w:cs="宋体"/>
          <w:bCs/>
          <w:color w:val="auto"/>
          <w:sz w:val="24"/>
          <w:highlight w:val="none"/>
          <w:lang w:eastAsia="zh-CN"/>
        </w:rPr>
        <w:t>实施</w:t>
      </w:r>
      <w:r>
        <w:rPr>
          <w:rFonts w:hint="eastAsia" w:ascii="宋体" w:hAnsi="宋体" w:eastAsia="宋体" w:cs="宋体"/>
          <w:bCs/>
          <w:color w:val="auto"/>
          <w:sz w:val="24"/>
          <w:highlight w:val="none"/>
        </w:rPr>
        <w:t>过程中的权利、义务，经双方协商自愿签订本合同。</w:t>
      </w:r>
    </w:p>
    <w:p w14:paraId="23DADF05">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一、合同组成</w:t>
      </w:r>
    </w:p>
    <w:p w14:paraId="770EA417">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620177EC">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6A83A7E1">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甲方的磋商文件及澄清文件。</w:t>
      </w:r>
    </w:p>
    <w:p w14:paraId="0445AFB2">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乙方的磋商响应文件及质疑解答文件。</w:t>
      </w:r>
    </w:p>
    <w:p w14:paraId="6732C543">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成交通知书。</w:t>
      </w:r>
    </w:p>
    <w:p w14:paraId="27ACF974">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42FE08F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7170BB53">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429F6C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5B23EE77">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5CD844DE">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二、项目概况</w:t>
      </w:r>
    </w:p>
    <w:p w14:paraId="63081B0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highlight w:val="none"/>
        </w:rPr>
        <w:t>1.服务内容：</w:t>
      </w:r>
    </w:p>
    <w:p w14:paraId="42CE8A1D">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服务</w:t>
      </w:r>
      <w:r>
        <w:rPr>
          <w:rFonts w:hint="eastAsia" w:ascii="宋体" w:hAnsi="宋体" w:eastAsia="宋体" w:cs="宋体"/>
          <w:color w:val="auto"/>
          <w:sz w:val="24"/>
          <w:highlight w:val="none"/>
        </w:rPr>
        <w:t>期：</w:t>
      </w:r>
      <w:r>
        <w:rPr>
          <w:rFonts w:hint="eastAsia" w:ascii="宋体" w:hAnsi="宋体" w:eastAsia="宋体" w:cs="宋体"/>
          <w:color w:val="auto"/>
          <w:sz w:val="24"/>
          <w:highlight w:val="none"/>
          <w:lang w:val="en-US" w:eastAsia="zh-CN"/>
        </w:rPr>
        <w:t>自合同签订之日起</w:t>
      </w:r>
      <w:r>
        <w:rPr>
          <w:rFonts w:hint="eastAsia" w:ascii="宋体" w:hAnsi="宋体" w:cs="宋体"/>
          <w:color w:val="auto"/>
          <w:sz w:val="24"/>
          <w:highlight w:val="none"/>
          <w:u w:val="single"/>
          <w:lang w:val="en-US" w:eastAsia="zh-CN"/>
        </w:rPr>
        <w:t xml:space="preserve"> 一 </w:t>
      </w:r>
      <w:r>
        <w:rPr>
          <w:rFonts w:hint="eastAsia" w:ascii="宋体" w:hAnsi="宋体" w:eastAsia="宋体" w:cs="宋体"/>
          <w:color w:val="auto"/>
          <w:sz w:val="24"/>
          <w:highlight w:val="none"/>
          <w:lang w:val="en-US" w:eastAsia="zh-CN"/>
        </w:rPr>
        <w:t>年。</w:t>
      </w:r>
    </w:p>
    <w:p w14:paraId="37E4A0FE">
      <w:pPr>
        <w:keepNext w:val="0"/>
        <w:keepLines w:val="0"/>
        <w:pageBreakBefore w:val="0"/>
        <w:kinsoku/>
        <w:wordWrap/>
        <w:topLinePunct w:val="0"/>
        <w:bidi w:val="0"/>
        <w:snapToGrid/>
        <w:spacing w:line="360" w:lineRule="auto"/>
        <w:ind w:firstLine="480" w:firstLineChars="200"/>
        <w:textAlignment w:val="auto"/>
        <w:rPr>
          <w:rFonts w:hint="eastAsia" w:ascii="宋体" w:hAnsi="宋体" w:cs="宋体"/>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服务地点：</w:t>
      </w:r>
      <w:r>
        <w:rPr>
          <w:rFonts w:hint="eastAsia" w:ascii="宋体" w:hAnsi="宋体" w:eastAsia="宋体" w:cs="宋体"/>
          <w:sz w:val="24"/>
          <w:highlight w:val="none"/>
          <w:lang w:eastAsia="zh-CN"/>
        </w:rPr>
        <w:t>甲方</w:t>
      </w:r>
      <w:r>
        <w:rPr>
          <w:rFonts w:hint="eastAsia" w:ascii="宋体" w:hAnsi="宋体" w:cs="宋体"/>
          <w:sz w:val="24"/>
          <w:highlight w:val="none"/>
        </w:rPr>
        <w:t>指定地点</w:t>
      </w:r>
    </w:p>
    <w:p w14:paraId="414D69E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质量要求：符合国家</w:t>
      </w:r>
      <w:r>
        <w:rPr>
          <w:rFonts w:hint="eastAsia" w:ascii="宋体" w:hAnsi="宋体" w:eastAsia="宋体" w:cs="宋体"/>
          <w:color w:val="auto"/>
          <w:sz w:val="24"/>
          <w:highlight w:val="none"/>
          <w:lang w:val="en-US" w:eastAsia="zh-CN"/>
        </w:rPr>
        <w:t>及行业</w:t>
      </w:r>
      <w:r>
        <w:rPr>
          <w:rFonts w:hint="eastAsia" w:ascii="宋体" w:hAnsi="宋体" w:eastAsia="宋体" w:cs="宋体"/>
          <w:color w:val="auto"/>
          <w:sz w:val="24"/>
          <w:highlight w:val="none"/>
        </w:rPr>
        <w:t>有关现行规范、标准的要求</w:t>
      </w:r>
    </w:p>
    <w:p w14:paraId="5E75D8DA">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w:t>
      </w:r>
      <w:r>
        <w:rPr>
          <w:rFonts w:hint="eastAsia" w:ascii="宋体" w:hAnsi="宋体" w:eastAsia="宋体" w:cs="宋体"/>
          <w:b/>
          <w:bCs/>
          <w:color w:val="auto"/>
          <w:sz w:val="24"/>
          <w:highlight w:val="none"/>
        </w:rPr>
        <w:t>合同价款及付款比例</w:t>
      </w:r>
    </w:p>
    <w:p w14:paraId="3FA7D830">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eastAsia="宋体" w:cs="宋体"/>
          <w:bCs/>
          <w:color w:val="auto"/>
          <w:sz w:val="24"/>
          <w:highlight w:val="none"/>
        </w:rPr>
        <w:t>1.合同价款：</w:t>
      </w:r>
      <w:r>
        <w:rPr>
          <w:rFonts w:hint="eastAsia" w:ascii="宋体" w:hAnsi="宋体" w:eastAsia="宋体" w:cs="宋体"/>
          <w:color w:val="auto"/>
          <w:sz w:val="24"/>
          <w:highlight w:val="none"/>
        </w:rPr>
        <w:t>合同为固定</w:t>
      </w:r>
      <w:r>
        <w:rPr>
          <w:rFonts w:hint="eastAsia" w:ascii="宋体" w:hAnsi="宋体" w:eastAsia="宋体" w:cs="宋体"/>
          <w:color w:val="auto"/>
          <w:sz w:val="24"/>
          <w:highlight w:val="none"/>
          <w:lang w:eastAsia="zh-CN"/>
        </w:rPr>
        <w:t>总</w:t>
      </w:r>
      <w:r>
        <w:rPr>
          <w:rFonts w:hint="eastAsia" w:ascii="宋体" w:hAnsi="宋体" w:eastAsia="宋体" w:cs="宋体"/>
          <w:color w:val="auto"/>
          <w:sz w:val="24"/>
          <w:highlight w:val="none"/>
        </w:rPr>
        <w:t>价合同</w:t>
      </w:r>
      <w:r>
        <w:rPr>
          <w:rFonts w:hint="eastAsia" w:ascii="宋体" w:hAnsi="宋体" w:eastAsia="宋体" w:cs="宋体"/>
          <w:color w:val="auto"/>
          <w:sz w:val="24"/>
          <w:highlight w:val="none"/>
          <w:lang w:eastAsia="zh-CN"/>
        </w:rPr>
        <w:t>。</w:t>
      </w:r>
    </w:p>
    <w:p w14:paraId="4400DF1E">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lang w:val="en-US" w:eastAsia="zh-CN"/>
        </w:rPr>
      </w:pPr>
      <w:r>
        <w:rPr>
          <w:rFonts w:hint="eastAsia" w:ascii="宋体" w:hAnsi="宋体" w:eastAsia="宋体" w:cs="宋体"/>
          <w:color w:val="auto"/>
          <w:sz w:val="24"/>
          <w:szCs w:val="24"/>
          <w:highlight w:val="none"/>
        </w:rPr>
        <w:t>合同总价款</w:t>
      </w:r>
      <w:r>
        <w:rPr>
          <w:rFonts w:hint="eastAsia" w:ascii="宋体" w:hAnsi="宋体" w:eastAsia="宋体" w:cs="宋体"/>
          <w:color w:val="auto"/>
          <w:sz w:val="24"/>
          <w:highlight w:val="none"/>
        </w:rPr>
        <w:t>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p>
    <w:p w14:paraId="2EFEF601">
      <w:pPr>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lang w:val="en-US" w:eastAsia="zh-CN"/>
        </w:rPr>
      </w:pPr>
      <w:r>
        <w:rPr>
          <w:rFonts w:hint="eastAsia" w:ascii="宋体" w:hAnsi="宋体" w:eastAsia="宋体" w:cs="宋体"/>
          <w:bCs/>
          <w:color w:val="auto"/>
          <w:kern w:val="2"/>
          <w:sz w:val="24"/>
          <w:szCs w:val="24"/>
          <w:lang w:val="en-US" w:eastAsia="zh-CN" w:bidi="ar-SA"/>
        </w:rPr>
        <w:t>2.</w:t>
      </w:r>
      <w:r>
        <w:rPr>
          <w:rFonts w:hint="eastAsia" w:ascii="宋体" w:hAnsi="宋体" w:eastAsia="宋体" w:cs="宋体"/>
          <w:bCs/>
          <w:color w:val="auto"/>
          <w:sz w:val="24"/>
          <w:highlight w:val="none"/>
        </w:rPr>
        <w:t>付款方式：</w:t>
      </w:r>
      <w:r>
        <w:rPr>
          <w:rFonts w:hint="eastAsia" w:ascii="宋体" w:hAnsi="宋体" w:eastAsia="宋体" w:cs="宋体"/>
          <w:bCs/>
          <w:color w:val="auto"/>
          <w:sz w:val="24"/>
          <w:highlight w:val="none"/>
          <w:lang w:val="en-US" w:eastAsia="zh-CN"/>
        </w:rPr>
        <w:t>付款条件说明：合同签订后，达到付款条件起30日内，支付合同总金额的70.00%。</w:t>
      </w:r>
    </w:p>
    <w:p w14:paraId="33C0CF23">
      <w:pPr>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720" w:firstLineChars="300"/>
        <w:jc w:val="left"/>
        <w:textAlignment w:val="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付款条件说明：服务期届满，整体验收合格后，达到付款条件起30日内，支付合同总金额的30.00%。</w:t>
      </w:r>
      <w:bookmarkStart w:id="0" w:name="_GoBack"/>
      <w:bookmarkEnd w:id="0"/>
    </w:p>
    <w:p w14:paraId="191540E7">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付款依据：乙方</w:t>
      </w:r>
      <w:r>
        <w:rPr>
          <w:rFonts w:hint="eastAsia" w:ascii="宋体" w:hAnsi="宋体" w:eastAsia="宋体" w:cs="宋体"/>
          <w:color w:val="auto"/>
          <w:sz w:val="24"/>
          <w:highlight w:val="none"/>
        </w:rPr>
        <w:t>应向</w:t>
      </w:r>
      <w:r>
        <w:rPr>
          <w:rFonts w:hint="eastAsia" w:ascii="宋体" w:hAnsi="宋体" w:eastAsia="宋体" w:cs="宋体"/>
          <w:color w:val="auto"/>
          <w:sz w:val="24"/>
          <w:highlight w:val="none"/>
          <w:lang w:val="en-US" w:eastAsia="zh-CN"/>
        </w:rPr>
        <w:t>甲方</w:t>
      </w:r>
      <w:r>
        <w:rPr>
          <w:rFonts w:hint="eastAsia" w:ascii="宋体" w:hAnsi="宋体" w:eastAsia="宋体" w:cs="宋体"/>
          <w:color w:val="auto"/>
          <w:sz w:val="24"/>
          <w:highlight w:val="none"/>
        </w:rPr>
        <w:t>出具符合国家财税规定的增值税发票，否则</w:t>
      </w:r>
      <w:r>
        <w:rPr>
          <w:rFonts w:hint="eastAsia" w:ascii="宋体" w:hAnsi="宋体" w:eastAsia="宋体" w:cs="宋体"/>
          <w:color w:val="auto"/>
          <w:sz w:val="24"/>
          <w:highlight w:val="none"/>
          <w:lang w:val="en-US" w:eastAsia="zh-CN"/>
        </w:rPr>
        <w:t>甲方</w:t>
      </w:r>
      <w:r>
        <w:rPr>
          <w:rFonts w:hint="eastAsia" w:ascii="宋体" w:hAnsi="宋体" w:eastAsia="宋体" w:cs="宋体"/>
          <w:color w:val="auto"/>
          <w:sz w:val="24"/>
          <w:highlight w:val="none"/>
        </w:rPr>
        <w:t>有权延迟履行付款义务。如因</w:t>
      </w:r>
      <w:r>
        <w:rPr>
          <w:rFonts w:hint="eastAsia" w:ascii="宋体" w:hAnsi="宋体" w:cs="宋体"/>
          <w:color w:val="auto"/>
          <w:sz w:val="24"/>
          <w:highlight w:val="none"/>
          <w:lang w:val="en-US" w:eastAsia="zh-CN"/>
        </w:rPr>
        <w:t>乙方</w:t>
      </w:r>
      <w:r>
        <w:rPr>
          <w:rFonts w:hint="eastAsia" w:ascii="宋体" w:hAnsi="宋体" w:eastAsia="宋体" w:cs="宋体"/>
          <w:color w:val="auto"/>
          <w:sz w:val="24"/>
          <w:highlight w:val="none"/>
        </w:rPr>
        <w:t>缘故（如开具增值税发票延误等）导致</w:t>
      </w:r>
      <w:r>
        <w:rPr>
          <w:rFonts w:hint="eastAsia" w:ascii="宋体" w:hAnsi="宋体" w:eastAsia="宋体" w:cs="宋体"/>
          <w:color w:val="auto"/>
          <w:sz w:val="24"/>
          <w:highlight w:val="none"/>
          <w:lang w:val="en-US" w:eastAsia="zh-CN"/>
        </w:rPr>
        <w:t>甲方</w:t>
      </w:r>
      <w:r>
        <w:rPr>
          <w:rFonts w:hint="eastAsia" w:ascii="宋体" w:hAnsi="宋体" w:eastAsia="宋体" w:cs="宋体"/>
          <w:color w:val="auto"/>
          <w:sz w:val="24"/>
          <w:highlight w:val="none"/>
        </w:rPr>
        <w:t>无法按时付款，</w:t>
      </w:r>
      <w:r>
        <w:rPr>
          <w:rFonts w:hint="eastAsia" w:ascii="宋体" w:hAnsi="宋体" w:eastAsia="宋体" w:cs="宋体"/>
          <w:color w:val="auto"/>
          <w:sz w:val="24"/>
          <w:highlight w:val="none"/>
          <w:lang w:val="en-US" w:eastAsia="zh-CN"/>
        </w:rPr>
        <w:t>甲方</w:t>
      </w:r>
      <w:r>
        <w:rPr>
          <w:rFonts w:hint="eastAsia" w:ascii="宋体" w:hAnsi="宋体" w:eastAsia="宋体" w:cs="宋体"/>
          <w:color w:val="auto"/>
          <w:sz w:val="24"/>
          <w:highlight w:val="none"/>
        </w:rPr>
        <w:t>不承担违约责任。</w:t>
      </w:r>
    </w:p>
    <w:p w14:paraId="3857AE7B">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3.乙方开户银行指定账户为：</w:t>
      </w:r>
    </w:p>
    <w:p w14:paraId="08BEAC4D">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收款人：</w:t>
      </w:r>
    </w:p>
    <w:p w14:paraId="1E9D9642">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开户行：</w:t>
      </w:r>
    </w:p>
    <w:p w14:paraId="1306997C">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账号：</w:t>
      </w:r>
    </w:p>
    <w:p w14:paraId="0087CC2F">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四、</w:t>
      </w:r>
      <w:r>
        <w:rPr>
          <w:rFonts w:hint="eastAsia" w:ascii="宋体" w:hAnsi="宋体" w:eastAsia="宋体" w:cs="宋体"/>
          <w:b/>
          <w:color w:val="auto"/>
          <w:sz w:val="24"/>
          <w:highlight w:val="none"/>
        </w:rPr>
        <w:t>乙方：</w:t>
      </w:r>
      <w:r>
        <w:rPr>
          <w:rFonts w:hint="eastAsia" w:ascii="宋体" w:hAnsi="宋体" w:eastAsia="宋体" w:cs="宋体"/>
          <w:bCs/>
          <w:color w:val="auto"/>
          <w:sz w:val="24"/>
          <w:highlight w:val="none"/>
        </w:rPr>
        <w:t>本项目拟派</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为负责人，联系电话：</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，身份证号：</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p>
    <w:p w14:paraId="65A2F545">
      <w:pPr>
        <w:pStyle w:val="3"/>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五、甲方的主要责任和权利</w:t>
      </w:r>
    </w:p>
    <w:p w14:paraId="1795CFF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A72A0E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.甲方将向乙方提供为完成服务工作所需要的信息、资料和其他相关协助。</w:t>
      </w:r>
    </w:p>
    <w:p w14:paraId="1077B4A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.甲方支持乙方的工作，按合同保证乙方责任和权力的统一。</w:t>
      </w:r>
    </w:p>
    <w:p w14:paraId="661F4B8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.甲方有权阐述对具体问题的意见和建议。</w:t>
      </w:r>
    </w:p>
    <w:p w14:paraId="2235FD0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.甲方有权对服务质量进行评估，若服务评估结果不合格，甲方有权扣除不超过10%的合同金额或终止合同。</w:t>
      </w:r>
    </w:p>
    <w:p w14:paraId="22777368">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六、乙方的主要责任和权利</w:t>
      </w:r>
    </w:p>
    <w:p w14:paraId="5EAAB95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1.乙方应根据本合同的约定提交相关文件、资料。</w:t>
      </w:r>
    </w:p>
    <w:p w14:paraId="0D140F1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2.对甲方提供的基础资料、数据、信息等严格保密。</w:t>
      </w:r>
    </w:p>
    <w:p w14:paraId="2988941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乙方的工作人员必须严格遵守甲方的规章制度，以良好的形象和积极的工作态度，按甲方要求开展工作</w:t>
      </w:r>
      <w:r>
        <w:rPr>
          <w:rFonts w:hint="eastAsia" w:ascii="宋体" w:hAnsi="宋体" w:eastAsia="宋体" w:cs="宋体"/>
          <w:color w:val="auto"/>
          <w:sz w:val="24"/>
          <w:highlight w:val="none"/>
        </w:rPr>
        <w:t>。</w:t>
      </w:r>
    </w:p>
    <w:p w14:paraId="233AB7F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lang w:val="en-US" w:eastAsia="zh-CN"/>
        </w:rPr>
        <w:t>.及时向甲方通告本项目服务范围内有关服务的重大事项，及时配合处理投诉</w:t>
      </w:r>
      <w:r>
        <w:rPr>
          <w:rFonts w:hint="eastAsia" w:ascii="宋体" w:hAnsi="宋体" w:cs="宋体"/>
          <w:color w:val="auto"/>
          <w:sz w:val="24"/>
          <w:highlight w:val="none"/>
          <w:lang w:val="en-US" w:eastAsia="zh-CN"/>
        </w:rPr>
        <w:t>。</w:t>
      </w:r>
    </w:p>
    <w:p w14:paraId="4BBE492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.解答甲方提出的与项目有关的询问，接受甲方监督和检查，无条件按照甲方要求对成果报告进行整改和完善。</w:t>
      </w:r>
    </w:p>
    <w:p w14:paraId="5305E9B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乙方人员服务期中发生任何安全问题均与甲方无关，乙方应确保项目人员均购买人身保险。</w:t>
      </w:r>
    </w:p>
    <w:p w14:paraId="5E0D37A7">
      <w:pPr>
        <w:pStyle w:val="6"/>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en-US" w:eastAsia="zh-CN"/>
        </w:rPr>
      </w:pPr>
      <w:r>
        <w:rPr>
          <w:rFonts w:hint="eastAsia" w:ascii="宋体" w:hAnsi="宋体" w:eastAsia="宋体" w:cs="宋体"/>
          <w:b/>
          <w:color w:val="auto"/>
          <w:highlight w:val="none"/>
          <w:lang w:val="en-US" w:eastAsia="zh-CN"/>
        </w:rPr>
        <w:t>七、</w:t>
      </w:r>
      <w:r>
        <w:rPr>
          <w:rFonts w:hint="eastAsia" w:ascii="宋体" w:hAnsi="宋体" w:eastAsia="宋体" w:cs="宋体"/>
          <w:b/>
          <w:color w:val="auto"/>
          <w:highlight w:val="none"/>
          <w:lang w:val="zh-CN" w:eastAsia="zh-CN"/>
        </w:rPr>
        <w:t>知识产权</w:t>
      </w:r>
    </w:p>
    <w:p w14:paraId="6FD309B0">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733AA637">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2.若乙方在为甲方提供服务时侵犯了第三人的权利，致使甲方受到索赔或起诉，由此给甲方造成的一切损失由乙方承担，同时甲方有权解除合同，同时乙方及时消除不良影响。</w:t>
      </w:r>
    </w:p>
    <w:p w14:paraId="44C7BB2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2D3F22FA">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ascii="宋体" w:hAnsi="宋体" w:cs="宋体"/>
          <w:sz w:val="24"/>
          <w:highlight w:val="none"/>
          <w:lang w:val="en-US" w:eastAsia="zh-CN"/>
        </w:rPr>
        <w:t>4.</w:t>
      </w:r>
      <w:r>
        <w:rPr>
          <w:rFonts w:hint="eastAsia" w:ascii="宋体" w:hAnsi="宋体" w:cs="宋体"/>
          <w:sz w:val="24"/>
          <w:highlight w:val="none"/>
        </w:rPr>
        <w:t>本合同条款的规定不因本合同的到期而失效。</w:t>
      </w:r>
    </w:p>
    <w:p w14:paraId="4C27C810">
      <w:pPr>
        <w:pStyle w:val="6"/>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color w:val="auto"/>
          <w:highlight w:val="none"/>
          <w:lang w:val="en-US" w:eastAsia="zh-CN"/>
        </w:rPr>
        <w:t>八、</w:t>
      </w:r>
      <w:r>
        <w:rPr>
          <w:rFonts w:hint="eastAsia" w:ascii="宋体" w:hAnsi="宋体" w:eastAsia="宋体" w:cs="宋体"/>
          <w:b/>
          <w:bCs/>
          <w:color w:val="auto"/>
          <w:kern w:val="2"/>
          <w:sz w:val="24"/>
          <w:szCs w:val="24"/>
          <w:highlight w:val="none"/>
          <w:lang w:val="en-US" w:eastAsia="zh-CN" w:bidi="ar-SA"/>
        </w:rPr>
        <w:t>验收</w:t>
      </w:r>
    </w:p>
    <w:p w14:paraId="18C6953C">
      <w:pPr>
        <w:widowControl w:val="0"/>
        <w:numPr>
          <w:ilvl w:val="0"/>
          <w:numId w:val="0"/>
        </w:numPr>
        <w:snapToGrid w:val="0"/>
        <w:spacing w:after="0" w:line="360" w:lineRule="auto"/>
        <w:ind w:firstLine="480" w:firstLineChars="200"/>
        <w:jc w:val="both"/>
        <w:rPr>
          <w:rFonts w:hint="eastAsia" w:ascii="宋体" w:hAnsi="宋体" w:eastAsia="宋体" w:cs="宋体"/>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验收时间：</w:t>
      </w:r>
      <w:r>
        <w:rPr>
          <w:rFonts w:hint="eastAsia" w:ascii="宋体" w:hAnsi="宋体" w:eastAsia="宋体" w:cs="宋体"/>
          <w:kern w:val="2"/>
          <w:sz w:val="24"/>
          <w:szCs w:val="24"/>
          <w:highlight w:val="none"/>
          <w:lang w:val="en-US" w:eastAsia="zh-CN"/>
        </w:rPr>
        <w:t>采购人定期对供应商的运营服务工作进行阶段性验收，验收内容包括稿件数量、内容质量、发布时效、运营数据、团队服务等方面。</w:t>
      </w:r>
    </w:p>
    <w:p w14:paraId="49B80196">
      <w:pPr>
        <w:widowControl w:val="0"/>
        <w:numPr>
          <w:ilvl w:val="0"/>
          <w:numId w:val="0"/>
        </w:numPr>
        <w:snapToGrid w:val="0"/>
        <w:spacing w:after="0" w:line="360" w:lineRule="auto"/>
        <w:ind w:firstLine="480" w:firstLineChars="200"/>
        <w:jc w:val="both"/>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服务期满后，采购人对项目进行整体验收，供应商需提供项目运营工作总结、相关成果资料、运营数据报告等验收材料，验收合格后方可完成项目结算。</w:t>
      </w:r>
    </w:p>
    <w:p w14:paraId="5D2DFF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质量标准：</w:t>
      </w:r>
      <w:r>
        <w:rPr>
          <w:rFonts w:hint="eastAsia" w:ascii="宋体" w:hAnsi="宋体" w:eastAsia="宋体" w:cs="宋体"/>
          <w:color w:val="auto"/>
          <w:sz w:val="24"/>
          <w:highlight w:val="none"/>
        </w:rPr>
        <w:t>符合国家</w:t>
      </w:r>
      <w:r>
        <w:rPr>
          <w:rFonts w:hint="eastAsia" w:ascii="宋体" w:hAnsi="宋体" w:eastAsia="宋体" w:cs="宋体"/>
          <w:color w:val="auto"/>
          <w:sz w:val="24"/>
          <w:highlight w:val="none"/>
          <w:lang w:val="en-US" w:eastAsia="zh-CN"/>
        </w:rPr>
        <w:t>及行业</w:t>
      </w:r>
      <w:r>
        <w:rPr>
          <w:rFonts w:hint="eastAsia" w:ascii="宋体" w:hAnsi="宋体" w:eastAsia="宋体" w:cs="宋体"/>
          <w:color w:val="auto"/>
          <w:sz w:val="24"/>
          <w:highlight w:val="none"/>
        </w:rPr>
        <w:t>有关现行规范、标准的要求</w:t>
      </w:r>
      <w:r>
        <w:rPr>
          <w:rFonts w:hint="eastAsia" w:ascii="宋体" w:hAnsi="宋体" w:cs="宋体"/>
          <w:color w:val="auto"/>
          <w:sz w:val="24"/>
          <w:highlight w:val="none"/>
          <w:lang w:eastAsia="zh-CN"/>
        </w:rPr>
        <w:t>。</w:t>
      </w:r>
    </w:p>
    <w:p w14:paraId="5A24DE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验收合格条件：符合国家标准及合同要求，符合竞争性磋商文件、成交供应商的</w:t>
      </w:r>
      <w:r>
        <w:rPr>
          <w:rFonts w:hint="eastAsia" w:ascii="宋体" w:hAnsi="宋体" w:cs="宋体"/>
          <w:color w:val="auto"/>
          <w:kern w:val="2"/>
          <w:sz w:val="24"/>
          <w:szCs w:val="24"/>
          <w:highlight w:val="none"/>
          <w:lang w:val="en-US" w:eastAsia="zh-CN" w:bidi="ar-SA"/>
        </w:rPr>
        <w:t>竞争性</w:t>
      </w:r>
      <w:r>
        <w:rPr>
          <w:rFonts w:hint="eastAsia" w:ascii="宋体" w:hAnsi="宋体" w:eastAsia="宋体" w:cs="宋体"/>
          <w:color w:val="auto"/>
          <w:kern w:val="2"/>
          <w:sz w:val="24"/>
          <w:szCs w:val="24"/>
          <w:highlight w:val="none"/>
          <w:lang w:val="en-US" w:eastAsia="zh-CN" w:bidi="ar-SA"/>
        </w:rPr>
        <w:t>磋商</w:t>
      </w:r>
      <w:r>
        <w:rPr>
          <w:rFonts w:hint="eastAsia" w:ascii="宋体" w:hAnsi="宋体" w:cs="宋体"/>
          <w:color w:val="auto"/>
          <w:kern w:val="2"/>
          <w:sz w:val="24"/>
          <w:szCs w:val="24"/>
          <w:highlight w:val="none"/>
          <w:lang w:val="en-US" w:eastAsia="zh-CN" w:bidi="ar-SA"/>
        </w:rPr>
        <w:t>响应</w:t>
      </w:r>
      <w:r>
        <w:rPr>
          <w:rFonts w:hint="eastAsia" w:ascii="宋体" w:hAnsi="宋体" w:eastAsia="宋体" w:cs="宋体"/>
          <w:color w:val="auto"/>
          <w:kern w:val="2"/>
          <w:sz w:val="24"/>
          <w:szCs w:val="24"/>
          <w:highlight w:val="none"/>
          <w:lang w:val="en-US" w:eastAsia="zh-CN" w:bidi="ar-SA"/>
        </w:rPr>
        <w:t>文件、澄清文件和成交通知书的要求等,乙方应严格按照上述及采购人要求实施项目服务，甲方有权对乙方服务质量进行评估，当乙方出现较为严重的服务质量问题时，从乙方服务费中扣除合同总价的10%。</w:t>
      </w:r>
    </w:p>
    <w:p w14:paraId="7F948441">
      <w:pPr>
        <w:pStyle w:val="3"/>
        <w:keepNext w:val="0"/>
        <w:keepLines w:val="0"/>
        <w:pageBreakBefore w:val="0"/>
        <w:kinsoku/>
        <w:wordWrap/>
        <w:topLinePunct w:val="0"/>
        <w:bidi w:val="0"/>
        <w:snapToGrid/>
        <w:spacing w:line="360" w:lineRule="auto"/>
        <w:ind w:left="0" w:leftChars="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注：乙方应保证交付的成果文件已参照已有的相关规划，并遵循中华人民共和国及地方的有关法律规范，并符合本项目</w:t>
      </w:r>
      <w:r>
        <w:rPr>
          <w:rFonts w:hint="eastAsia" w:ascii="宋体" w:hAnsi="宋体" w:eastAsia="宋体" w:cs="宋体"/>
          <w:color w:val="auto"/>
          <w:sz w:val="24"/>
          <w:szCs w:val="24"/>
          <w:highlight w:val="none"/>
          <w:lang w:eastAsia="zh-CN"/>
        </w:rPr>
        <w:t>服务</w:t>
      </w:r>
      <w:r>
        <w:rPr>
          <w:rFonts w:hint="eastAsia" w:ascii="宋体" w:hAnsi="宋体" w:eastAsia="宋体" w:cs="宋体"/>
          <w:color w:val="auto"/>
          <w:sz w:val="24"/>
          <w:szCs w:val="24"/>
          <w:highlight w:val="none"/>
        </w:rPr>
        <w:t>要求。</w:t>
      </w:r>
    </w:p>
    <w:p w14:paraId="4B3D15C9">
      <w:pPr>
        <w:pStyle w:val="6"/>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zh-CN" w:eastAsia="zh-CN"/>
        </w:rPr>
      </w:pPr>
      <w:r>
        <w:rPr>
          <w:rFonts w:hint="eastAsia" w:ascii="宋体" w:hAnsi="宋体" w:eastAsia="宋体" w:cs="宋体"/>
          <w:b/>
          <w:color w:val="auto"/>
          <w:highlight w:val="none"/>
          <w:lang w:val="en-US" w:eastAsia="zh-CN"/>
        </w:rPr>
        <w:t>九</w:t>
      </w:r>
      <w:r>
        <w:rPr>
          <w:rFonts w:hint="eastAsia" w:ascii="宋体" w:hAnsi="宋体" w:eastAsia="宋体" w:cs="宋体"/>
          <w:b/>
          <w:color w:val="auto"/>
          <w:highlight w:val="none"/>
          <w:lang w:val="zh-CN" w:eastAsia="zh-CN"/>
        </w:rPr>
        <w:t>、保密</w:t>
      </w:r>
    </w:p>
    <w:p w14:paraId="63BD287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1.在本合同的履行期内，乙方获得与本项目相关的信息（包括获得的资料及成果等），应当采取适当有效的方式保护，不得未经授权使用、传播或公开。</w:t>
      </w:r>
    </w:p>
    <w:p w14:paraId="7CEED137">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41E94006">
      <w:pPr>
        <w:pStyle w:val="7"/>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十</w:t>
      </w:r>
      <w:r>
        <w:rPr>
          <w:rFonts w:hint="eastAsia" w:ascii="宋体" w:hAnsi="宋体" w:eastAsia="宋体" w:cs="宋体"/>
          <w:b/>
          <w:bCs/>
          <w:color w:val="auto"/>
          <w:sz w:val="24"/>
          <w:highlight w:val="none"/>
        </w:rPr>
        <w:t>、不可抗力</w:t>
      </w:r>
    </w:p>
    <w:p w14:paraId="647B97F2">
      <w:pPr>
        <w:pStyle w:val="7"/>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4CEF8A7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2.遭受不可抗力一方应在不可抗力事故发生后尽快以书面形式通知另一方；并在事故发生后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color w:val="auto"/>
          <w:sz w:val="24"/>
          <w:highlight w:val="none"/>
          <w:u w:val="single"/>
        </w:rPr>
        <w:t>二十（20）</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30CCD65C">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一</w:t>
      </w:r>
      <w:r>
        <w:rPr>
          <w:rFonts w:hint="eastAsia" w:ascii="宋体" w:hAnsi="宋体" w:eastAsia="宋体" w:cs="宋体"/>
          <w:b/>
          <w:bCs/>
          <w:color w:val="auto"/>
          <w:sz w:val="24"/>
          <w:highlight w:val="none"/>
        </w:rPr>
        <w:t>、破产终止合同</w:t>
      </w:r>
    </w:p>
    <w:p w14:paraId="08217708">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43CB621C">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二</w:t>
      </w:r>
      <w:r>
        <w:rPr>
          <w:rFonts w:hint="eastAsia" w:ascii="宋体" w:hAnsi="宋体" w:eastAsia="宋体" w:cs="宋体"/>
          <w:b/>
          <w:bCs/>
          <w:color w:val="auto"/>
          <w:sz w:val="24"/>
          <w:highlight w:val="none"/>
        </w:rPr>
        <w:t>、转让</w:t>
      </w:r>
    </w:p>
    <w:p w14:paraId="57FA07A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531984E8">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十</w:t>
      </w:r>
      <w:r>
        <w:rPr>
          <w:rFonts w:hint="eastAsia" w:ascii="宋体" w:hAnsi="宋体" w:eastAsia="宋体" w:cs="宋体"/>
          <w:b/>
          <w:bCs/>
          <w:color w:val="auto"/>
          <w:sz w:val="24"/>
          <w:highlight w:val="none"/>
          <w:lang w:val="en-US" w:eastAsia="zh-CN"/>
        </w:rPr>
        <w:t>三</w:t>
      </w:r>
      <w:r>
        <w:rPr>
          <w:rFonts w:hint="eastAsia" w:ascii="宋体" w:hAnsi="宋体" w:eastAsia="宋体" w:cs="宋体"/>
          <w:b/>
          <w:bCs/>
          <w:color w:val="auto"/>
          <w:sz w:val="24"/>
          <w:highlight w:val="none"/>
          <w:lang w:val="zh-CN"/>
        </w:rPr>
        <w:t>、违约责任</w:t>
      </w:r>
    </w:p>
    <w:p w14:paraId="64B0FFB4">
      <w:pPr>
        <w:pStyle w:val="6"/>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1.按《中华人民共和国民法典》中的相关条款执行。</w:t>
      </w:r>
    </w:p>
    <w:p w14:paraId="4CDA7E0C">
      <w:pPr>
        <w:pStyle w:val="6"/>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2.未按合同或</w:t>
      </w:r>
      <w:r>
        <w:rPr>
          <w:rFonts w:hint="eastAsia" w:ascii="宋体" w:hAnsi="宋体" w:cs="宋体"/>
          <w:color w:val="auto"/>
          <w:highlight w:val="none"/>
          <w:lang w:eastAsia="zh-CN"/>
        </w:rPr>
        <w:t>磋商文件</w:t>
      </w:r>
      <w:r>
        <w:rPr>
          <w:rFonts w:hint="eastAsia" w:ascii="宋体" w:hAnsi="宋体" w:eastAsia="宋体" w:cs="宋体"/>
          <w:color w:val="auto"/>
          <w:highlight w:val="none"/>
          <w:lang w:eastAsia="zh-CN"/>
        </w:rPr>
        <w:t>要求提供服务，质量不能满足采购方技术要求，采购单位有权终止合同，甚至对供方违约行为进行追究。</w:t>
      </w:r>
    </w:p>
    <w:p w14:paraId="228165C0">
      <w:pPr>
        <w:widowControl w:val="0"/>
        <w:numPr>
          <w:ilvl w:val="0"/>
          <w:numId w:val="0"/>
        </w:numPr>
        <w:snapToGrid w:val="0"/>
        <w:spacing w:after="0" w:line="360" w:lineRule="auto"/>
        <w:ind w:firstLine="480" w:firstLineChars="200"/>
        <w:jc w:val="both"/>
        <w:rPr>
          <w:rFonts w:hint="eastAsia" w:ascii="宋体" w:hAnsi="宋体" w:eastAsia="宋体" w:cs="宋体"/>
          <w:b/>
          <w:kern w:val="2"/>
          <w:sz w:val="28"/>
          <w:szCs w:val="28"/>
          <w:highlight w:val="none"/>
          <w:lang w:eastAsia="zh-CN"/>
        </w:rPr>
      </w:pPr>
      <w:r>
        <w:rPr>
          <w:rFonts w:hint="eastAsia" w:ascii="宋体" w:hAnsi="宋体" w:cs="宋体"/>
          <w:kern w:val="2"/>
          <w:sz w:val="24"/>
          <w:szCs w:val="24"/>
          <w:lang w:val="en-US" w:eastAsia="zh-CN"/>
        </w:rPr>
        <w:t>3.</w:t>
      </w:r>
      <w:r>
        <w:rPr>
          <w:rFonts w:hint="eastAsia" w:ascii="宋体" w:hAnsi="宋体" w:eastAsia="宋体" w:cs="宋体"/>
          <w:kern w:val="2"/>
          <w:sz w:val="24"/>
          <w:szCs w:val="24"/>
          <w:lang w:val="en-US" w:eastAsia="zh-CN"/>
        </w:rPr>
        <w:t>供应商不得将本项目的服务内容转包、分包给第三方，否则采购人有权解除合同并追究供</w:t>
      </w:r>
      <w:r>
        <w:rPr>
          <w:rFonts w:hint="eastAsia" w:ascii="宋体" w:hAnsi="宋体" w:eastAsia="宋体" w:cs="宋体"/>
          <w:kern w:val="2"/>
          <w:sz w:val="24"/>
          <w:szCs w:val="24"/>
          <w:highlight w:val="none"/>
          <w:lang w:val="en-US" w:eastAsia="zh-CN"/>
        </w:rPr>
        <w:t>应商的违约责任。</w:t>
      </w:r>
    </w:p>
    <w:p w14:paraId="12AA73DD">
      <w:pPr>
        <w:pStyle w:val="6"/>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4</w:t>
      </w:r>
      <w:r>
        <w:rPr>
          <w:rFonts w:hint="eastAsia" w:ascii="宋体" w:hAnsi="宋体" w:eastAsia="宋体" w:cs="宋体"/>
          <w:color w:val="auto"/>
          <w:highlight w:val="none"/>
          <w:lang w:eastAsia="zh-CN"/>
        </w:rPr>
        <w:t>.乙方由于自身过错，延误按本合同规定的服务成果交付时间，每延误一天，应减收本合同总额的2‰作为延误违约金。</w:t>
      </w:r>
    </w:p>
    <w:p w14:paraId="18777FA4">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rPr>
        <w:t>、合同争议和解决办法</w:t>
      </w:r>
    </w:p>
    <w:p w14:paraId="5CDFA48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bCs/>
          <w:color w:val="auto"/>
          <w:sz w:val="24"/>
          <w:highlight w:val="none"/>
        </w:rPr>
        <w:t>因本合同产生纠纷，如协商无法解决，双方均有权向有管辖权的人民法院提起诉讼。</w:t>
      </w:r>
    </w:p>
    <w:p w14:paraId="1858A4D7">
      <w:pPr>
        <w:keepNext w:val="0"/>
        <w:keepLines w:val="0"/>
        <w:pageBreakBefore w:val="0"/>
        <w:wordWrap/>
        <w:topLinePunct w:val="0"/>
        <w:autoSpaceDE w:val="0"/>
        <w:autoSpaceDN w:val="0"/>
        <w:bidi w:val="0"/>
        <w:adjustRightInd w:val="0"/>
        <w:spacing w:line="360" w:lineRule="auto"/>
        <w:rPr>
          <w:rFonts w:ascii="宋体"/>
          <w:b/>
          <w:bCs/>
          <w:sz w:val="24"/>
          <w:highlight w:val="none"/>
        </w:rPr>
      </w:pPr>
      <w:r>
        <w:rPr>
          <w:rFonts w:hint="eastAsia" w:ascii="宋体" w:hAnsi="宋体" w:cs="宋体"/>
          <w:b/>
          <w:bCs/>
          <w:sz w:val="24"/>
          <w:highlight w:val="none"/>
        </w:rPr>
        <w:t>十</w:t>
      </w:r>
      <w:r>
        <w:rPr>
          <w:rFonts w:hint="eastAsia" w:ascii="宋体" w:hAnsi="宋体" w:cs="宋体"/>
          <w:b/>
          <w:bCs/>
          <w:sz w:val="24"/>
          <w:highlight w:val="none"/>
          <w:lang w:eastAsia="zh-CN"/>
        </w:rPr>
        <w:t>五</w:t>
      </w:r>
      <w:r>
        <w:rPr>
          <w:rFonts w:hint="eastAsia" w:ascii="宋体" w:hAnsi="宋体" w:cs="宋体"/>
          <w:b/>
          <w:bCs/>
          <w:sz w:val="24"/>
          <w:highlight w:val="none"/>
        </w:rPr>
        <w:t>、合同生效</w:t>
      </w:r>
    </w:p>
    <w:p w14:paraId="3B33E859">
      <w:pPr>
        <w:keepNext w:val="0"/>
        <w:keepLines w:val="0"/>
        <w:pageBreakBefore w:val="0"/>
        <w:widowControl w:val="0"/>
        <w:kinsoku/>
        <w:wordWrap/>
        <w:overflowPunct/>
        <w:topLinePunct w:val="0"/>
        <w:bidi w:val="0"/>
        <w:adjustRightInd/>
        <w:spacing w:line="360" w:lineRule="auto"/>
        <w:ind w:firstLine="480" w:firstLineChars="200"/>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1.政府采购合同履行中，甲方需追加与合同标的相同的货物、工程或者服务的，在不改变合同其他条款的前提下，可以与乙方协商签订补充合同，但所有补充合同的采购金额不得超过原合同采购金额的10%。</w:t>
      </w:r>
    </w:p>
    <w:p w14:paraId="240762BE">
      <w:pPr>
        <w:keepNext w:val="0"/>
        <w:keepLines w:val="0"/>
        <w:pageBreakBefore w:val="0"/>
        <w:widowControl w:val="0"/>
        <w:kinsoku/>
        <w:wordWrap/>
        <w:overflowPunct/>
        <w:topLinePunct w:val="0"/>
        <w:bidi w:val="0"/>
        <w:adjustRightInd/>
        <w:spacing w:line="360" w:lineRule="auto"/>
        <w:ind w:firstLine="480" w:firstLineChars="200"/>
        <w:textAlignment w:val="auto"/>
        <w:rPr>
          <w:rFonts w:hint="eastAsia" w:ascii="宋体" w:hAnsi="宋体" w:cs="宋体"/>
          <w:sz w:val="24"/>
        </w:rPr>
      </w:pPr>
      <w:r>
        <w:rPr>
          <w:rFonts w:hint="eastAsia" w:ascii="宋体" w:hAnsi="宋体" w:cs="宋体"/>
          <w:sz w:val="24"/>
          <w:highlight w:val="none"/>
          <w:lang w:val="en-US" w:eastAsia="zh-CN"/>
        </w:rPr>
        <w:t>2.</w:t>
      </w:r>
      <w:r>
        <w:rPr>
          <w:rFonts w:hint="eastAsia" w:ascii="宋体" w:hAnsi="宋体" w:cs="宋体"/>
          <w:sz w:val="24"/>
          <w:highlight w:val="none"/>
        </w:rPr>
        <w:t>本合同须经甲、乙双方的法定代表人（委托代理人）在合同书上签字并加盖本单位公章后正式生效。</w:t>
      </w:r>
    </w:p>
    <w:p w14:paraId="12587030">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3.</w:t>
      </w:r>
      <w:r>
        <w:rPr>
          <w:rFonts w:hint="eastAsia" w:ascii="宋体" w:hAnsi="宋体" w:cs="宋体"/>
          <w:sz w:val="24"/>
        </w:rPr>
        <w:t>合同生效后，甲、乙双方须严格执行本合同条款的规定，全面履行合同，违者按《中华人民共和国民法典》的有关规定承担相应责任。</w:t>
      </w:r>
    </w:p>
    <w:p w14:paraId="52E63238">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4.</w:t>
      </w:r>
      <w:r>
        <w:rPr>
          <w:rFonts w:hint="eastAsia" w:ascii="宋体" w:hAnsi="宋体" w:cs="宋体"/>
          <w:sz w:val="24"/>
        </w:rPr>
        <w:t>本合同一式</w:t>
      </w:r>
      <w:r>
        <w:rPr>
          <w:rFonts w:hint="eastAsia" w:ascii="宋体" w:hAnsi="宋体" w:cs="宋体"/>
          <w:sz w:val="24"/>
          <w:u w:val="single"/>
        </w:rPr>
        <w:t xml:space="preserve">   </w:t>
      </w:r>
      <w:r>
        <w:rPr>
          <w:rFonts w:hint="eastAsia" w:ascii="宋体" w:hAnsi="宋体" w:cs="宋体"/>
          <w:sz w:val="24"/>
        </w:rPr>
        <w:t>份，甲乙双方各执</w:t>
      </w:r>
      <w:r>
        <w:rPr>
          <w:rFonts w:hint="eastAsia" w:ascii="宋体" w:hAnsi="宋体" w:cs="宋体"/>
          <w:sz w:val="24"/>
          <w:u w:val="single"/>
        </w:rPr>
        <w:t xml:space="preserve">   </w:t>
      </w:r>
      <w:r>
        <w:rPr>
          <w:rFonts w:hint="eastAsia" w:ascii="宋体" w:hAnsi="宋体" w:cs="宋体"/>
          <w:sz w:val="24"/>
        </w:rPr>
        <w:t>份。</w:t>
      </w:r>
    </w:p>
    <w:p w14:paraId="14198EA1">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hint="eastAsia" w:ascii="宋体" w:hAnsi="宋体" w:cs="宋体"/>
          <w:b/>
          <w:bCs/>
          <w:color w:val="000000"/>
          <w:sz w:val="36"/>
          <w:szCs w:val="36"/>
        </w:rPr>
      </w:pPr>
      <w:r>
        <w:rPr>
          <w:rFonts w:hint="eastAsia" w:ascii="宋体" w:hAnsi="宋体" w:cs="宋体"/>
          <w:sz w:val="24"/>
          <w:lang w:val="en-US" w:eastAsia="zh-CN"/>
        </w:rPr>
        <w:t>5.</w:t>
      </w:r>
      <w:r>
        <w:rPr>
          <w:rFonts w:hint="eastAsia" w:ascii="宋体" w:hAnsi="宋体" w:cs="宋体"/>
          <w:sz w:val="24"/>
        </w:rPr>
        <w:t>本合同如有未尽事宜，甲、乙双方协商解决。</w:t>
      </w:r>
    </w:p>
    <w:tbl>
      <w:tblPr>
        <w:tblStyle w:val="4"/>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57B8DCB3">
        <w:tblPrEx>
          <w:tblCellMar>
            <w:top w:w="0" w:type="dxa"/>
            <w:left w:w="108" w:type="dxa"/>
            <w:bottom w:w="0" w:type="dxa"/>
            <w:right w:w="108" w:type="dxa"/>
          </w:tblCellMar>
        </w:tblPrEx>
        <w:trPr>
          <w:trHeight w:val="454" w:hRule="atLeast"/>
        </w:trPr>
        <w:tc>
          <w:tcPr>
            <w:tcW w:w="4201" w:type="dxa"/>
            <w:vAlign w:val="center"/>
          </w:tcPr>
          <w:p w14:paraId="56352F1F">
            <w:pPr>
              <w:spacing w:line="240" w:lineRule="auto"/>
              <w:ind w:firstLine="480" w:firstLineChars="200"/>
              <w:rPr>
                <w:rFonts w:ascii="宋体"/>
                <w:sz w:val="24"/>
              </w:rPr>
            </w:pPr>
            <w:r>
              <w:rPr>
                <w:rFonts w:hint="eastAsia" w:ascii="宋体" w:hAnsi="宋体" w:cs="宋体"/>
                <w:sz w:val="24"/>
              </w:rPr>
              <w:t>甲</w:t>
            </w:r>
            <w:r>
              <w:rPr>
                <w:rFonts w:ascii="宋体" w:hAnsi="宋体" w:cs="宋体"/>
                <w:sz w:val="24"/>
              </w:rPr>
              <w:t xml:space="preserve">  </w:t>
            </w:r>
            <w:r>
              <w:rPr>
                <w:rFonts w:hint="eastAsia" w:ascii="宋体" w:hAnsi="宋体" w:cs="宋体"/>
                <w:sz w:val="24"/>
              </w:rPr>
              <w:t>方</w:t>
            </w:r>
          </w:p>
        </w:tc>
        <w:tc>
          <w:tcPr>
            <w:tcW w:w="4202" w:type="dxa"/>
            <w:vAlign w:val="center"/>
          </w:tcPr>
          <w:p w14:paraId="27D62A4A">
            <w:pPr>
              <w:spacing w:line="240" w:lineRule="auto"/>
              <w:ind w:firstLine="480" w:firstLineChars="200"/>
              <w:rPr>
                <w:rFonts w:ascii="宋体"/>
                <w:sz w:val="24"/>
              </w:rPr>
            </w:pPr>
            <w:r>
              <w:rPr>
                <w:rFonts w:hint="eastAsia" w:ascii="宋体" w:hAnsi="宋体" w:cs="宋体"/>
                <w:sz w:val="24"/>
              </w:rPr>
              <w:t>乙</w:t>
            </w:r>
            <w:r>
              <w:rPr>
                <w:rFonts w:ascii="宋体" w:hAnsi="宋体" w:cs="宋体"/>
                <w:sz w:val="24"/>
              </w:rPr>
              <w:t xml:space="preserve">  </w:t>
            </w:r>
            <w:r>
              <w:rPr>
                <w:rFonts w:hint="eastAsia" w:ascii="宋体" w:hAnsi="宋体" w:cs="宋体"/>
                <w:sz w:val="24"/>
              </w:rPr>
              <w:t>方</w:t>
            </w:r>
          </w:p>
        </w:tc>
      </w:tr>
      <w:tr w14:paraId="445E79D0">
        <w:tblPrEx>
          <w:tblCellMar>
            <w:top w:w="0" w:type="dxa"/>
            <w:left w:w="108" w:type="dxa"/>
            <w:bottom w:w="0" w:type="dxa"/>
            <w:right w:w="108" w:type="dxa"/>
          </w:tblCellMar>
        </w:tblPrEx>
        <w:trPr>
          <w:trHeight w:val="454" w:hRule="atLeast"/>
        </w:trPr>
        <w:tc>
          <w:tcPr>
            <w:tcW w:w="4201" w:type="dxa"/>
            <w:vAlign w:val="center"/>
          </w:tcPr>
          <w:p w14:paraId="1ECE1530">
            <w:pPr>
              <w:spacing w:line="240" w:lineRule="auto"/>
              <w:ind w:firstLine="480" w:firstLineChars="200"/>
              <w:rPr>
                <w:rFonts w:ascii="宋体"/>
                <w:sz w:val="24"/>
              </w:rPr>
            </w:pPr>
            <w:r>
              <w:rPr>
                <w:rFonts w:hint="eastAsia" w:ascii="宋体" w:hAnsi="宋体" w:cs="宋体"/>
                <w:sz w:val="24"/>
              </w:rPr>
              <w:t>（盖章）</w:t>
            </w:r>
          </w:p>
        </w:tc>
        <w:tc>
          <w:tcPr>
            <w:tcW w:w="4202" w:type="dxa"/>
            <w:vAlign w:val="center"/>
          </w:tcPr>
          <w:p w14:paraId="52F9C966">
            <w:pPr>
              <w:spacing w:line="240" w:lineRule="auto"/>
              <w:ind w:firstLine="480" w:firstLineChars="200"/>
              <w:rPr>
                <w:rFonts w:ascii="宋体"/>
                <w:sz w:val="24"/>
              </w:rPr>
            </w:pPr>
            <w:r>
              <w:rPr>
                <w:rFonts w:hint="eastAsia" w:ascii="宋体" w:hAnsi="宋体" w:cs="宋体"/>
                <w:sz w:val="24"/>
              </w:rPr>
              <w:t>（盖章）</w:t>
            </w:r>
          </w:p>
        </w:tc>
      </w:tr>
      <w:tr w14:paraId="4C9F99B3">
        <w:tblPrEx>
          <w:tblCellMar>
            <w:top w:w="0" w:type="dxa"/>
            <w:left w:w="108" w:type="dxa"/>
            <w:bottom w:w="0" w:type="dxa"/>
            <w:right w:w="108" w:type="dxa"/>
          </w:tblCellMar>
        </w:tblPrEx>
        <w:trPr>
          <w:trHeight w:val="454" w:hRule="atLeast"/>
        </w:trPr>
        <w:tc>
          <w:tcPr>
            <w:tcW w:w="4201" w:type="dxa"/>
            <w:vAlign w:val="center"/>
          </w:tcPr>
          <w:p w14:paraId="03FCE023">
            <w:pPr>
              <w:spacing w:line="240" w:lineRule="auto"/>
              <w:ind w:firstLine="480" w:firstLineChars="200"/>
              <w:rPr>
                <w:rFonts w:ascii="宋体" w:hAnsi="宋体" w:cs="宋体"/>
                <w:sz w:val="24"/>
              </w:rPr>
            </w:pPr>
            <w:r>
              <w:rPr>
                <w:rFonts w:hint="eastAsia" w:ascii="宋体" w:hAnsi="宋体" w:cs="宋体"/>
                <w:sz w:val="24"/>
              </w:rPr>
              <w:t>地址：</w:t>
            </w:r>
            <w:r>
              <w:rPr>
                <w:rFonts w:ascii="宋体" w:hAnsi="宋体" w:cs="宋体"/>
                <w:sz w:val="24"/>
              </w:rPr>
              <w:t xml:space="preserve"> </w:t>
            </w:r>
          </w:p>
        </w:tc>
        <w:tc>
          <w:tcPr>
            <w:tcW w:w="4202" w:type="dxa"/>
            <w:vAlign w:val="center"/>
          </w:tcPr>
          <w:p w14:paraId="4E5C1280">
            <w:pPr>
              <w:spacing w:line="240" w:lineRule="auto"/>
              <w:ind w:firstLine="480" w:firstLineChars="200"/>
              <w:rPr>
                <w:rFonts w:ascii="宋体"/>
                <w:sz w:val="24"/>
              </w:rPr>
            </w:pPr>
            <w:r>
              <w:rPr>
                <w:rFonts w:hint="eastAsia" w:ascii="宋体" w:hAnsi="宋体" w:cs="宋体"/>
                <w:sz w:val="24"/>
              </w:rPr>
              <w:t>地址：</w:t>
            </w:r>
          </w:p>
        </w:tc>
      </w:tr>
      <w:tr w14:paraId="739699A9">
        <w:tblPrEx>
          <w:tblCellMar>
            <w:top w:w="0" w:type="dxa"/>
            <w:left w:w="108" w:type="dxa"/>
            <w:bottom w:w="0" w:type="dxa"/>
            <w:right w:w="108" w:type="dxa"/>
          </w:tblCellMar>
        </w:tblPrEx>
        <w:trPr>
          <w:trHeight w:val="454" w:hRule="atLeast"/>
        </w:trPr>
        <w:tc>
          <w:tcPr>
            <w:tcW w:w="4201" w:type="dxa"/>
            <w:vAlign w:val="center"/>
          </w:tcPr>
          <w:p w14:paraId="4D962C5A">
            <w:pPr>
              <w:spacing w:line="240" w:lineRule="auto"/>
              <w:ind w:firstLine="480" w:firstLineChars="200"/>
              <w:rPr>
                <w:rFonts w:ascii="宋体"/>
                <w:sz w:val="24"/>
              </w:rPr>
            </w:pPr>
            <w:r>
              <w:rPr>
                <w:rFonts w:hint="eastAsia" w:ascii="宋体" w:hAnsi="宋体" w:cs="宋体"/>
                <w:sz w:val="24"/>
              </w:rPr>
              <w:t>邮编：</w:t>
            </w:r>
          </w:p>
        </w:tc>
        <w:tc>
          <w:tcPr>
            <w:tcW w:w="4202" w:type="dxa"/>
            <w:vAlign w:val="center"/>
          </w:tcPr>
          <w:p w14:paraId="69FA3286">
            <w:pPr>
              <w:spacing w:line="240" w:lineRule="auto"/>
              <w:ind w:firstLine="480" w:firstLineChars="200"/>
              <w:rPr>
                <w:rFonts w:ascii="宋体"/>
                <w:sz w:val="24"/>
              </w:rPr>
            </w:pPr>
            <w:r>
              <w:rPr>
                <w:rFonts w:hint="eastAsia" w:ascii="宋体" w:hAnsi="宋体" w:cs="宋体"/>
                <w:sz w:val="24"/>
              </w:rPr>
              <w:t>邮编：</w:t>
            </w:r>
          </w:p>
        </w:tc>
      </w:tr>
      <w:tr w14:paraId="2B6A9C50">
        <w:tblPrEx>
          <w:tblCellMar>
            <w:top w:w="0" w:type="dxa"/>
            <w:left w:w="108" w:type="dxa"/>
            <w:bottom w:w="0" w:type="dxa"/>
            <w:right w:w="108" w:type="dxa"/>
          </w:tblCellMar>
        </w:tblPrEx>
        <w:trPr>
          <w:trHeight w:val="454" w:hRule="atLeast"/>
        </w:trPr>
        <w:tc>
          <w:tcPr>
            <w:tcW w:w="4201" w:type="dxa"/>
            <w:vAlign w:val="center"/>
          </w:tcPr>
          <w:p w14:paraId="4CB8305C">
            <w:pPr>
              <w:spacing w:line="240" w:lineRule="auto"/>
              <w:ind w:firstLine="480" w:firstLineChars="200"/>
              <w:rPr>
                <w:rFonts w:ascii="宋体" w:hAnsi="宋体" w:cs="宋体"/>
                <w:sz w:val="24"/>
              </w:rPr>
            </w:pPr>
            <w:r>
              <w:rPr>
                <w:rFonts w:hint="eastAsia" w:ascii="宋体" w:hAnsi="宋体" w:cs="宋体"/>
                <w:sz w:val="24"/>
              </w:rPr>
              <w:t>法定代表人：</w:t>
            </w:r>
            <w:r>
              <w:rPr>
                <w:rFonts w:ascii="宋体" w:hAnsi="宋体" w:cs="宋体"/>
                <w:sz w:val="24"/>
              </w:rPr>
              <w:t xml:space="preserve"> </w:t>
            </w:r>
          </w:p>
        </w:tc>
        <w:tc>
          <w:tcPr>
            <w:tcW w:w="4202" w:type="dxa"/>
            <w:vAlign w:val="center"/>
          </w:tcPr>
          <w:p w14:paraId="6E244695">
            <w:pPr>
              <w:spacing w:line="240" w:lineRule="auto"/>
              <w:ind w:firstLine="480" w:firstLineChars="200"/>
              <w:rPr>
                <w:rFonts w:ascii="宋体"/>
                <w:sz w:val="24"/>
              </w:rPr>
            </w:pPr>
            <w:r>
              <w:rPr>
                <w:rFonts w:hint="eastAsia" w:ascii="宋体" w:hAnsi="宋体" w:cs="宋体"/>
                <w:sz w:val="24"/>
              </w:rPr>
              <w:t>法定代表人：</w:t>
            </w:r>
          </w:p>
        </w:tc>
      </w:tr>
      <w:tr w14:paraId="46A0F9AA">
        <w:tblPrEx>
          <w:tblCellMar>
            <w:top w:w="0" w:type="dxa"/>
            <w:left w:w="108" w:type="dxa"/>
            <w:bottom w:w="0" w:type="dxa"/>
            <w:right w:w="108" w:type="dxa"/>
          </w:tblCellMar>
        </w:tblPrEx>
        <w:trPr>
          <w:trHeight w:val="454" w:hRule="atLeast"/>
        </w:trPr>
        <w:tc>
          <w:tcPr>
            <w:tcW w:w="4201" w:type="dxa"/>
            <w:vAlign w:val="center"/>
          </w:tcPr>
          <w:p w14:paraId="3F398C93">
            <w:pPr>
              <w:spacing w:line="240" w:lineRule="auto"/>
              <w:ind w:firstLine="480" w:firstLineChars="200"/>
              <w:rPr>
                <w:rFonts w:ascii="宋体"/>
                <w:sz w:val="24"/>
              </w:rPr>
            </w:pPr>
            <w:r>
              <w:rPr>
                <w:rFonts w:hint="eastAsia" w:ascii="宋体" w:hAnsi="宋体" w:cs="宋体"/>
                <w:sz w:val="24"/>
              </w:rPr>
              <w:t>委托代理人：</w:t>
            </w:r>
          </w:p>
        </w:tc>
        <w:tc>
          <w:tcPr>
            <w:tcW w:w="4202" w:type="dxa"/>
            <w:vAlign w:val="center"/>
          </w:tcPr>
          <w:p w14:paraId="2B4958B2">
            <w:pPr>
              <w:spacing w:line="240" w:lineRule="auto"/>
              <w:ind w:firstLine="480" w:firstLineChars="200"/>
              <w:rPr>
                <w:rFonts w:ascii="宋体"/>
                <w:sz w:val="24"/>
              </w:rPr>
            </w:pPr>
            <w:r>
              <w:rPr>
                <w:rFonts w:hint="eastAsia" w:ascii="宋体" w:hAnsi="宋体" w:cs="宋体"/>
                <w:sz w:val="24"/>
              </w:rPr>
              <w:t>委托代理人：</w:t>
            </w:r>
          </w:p>
        </w:tc>
      </w:tr>
      <w:tr w14:paraId="3D533573">
        <w:tblPrEx>
          <w:tblCellMar>
            <w:top w:w="0" w:type="dxa"/>
            <w:left w:w="108" w:type="dxa"/>
            <w:bottom w:w="0" w:type="dxa"/>
            <w:right w:w="108" w:type="dxa"/>
          </w:tblCellMar>
        </w:tblPrEx>
        <w:trPr>
          <w:trHeight w:val="454" w:hRule="atLeast"/>
        </w:trPr>
        <w:tc>
          <w:tcPr>
            <w:tcW w:w="4201" w:type="dxa"/>
            <w:vAlign w:val="center"/>
          </w:tcPr>
          <w:p w14:paraId="6F37AF30">
            <w:pPr>
              <w:spacing w:line="240" w:lineRule="auto"/>
              <w:ind w:firstLine="480" w:firstLineChars="200"/>
              <w:rPr>
                <w:rFonts w:ascii="宋体"/>
                <w:sz w:val="24"/>
              </w:rPr>
            </w:pPr>
            <w:r>
              <w:rPr>
                <w:rFonts w:hint="eastAsia" w:ascii="宋体" w:hAnsi="宋体" w:cs="宋体"/>
                <w:sz w:val="24"/>
              </w:rPr>
              <w:t>电话：</w:t>
            </w:r>
          </w:p>
        </w:tc>
        <w:tc>
          <w:tcPr>
            <w:tcW w:w="4202" w:type="dxa"/>
            <w:vAlign w:val="center"/>
          </w:tcPr>
          <w:p w14:paraId="4E2D715D">
            <w:pPr>
              <w:spacing w:line="240" w:lineRule="auto"/>
              <w:ind w:firstLine="480" w:firstLineChars="200"/>
              <w:rPr>
                <w:rFonts w:ascii="宋体"/>
                <w:sz w:val="24"/>
              </w:rPr>
            </w:pPr>
            <w:r>
              <w:rPr>
                <w:rFonts w:hint="eastAsia" w:ascii="宋体" w:hAnsi="宋体" w:cs="宋体"/>
                <w:sz w:val="24"/>
              </w:rPr>
              <w:t>电话：</w:t>
            </w:r>
          </w:p>
        </w:tc>
      </w:tr>
      <w:tr w14:paraId="28A7E161">
        <w:tblPrEx>
          <w:tblCellMar>
            <w:top w:w="0" w:type="dxa"/>
            <w:left w:w="108" w:type="dxa"/>
            <w:bottom w:w="0" w:type="dxa"/>
            <w:right w:w="108" w:type="dxa"/>
          </w:tblCellMar>
        </w:tblPrEx>
        <w:trPr>
          <w:trHeight w:val="454" w:hRule="atLeast"/>
        </w:trPr>
        <w:tc>
          <w:tcPr>
            <w:tcW w:w="4201" w:type="dxa"/>
            <w:vAlign w:val="center"/>
          </w:tcPr>
          <w:p w14:paraId="00C2DF55">
            <w:pPr>
              <w:spacing w:line="240" w:lineRule="auto"/>
              <w:ind w:firstLine="480" w:firstLineChars="200"/>
              <w:rPr>
                <w:rFonts w:ascii="宋体"/>
                <w:sz w:val="24"/>
              </w:rPr>
            </w:pPr>
            <w:r>
              <w:rPr>
                <w:rFonts w:hint="eastAsia" w:ascii="宋体" w:hAnsi="宋体" w:cs="宋体"/>
                <w:sz w:val="24"/>
              </w:rPr>
              <w:t>传真：</w:t>
            </w:r>
          </w:p>
        </w:tc>
        <w:tc>
          <w:tcPr>
            <w:tcW w:w="4202" w:type="dxa"/>
            <w:vAlign w:val="center"/>
          </w:tcPr>
          <w:p w14:paraId="1900E5C8">
            <w:pPr>
              <w:spacing w:line="240" w:lineRule="auto"/>
              <w:ind w:firstLine="480" w:firstLineChars="200"/>
              <w:rPr>
                <w:rFonts w:ascii="宋体"/>
                <w:sz w:val="24"/>
              </w:rPr>
            </w:pPr>
            <w:r>
              <w:rPr>
                <w:rFonts w:hint="eastAsia" w:ascii="宋体" w:hAnsi="宋体" w:cs="宋体"/>
                <w:sz w:val="24"/>
              </w:rPr>
              <w:t>传真：</w:t>
            </w:r>
          </w:p>
        </w:tc>
      </w:tr>
      <w:tr w14:paraId="214EBCBC">
        <w:tblPrEx>
          <w:tblCellMar>
            <w:top w:w="0" w:type="dxa"/>
            <w:left w:w="108" w:type="dxa"/>
            <w:bottom w:w="0" w:type="dxa"/>
            <w:right w:w="108" w:type="dxa"/>
          </w:tblCellMar>
        </w:tblPrEx>
        <w:trPr>
          <w:trHeight w:val="454" w:hRule="atLeast"/>
        </w:trPr>
        <w:tc>
          <w:tcPr>
            <w:tcW w:w="4201" w:type="dxa"/>
            <w:vAlign w:val="center"/>
          </w:tcPr>
          <w:p w14:paraId="0135C6D7">
            <w:pPr>
              <w:spacing w:line="240" w:lineRule="auto"/>
              <w:ind w:firstLine="480" w:firstLineChars="200"/>
              <w:rPr>
                <w:rFonts w:ascii="宋体"/>
                <w:sz w:val="24"/>
              </w:rPr>
            </w:pPr>
            <w:r>
              <w:rPr>
                <w:rFonts w:hint="eastAsia" w:ascii="宋体" w:hAnsi="宋体" w:cs="宋体"/>
                <w:sz w:val="24"/>
              </w:rPr>
              <w:t>开户银行：</w:t>
            </w:r>
          </w:p>
        </w:tc>
        <w:tc>
          <w:tcPr>
            <w:tcW w:w="4202" w:type="dxa"/>
            <w:vAlign w:val="center"/>
          </w:tcPr>
          <w:p w14:paraId="031E0955">
            <w:pPr>
              <w:spacing w:line="240" w:lineRule="auto"/>
              <w:ind w:firstLine="480" w:firstLineChars="200"/>
              <w:rPr>
                <w:rFonts w:ascii="宋体"/>
                <w:sz w:val="24"/>
              </w:rPr>
            </w:pPr>
            <w:r>
              <w:rPr>
                <w:rFonts w:hint="eastAsia" w:ascii="宋体" w:hAnsi="宋体" w:cs="宋体"/>
                <w:sz w:val="24"/>
              </w:rPr>
              <w:t>开户银行：</w:t>
            </w:r>
          </w:p>
        </w:tc>
      </w:tr>
      <w:tr w14:paraId="5BEEC20A">
        <w:tblPrEx>
          <w:tblCellMar>
            <w:top w:w="0" w:type="dxa"/>
            <w:left w:w="108" w:type="dxa"/>
            <w:bottom w:w="0" w:type="dxa"/>
            <w:right w:w="108" w:type="dxa"/>
          </w:tblCellMar>
        </w:tblPrEx>
        <w:trPr>
          <w:trHeight w:val="454" w:hRule="atLeast"/>
        </w:trPr>
        <w:tc>
          <w:tcPr>
            <w:tcW w:w="4201" w:type="dxa"/>
            <w:vAlign w:val="center"/>
          </w:tcPr>
          <w:p w14:paraId="10095FC1">
            <w:pPr>
              <w:spacing w:line="240" w:lineRule="auto"/>
              <w:ind w:firstLine="480" w:firstLineChars="200"/>
              <w:rPr>
                <w:rFonts w:ascii="宋体"/>
                <w:sz w:val="24"/>
              </w:rPr>
            </w:pPr>
            <w:r>
              <w:rPr>
                <w:rFonts w:hint="eastAsia" w:ascii="宋体" w:hAnsi="宋体" w:cs="宋体"/>
                <w:sz w:val="24"/>
              </w:rPr>
              <w:t>日期：</w:t>
            </w:r>
          </w:p>
        </w:tc>
        <w:tc>
          <w:tcPr>
            <w:tcW w:w="4202" w:type="dxa"/>
            <w:vAlign w:val="center"/>
          </w:tcPr>
          <w:p w14:paraId="472842EA">
            <w:pPr>
              <w:spacing w:line="240" w:lineRule="auto"/>
              <w:ind w:firstLine="480" w:firstLineChars="200"/>
              <w:rPr>
                <w:rFonts w:ascii="宋体"/>
                <w:sz w:val="24"/>
              </w:rPr>
            </w:pPr>
            <w:r>
              <w:rPr>
                <w:rFonts w:hint="eastAsia" w:ascii="宋体" w:hAnsi="宋体" w:cs="宋体"/>
                <w:sz w:val="24"/>
              </w:rPr>
              <w:t>日期：</w:t>
            </w:r>
          </w:p>
        </w:tc>
      </w:tr>
    </w:tbl>
    <w:p w14:paraId="05D463A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325E5A"/>
    <w:rsid w:val="00C03A63"/>
    <w:rsid w:val="3351443E"/>
    <w:rsid w:val="6032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Plain Text"/>
    <w:basedOn w:val="1"/>
    <w:next w:val="1"/>
    <w:qFormat/>
    <w:uiPriority w:val="0"/>
    <w:rPr>
      <w:rFonts w:ascii="宋体" w:hAnsi="Courier New" w:cs="Courier New"/>
      <w:szCs w:val="21"/>
    </w:rPr>
  </w:style>
  <w:style w:type="paragraph" w:styleId="6">
    <w:name w:val="List Paragraph"/>
    <w:basedOn w:val="1"/>
    <w:autoRedefine/>
    <w:qFormat/>
    <w:uiPriority w:val="0"/>
    <w:pPr>
      <w:widowControl/>
      <w:spacing w:line="240" w:lineRule="auto"/>
      <w:ind w:left="720"/>
      <w:contextualSpacing/>
      <w:jc w:val="left"/>
    </w:pPr>
    <w:rPr>
      <w:rFonts w:ascii="Calibri" w:hAnsi="Calibri"/>
      <w:kern w:val="0"/>
      <w:sz w:val="24"/>
      <w:lang w:eastAsia="en-US" w:bidi="en-US"/>
    </w:rPr>
  </w:style>
  <w:style w:type="paragraph" w:customStyle="1" w:styleId="7">
    <w:name w:val="列出段落1"/>
    <w:basedOn w:val="1"/>
    <w:autoRedefine/>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3208</Words>
  <Characters>3259</Characters>
  <Lines>0</Lines>
  <Paragraphs>0</Paragraphs>
  <TotalTime>1</TotalTime>
  <ScaleCrop>false</ScaleCrop>
  <LinksUpToDate>false</LinksUpToDate>
  <CharactersWithSpaces>3320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2026-05-08T06:57:00Z</dcterms:created>
  <dc:creator>YIN</dc:creator>
  <cp:lastModifiedBy>YIN</cp:lastModifiedBy>
  <dcterms:modified xsi:type="dcterms:W3CDTF">2026-05-08T09:26:13Z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555981B0907A4EC79DB84D462EC60F7B_11</vt:lpwstr>
  </property>
  <property fmtid="{D5CDD505-2E9C-101B-9397-08002B2CF9AE}" pid="4" name="KSOTemplateDocerSaveRecord">
    <vt:lpwstr>eyJoZGlkIjoiYWQwYWQ5ZjVkZDliOWRjNjJlYjE0ODc4ZjAzNzBkZmYiLCJ1c2VySWQiOiIyODQ1NzA0OTAifQ==</vt:lpwstr>
  </property>
</Properties>
</file>