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版本号：DQB-2026047-ZB20260716001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陕西国省道路防控体系建设项目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DQB-2026047-ZB</w:t>
      </w:r>
      <w:r>
        <w:br/>
      </w:r>
      <w:r>
        <w:br/>
      </w:r>
      <w:r>
        <w:br/>
      </w:r>
    </w:p>
    <w:p>
      <w:pPr>
        <w:pStyle w:val="null3"/>
        <w:jc w:val="center"/>
        <w:outlineLvl w:val="2"/>
      </w:pPr>
      <w:r>
        <w:rPr>
          <w:rFonts w:ascii="仿宋_GB2312" w:hAnsi="仿宋_GB2312" w:cs="仿宋_GB2312" w:eastAsia="仿宋_GB2312"/>
          <w:sz w:val="28"/>
          <w:b/>
        </w:rPr>
        <w:t>陕西省公安厅交通管理总队（交通管理局）</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陕西省公安厅交通管理总队（交通管理局）</w:t>
      </w:r>
      <w:r>
        <w:rPr>
          <w:rFonts w:ascii="仿宋_GB2312" w:hAnsi="仿宋_GB2312" w:cs="仿宋_GB2312" w:eastAsia="仿宋_GB2312"/>
        </w:rPr>
        <w:t>委托，拟对</w:t>
      </w:r>
      <w:r>
        <w:rPr>
          <w:rFonts w:ascii="仿宋_GB2312" w:hAnsi="仿宋_GB2312" w:cs="仿宋_GB2312" w:eastAsia="仿宋_GB2312"/>
        </w:rPr>
        <w:t>陕西国省道路防控体系建设项目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DQB-2026047-ZB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陕西国省道路防控体系建设项目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陕西国省道路防控体系建设项目及监理服务。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同时需投标人提供资信证明出具银行为基本户开户银行的承诺函或开户许可证等证明材料），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8、书面声明：提供书面声明，包括声明具有履行合同所必需的设备和专业技术能力；未为本项目提供整体设计、规范编制或者项目管理、监理、检测等服务。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pPr>
      <w:r>
        <w:rPr>
          <w:rFonts w:ascii="仿宋_GB2312" w:hAnsi="仿宋_GB2312" w:cs="仿宋_GB2312" w:eastAsia="仿宋_GB2312"/>
        </w:rPr>
        <w:t>11、特殊资质要求：1.具有有效的具备电子与智能化工程专业承包二级（或以上）资质，具有有效的安全生产许可证。 2.拟派的项目经理具备机电工程专业二级（或以上）注册建造师执业资格和有效的安全生产考核合格证书（B证），且无在建工程（提供承诺，格式自拟），需提供近半年内任意一个月的社保缴纳凭证。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1、营业执照等主体资格证明文件：提供营业执照/事业单位法人证书/专业服务机构执业许可证/民办非企业单位登记证书/自然人身份证等。</w:t>
      </w:r>
    </w:p>
    <w:p>
      <w:pPr>
        <w:pStyle w:val="null3"/>
      </w:pPr>
      <w:r>
        <w:rPr>
          <w:rFonts w:ascii="仿宋_GB2312" w:hAnsi="仿宋_GB2312" w:cs="仿宋_GB2312" w:eastAsia="仿宋_GB2312"/>
        </w:rPr>
        <w:t>2、财务状况报告：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同时需投标人提供资信证明出具银行为基本户开户银行的承诺函或开户许可证等证明材料），或信用担保机构出具的投标担保函（以上三种形式的资料提供任何一种即可）。</w:t>
      </w:r>
    </w:p>
    <w:p>
      <w:pPr>
        <w:pStyle w:val="null3"/>
      </w:pPr>
      <w:r>
        <w:rPr>
          <w:rFonts w:ascii="仿宋_GB2312" w:hAnsi="仿宋_GB2312" w:cs="仿宋_GB2312" w:eastAsia="仿宋_GB2312"/>
        </w:rPr>
        <w:t>3、社保缴纳证明：提供递交投标文件截止之日前一年内任意一个月的社会保障资金缴存单据或社保机构开具的社会保险参保缴费情况证明。依法不需要缴纳社会保障资金的投标供应商应提供相关文件证明。</w:t>
      </w:r>
    </w:p>
    <w:p>
      <w:pPr>
        <w:pStyle w:val="null3"/>
      </w:pPr>
      <w:r>
        <w:rPr>
          <w:rFonts w:ascii="仿宋_GB2312" w:hAnsi="仿宋_GB2312" w:cs="仿宋_GB2312" w:eastAsia="仿宋_GB2312"/>
        </w:rPr>
        <w:t>4、税收缴纳证明：提供递交投标文件截止之日前一年内任意一个月的依法缴纳税收的相关凭据，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5、近三年无重大违法、违纪书面声明：提供《近三年无重大违法、违纪书面声明》。</w:t>
      </w:r>
    </w:p>
    <w:p>
      <w:pPr>
        <w:pStyle w:val="null3"/>
      </w:pPr>
      <w:r>
        <w:rPr>
          <w:rFonts w:ascii="仿宋_GB2312" w:hAnsi="仿宋_GB2312" w:cs="仿宋_GB2312" w:eastAsia="仿宋_GB2312"/>
        </w:rPr>
        <w:t>6、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7、控股管理关系：提供直接控股和管理关系清单。若与其他投标供应商存在单位负责人为同一人或者存在直接控股、管理关系的，则投标无效。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8、书面声明：提供书面声明，包括声明具有履行合同所必需的设备和专业技术能力；未为本项目提供整体设计、规范编制或者项目管理、检测等服务。</w:t>
      </w:r>
    </w:p>
    <w:p>
      <w:pPr>
        <w:pStyle w:val="null3"/>
      </w:pPr>
      <w:r>
        <w:rPr>
          <w:rFonts w:ascii="仿宋_GB2312" w:hAnsi="仿宋_GB2312" w:cs="仿宋_GB2312" w:eastAsia="仿宋_GB2312"/>
        </w:rPr>
        <w:t>9、法定代表人授权委托书：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陕西省公安厅交通管理总队（交通管理局）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西安市雁塔区长安南路123号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房老师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029-87680093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姜仕路、李寅辰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采购包1：13,601,040.00元</w:t>
            </w:r>
          </w:p>
          <w:p>
            <w:pPr>
              <w:pStyle w:val="null3"/>
            </w:pPr>
            <w:r>
              <w:rPr>
                <w:rFonts w:ascii="仿宋_GB2312" w:hAnsi="仿宋_GB2312" w:cs="仿宋_GB2312" w:eastAsia="仿宋_GB2312"/>
              </w:rPr>
              <w:t>采购包2：120,000.00元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采购包1保证金金额：272,000.00元</w:t>
            </w:r>
          </w:p>
          <w:p>
            <w:pPr>
              <w:pStyle w:val="null3"/>
            </w:pPr>
            <w:r>
              <w:rPr>
                <w:rFonts w:ascii="仿宋_GB2312" w:hAnsi="仿宋_GB2312" w:cs="仿宋_GB2312" w:eastAsia="仿宋_GB2312"/>
              </w:rPr>
              <w:t>采购包2保证金金额：2,400.00元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银行账号：52880188000164794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差额累计法计算（不足伍仟按伍仟计取）。中标金额100万及以下，按照费率1.5%计取；中标金额100万-500万，按照费率1.1%计取；中标金额500万-1000万，按照费率0.8%计取；中标金额1000万-5000万，按照费率0.5%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陕西省公安厅交通管理总队（交通管理局）</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陕西省公安厅交通管理总队（交通管理局）</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陕西省公安厅交通管理总队（交通管理局）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或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政府采购合同的履行、违约责任和解决争议的方法等适用《中华人民共和国民法典》。采购人按照政府采购合同规定的技术、服务、安全标准组织对供应商履约情况进行验收，并出具验收书。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联系人：姜仕路、李寅辰</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陕西国省道路防控体系建设项目及监理服务。</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13,601,040.00</w:t>
      </w:r>
    </w:p>
    <w:p>
      <w:pPr>
        <w:pStyle w:val="null3"/>
      </w:pPr>
      <w:r>
        <w:rPr>
          <w:rFonts w:ascii="仿宋_GB2312" w:hAnsi="仿宋_GB2312" w:cs="仿宋_GB2312" w:eastAsia="仿宋_GB2312"/>
        </w:rPr>
        <w:t>采购包最高限价（元）: 13,601,040.00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陕西国省道路防控体系建设项目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13,601,040.00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120,000.00</w:t>
      </w:r>
    </w:p>
    <w:p>
      <w:pPr>
        <w:pStyle w:val="null3"/>
      </w:pPr>
      <w:r>
        <w:rPr>
          <w:rFonts w:ascii="仿宋_GB2312" w:hAnsi="仿宋_GB2312" w:cs="仿宋_GB2312" w:eastAsia="仿宋_GB2312"/>
        </w:rPr>
        <w:t>采购包最高限价（元）: 120,000.00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陕西国省道路防控体系建设项目监理服务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标的名称：陕西国省道路防控体系建设项目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pPr>
            <w:r>
              <w:rPr>
                <w:rFonts w:ascii="仿宋_GB2312" w:hAnsi="仿宋_GB2312" w:cs="仿宋_GB2312" w:eastAsia="仿宋_GB2312"/>
                <w:sz w:val="21"/>
                <w:b/>
              </w:rPr>
              <w:t>一、项目概况</w:t>
            </w:r>
          </w:p>
          <w:p>
            <w:pPr>
              <w:pStyle w:val="null3"/>
              <w:ind w:firstLine="422"/>
            </w:pPr>
            <w:r>
              <w:rPr>
                <w:rFonts w:ascii="仿宋_GB2312" w:hAnsi="仿宋_GB2312" w:cs="仿宋_GB2312" w:eastAsia="仿宋_GB2312"/>
                <w:sz w:val="21"/>
                <w:b/>
              </w:rPr>
              <w:t>1</w:t>
            </w:r>
            <w:r>
              <w:rPr>
                <w:rFonts w:ascii="仿宋_GB2312" w:hAnsi="仿宋_GB2312" w:cs="仿宋_GB2312" w:eastAsia="仿宋_GB2312"/>
                <w:sz w:val="21"/>
                <w:b/>
              </w:rPr>
              <w:t>.建设内容</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.1外场建设</w:t>
            </w:r>
          </w:p>
          <w:p>
            <w:pPr>
              <w:pStyle w:val="null3"/>
              <w:ind w:firstLine="420"/>
            </w:pPr>
            <w:r>
              <w:rPr>
                <w:rFonts w:ascii="仿宋_GB2312" w:hAnsi="仿宋_GB2312" w:cs="仿宋_GB2312" w:eastAsia="仿宋_GB2312"/>
                <w:sz w:val="21"/>
              </w:rPr>
              <w:t>在陕西省国省道执勤执法阵地与邻省交界的国省道省界处，建设</w:t>
            </w:r>
            <w:r>
              <w:rPr>
                <w:rFonts w:ascii="仿宋_GB2312" w:hAnsi="仿宋_GB2312" w:cs="仿宋_GB2312" w:eastAsia="仿宋_GB2312"/>
                <w:sz w:val="21"/>
              </w:rPr>
              <w:t>143处点位；</w:t>
            </w:r>
          </w:p>
          <w:p>
            <w:pPr>
              <w:pStyle w:val="null3"/>
              <w:ind w:firstLine="420"/>
            </w:pPr>
            <w:r>
              <w:rPr>
                <w:rFonts w:ascii="仿宋_GB2312" w:hAnsi="仿宋_GB2312" w:cs="仿宋_GB2312" w:eastAsia="仿宋_GB2312"/>
                <w:sz w:val="21"/>
              </w:rPr>
              <w:t>前端点位采集的数据实时上传至省公安厅交管总队</w:t>
            </w:r>
            <w:r>
              <w:rPr>
                <w:rFonts w:ascii="仿宋_GB2312" w:hAnsi="仿宋_GB2312" w:cs="仿宋_GB2312" w:eastAsia="仿宋_GB2312"/>
                <w:sz w:val="21"/>
              </w:rPr>
              <w:t>/地市支队已建平台。其中过车、违法数据汇聚到支队专网平台，过边界推送至支队公安交通集成指挥平台，支撑稽查布控、违法处置等业务；过车、司乘人脸数据汇聚到支队专网平台，推送至总队专网实战指挥平台，在总队完成汇聚后，通过安全边界推送至公安信息网实战指挥平台，开展涉证人脸研判业务。</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.2中心建设</w:t>
            </w:r>
          </w:p>
          <w:p>
            <w:pPr>
              <w:pStyle w:val="null3"/>
              <w:ind w:firstLine="420"/>
            </w:pPr>
            <w:r>
              <w:rPr>
                <w:rFonts w:ascii="仿宋_GB2312" w:hAnsi="仿宋_GB2312" w:cs="仿宋_GB2312" w:eastAsia="仿宋_GB2312"/>
                <w:sz w:val="21"/>
              </w:rPr>
              <w:t>扩展中心卡口接入服务器、存储服务器等硬件设备。</w:t>
            </w:r>
          </w:p>
          <w:p>
            <w:pPr>
              <w:pStyle w:val="null3"/>
              <w:ind w:firstLine="420"/>
            </w:pPr>
            <w:r>
              <w:rPr>
                <w:rFonts w:ascii="仿宋_GB2312" w:hAnsi="仿宋_GB2312" w:cs="仿宋_GB2312" w:eastAsia="仿宋_GB2312"/>
                <w:sz w:val="21"/>
              </w:rPr>
              <w:t>1</w:t>
            </w:r>
            <w:r>
              <w:rPr>
                <w:rFonts w:ascii="仿宋_GB2312" w:hAnsi="仿宋_GB2312" w:cs="仿宋_GB2312" w:eastAsia="仿宋_GB2312"/>
                <w:sz w:val="21"/>
              </w:rPr>
              <w:t>.3应用系统利旧</w:t>
            </w:r>
          </w:p>
          <w:p>
            <w:pPr>
              <w:pStyle w:val="null3"/>
              <w:ind w:firstLine="420"/>
            </w:pPr>
            <w:r>
              <w:rPr>
                <w:rFonts w:ascii="仿宋_GB2312" w:hAnsi="仿宋_GB2312" w:cs="仿宋_GB2312" w:eastAsia="仿宋_GB2312"/>
                <w:sz w:val="21"/>
              </w:rPr>
              <w:t>利旧省公安厅交管总队已建</w:t>
            </w:r>
            <w:r>
              <w:rPr>
                <w:rFonts w:ascii="仿宋_GB2312" w:hAnsi="仿宋_GB2312" w:cs="仿宋_GB2312" w:eastAsia="仿宋_GB2312"/>
                <w:sz w:val="21"/>
              </w:rPr>
              <w:t>“情指行一体化实战指挥平台”和“公安交管数据中台”，实现抓拍的车辆违法数据与车辆登记信息、违法库自动比对，生成预警信息。</w:t>
            </w:r>
          </w:p>
          <w:p>
            <w:pPr>
              <w:pStyle w:val="null3"/>
              <w:ind w:firstLine="422"/>
            </w:pPr>
            <w:r>
              <w:rPr>
                <w:rFonts w:ascii="仿宋_GB2312" w:hAnsi="仿宋_GB2312" w:cs="仿宋_GB2312" w:eastAsia="仿宋_GB2312"/>
                <w:sz w:val="21"/>
                <w:b/>
              </w:rPr>
              <w:t>2</w:t>
            </w:r>
            <w:r>
              <w:rPr>
                <w:rFonts w:ascii="仿宋_GB2312" w:hAnsi="仿宋_GB2312" w:cs="仿宋_GB2312" w:eastAsia="仿宋_GB2312"/>
                <w:sz w:val="21"/>
                <w:b/>
              </w:rPr>
              <w:t>.建设规模</w:t>
            </w:r>
          </w:p>
          <w:p>
            <w:pPr>
              <w:pStyle w:val="null3"/>
              <w:ind w:firstLine="420"/>
            </w:pPr>
            <w:r>
              <w:rPr>
                <w:rFonts w:ascii="仿宋_GB2312" w:hAnsi="仿宋_GB2312" w:cs="仿宋_GB2312" w:eastAsia="仿宋_GB2312"/>
                <w:sz w:val="21"/>
              </w:rPr>
              <w:t>建设</w:t>
            </w:r>
            <w:r>
              <w:rPr>
                <w:rFonts w:ascii="仿宋_GB2312" w:hAnsi="仿宋_GB2312" w:cs="仿宋_GB2312" w:eastAsia="仿宋_GB2312"/>
                <w:sz w:val="21"/>
              </w:rPr>
              <w:t>143处国省道卡口系统，其中78处点位利旧112根杆件，65处点位新建67根杆件；</w:t>
            </w:r>
          </w:p>
          <w:p>
            <w:pPr>
              <w:pStyle w:val="null3"/>
              <w:ind w:firstLine="422"/>
            </w:pPr>
            <w:r>
              <w:rPr>
                <w:rFonts w:ascii="仿宋_GB2312" w:hAnsi="仿宋_GB2312" w:cs="仿宋_GB2312" w:eastAsia="仿宋_GB2312"/>
                <w:sz w:val="21"/>
                <w:b/>
              </w:rPr>
              <w:t>3</w:t>
            </w:r>
            <w:r>
              <w:rPr>
                <w:rFonts w:ascii="仿宋_GB2312" w:hAnsi="仿宋_GB2312" w:cs="仿宋_GB2312" w:eastAsia="仿宋_GB2312"/>
                <w:sz w:val="21"/>
                <w:b/>
              </w:rPr>
              <w:t>.建设周期</w:t>
            </w:r>
          </w:p>
          <w:p>
            <w:pPr>
              <w:pStyle w:val="null3"/>
              <w:ind w:firstLine="420"/>
            </w:pPr>
            <w:r>
              <w:rPr>
                <w:rFonts w:ascii="仿宋_GB2312" w:hAnsi="仿宋_GB2312" w:cs="仿宋_GB2312" w:eastAsia="仿宋_GB2312"/>
                <w:sz w:val="21"/>
              </w:rPr>
              <w:t>合同签订之日起</w:t>
            </w:r>
            <w:r>
              <w:rPr>
                <w:rFonts w:ascii="仿宋_GB2312" w:hAnsi="仿宋_GB2312" w:cs="仿宋_GB2312" w:eastAsia="仿宋_GB2312"/>
                <w:sz w:val="21"/>
              </w:rPr>
              <w:t>8</w:t>
            </w:r>
            <w:r>
              <w:rPr>
                <w:rFonts w:ascii="仿宋_GB2312" w:hAnsi="仿宋_GB2312" w:cs="仿宋_GB2312" w:eastAsia="仿宋_GB2312"/>
                <w:sz w:val="21"/>
              </w:rPr>
              <w:t>个月内</w:t>
            </w:r>
            <w:r>
              <w:rPr>
                <w:rFonts w:ascii="仿宋_GB2312" w:hAnsi="仿宋_GB2312" w:cs="仿宋_GB2312" w:eastAsia="仿宋_GB2312"/>
                <w:sz w:val="21"/>
              </w:rPr>
              <w:t>。</w:t>
            </w:r>
          </w:p>
          <w:p>
            <w:pPr>
              <w:pStyle w:val="null3"/>
              <w:ind w:firstLine="422"/>
            </w:pPr>
            <w:r>
              <w:rPr>
                <w:rFonts w:ascii="仿宋_GB2312" w:hAnsi="仿宋_GB2312" w:cs="仿宋_GB2312" w:eastAsia="仿宋_GB2312"/>
                <w:sz w:val="21"/>
                <w:b/>
              </w:rPr>
              <w:t>二、点位明细</w:t>
            </w:r>
          </w:p>
          <w:p>
            <w:pPr>
              <w:pStyle w:val="null3"/>
              <w:ind w:firstLine="420"/>
            </w:pPr>
            <w:r>
              <w:rPr>
                <w:rFonts w:ascii="仿宋_GB2312" w:hAnsi="仿宋_GB2312" w:cs="仿宋_GB2312" w:eastAsia="仿宋_GB2312"/>
                <w:sz w:val="21"/>
              </w:rPr>
              <w:t>2.1安康市国省道点位</w:t>
            </w:r>
          </w:p>
          <w:p>
            <w:pPr>
              <w:pStyle w:val="null3"/>
              <w:ind w:firstLine="420"/>
            </w:pPr>
            <w:r>
              <w:rPr>
                <w:rFonts w:ascii="仿宋_GB2312" w:hAnsi="仿宋_GB2312" w:cs="仿宋_GB2312" w:eastAsia="仿宋_GB2312"/>
                <w:sz w:val="21"/>
              </w:rPr>
              <w:t>安康市国省道拟建设</w:t>
            </w:r>
            <w:r>
              <w:rPr>
                <w:rFonts w:ascii="仿宋_GB2312" w:hAnsi="仿宋_GB2312" w:cs="仿宋_GB2312" w:eastAsia="仿宋_GB2312"/>
                <w:sz w:val="21"/>
              </w:rPr>
              <w:t>11处点位，其中6处点位杆件利旧，5处点位需新建杆件。</w:t>
            </w:r>
          </w:p>
          <w:tbl>
            <w:tblPr>
              <w:tblBorders>
                <w:top w:val="none" w:color="000000" w:sz="4"/>
                <w:left w:val="none" w:color="000000" w:sz="4"/>
                <w:bottom w:val="none" w:color="000000" w:sz="4"/>
                <w:right w:val="none" w:color="000000" w:sz="4"/>
                <w:insideH w:val="none"/>
                <w:insideV w:val="none"/>
              </w:tblBorders>
            </w:tblPr>
            <w:tblGrid>
              <w:gridCol w:w="241"/>
              <w:gridCol w:w="803"/>
              <w:gridCol w:w="402"/>
              <w:gridCol w:w="402"/>
              <w:gridCol w:w="353"/>
              <w:gridCol w:w="353"/>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序号</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名称</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建设类型</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卡口方向</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利旧</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新建</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汉滨区恒口检查站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汉滨区涨滩执法点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汉滨区五里检查站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岚皋县香河口执法站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石泉县甘棠湾执法站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镇坪县钟宝镇检查站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sz w:val="21"/>
              </w:rPr>
              <w:t>2.2汉中市国省道点位</w:t>
            </w:r>
          </w:p>
          <w:p>
            <w:pPr>
              <w:pStyle w:val="null3"/>
              <w:ind w:firstLine="420"/>
            </w:pPr>
            <w:r>
              <w:rPr>
                <w:rFonts w:ascii="仿宋_GB2312" w:hAnsi="仿宋_GB2312" w:cs="仿宋_GB2312" w:eastAsia="仿宋_GB2312"/>
                <w:sz w:val="21"/>
              </w:rPr>
              <w:t>汉中市国省道拟建设</w:t>
            </w:r>
            <w:r>
              <w:rPr>
                <w:rFonts w:ascii="仿宋_GB2312" w:hAnsi="仿宋_GB2312" w:cs="仿宋_GB2312" w:eastAsia="仿宋_GB2312"/>
                <w:sz w:val="21"/>
              </w:rPr>
              <w:t>23处点位，其中15处点位杆件利旧，8处点位需新建杆件。</w:t>
            </w:r>
          </w:p>
          <w:tbl>
            <w:tblPr>
              <w:tblInd w:type="dxa" w:w="120"/>
              <w:tblBorders>
                <w:top w:val="none" w:color="000000" w:sz="4"/>
                <w:left w:val="none" w:color="000000" w:sz="4"/>
                <w:bottom w:val="none" w:color="000000" w:sz="4"/>
                <w:right w:val="none" w:color="000000" w:sz="4"/>
                <w:insideH w:val="none"/>
                <w:insideV w:val="none"/>
              </w:tblBorders>
            </w:tblPr>
            <w:tblGrid>
              <w:gridCol w:w="232"/>
              <w:gridCol w:w="857"/>
              <w:gridCol w:w="388"/>
              <w:gridCol w:w="388"/>
              <w:gridCol w:w="344"/>
              <w:gridCol w:w="344"/>
            </w:tblGrid>
            <w:tr>
              <w:tc>
                <w:tcPr>
                  <w:tcW w:type="dxa" w:w="23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8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建设类型</w:t>
                  </w:r>
                </w:p>
              </w:tc>
              <w:tc>
                <w:tcPr>
                  <w:tcW w:type="dxa" w:w="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卡口方向</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利旧</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c>
                <w:tcPr>
                  <w:tcW w:type="dxa" w:w="3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新建</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85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佛坪西岔河</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857"/>
                  <w:vMerge/>
                  <w:tcBorders>
                    <w:top w:val="none" w:color="000000" w:sz="4"/>
                    <w:left w:val="none" w:color="000000" w:sz="4"/>
                    <w:bottom w:val="none" w:color="000000" w:sz="4"/>
                    <w:right w:val="single" w:color="000000" w:sz="4"/>
                  </w:tcBorders>
                </w:tc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佛坪长角坝两河口大桥</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边界卡口</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上下行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85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洋县谢村检查站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857"/>
                  <w:vMerge/>
                  <w:tcBorders>
                    <w:top w:val="none" w:color="000000" w:sz="4"/>
                    <w:left w:val="none" w:color="000000" w:sz="4"/>
                    <w:bottom w:val="none" w:color="000000" w:sz="4"/>
                    <w:right w:val="single" w:color="000000" w:sz="4"/>
                  </w:tcBorders>
                </w:tc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85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城固龙图宝鼎检查站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857"/>
                  <w:vMerge/>
                  <w:tcBorders>
                    <w:top w:val="none" w:color="000000" w:sz="4"/>
                    <w:left w:val="none" w:color="000000" w:sz="4"/>
                    <w:bottom w:val="none" w:color="000000" w:sz="4"/>
                    <w:right w:val="single" w:color="000000" w:sz="4"/>
                  </w:tcBorders>
                </w:tc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857"/>
                  <w:vMerge/>
                  <w:tcBorders>
                    <w:top w:val="none" w:color="000000" w:sz="4"/>
                    <w:left w:val="none" w:color="000000" w:sz="4"/>
                    <w:bottom w:val="none" w:color="000000" w:sz="4"/>
                    <w:right w:val="single" w:color="000000" w:sz="4"/>
                  </w:tcBorders>
                </w:tc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p>
              </w:tc>
              <w:tc>
                <w:tcPr>
                  <w:tcW w:type="dxa" w:w="85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汉台区河东店执法站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p>
              </w:tc>
              <w:tc>
                <w:tcPr>
                  <w:tcW w:type="dxa" w:w="857"/>
                  <w:vMerge/>
                  <w:tcBorders>
                    <w:top w:val="none" w:color="000000" w:sz="4"/>
                    <w:left w:val="none" w:color="000000" w:sz="4"/>
                    <w:bottom w:val="none" w:color="000000" w:sz="4"/>
                    <w:right w:val="single" w:color="000000" w:sz="4"/>
                  </w:tcBorders>
                </w:tc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p>
              </w:tc>
              <w:tc>
                <w:tcPr>
                  <w:tcW w:type="dxa" w:w="857"/>
                  <w:vMerge/>
                  <w:tcBorders>
                    <w:top w:val="none" w:color="000000" w:sz="4"/>
                    <w:left w:val="none" w:color="000000" w:sz="4"/>
                    <w:bottom w:val="none" w:color="000000" w:sz="4"/>
                    <w:right w:val="single" w:color="000000" w:sz="4"/>
                  </w:tcBorders>
                </w:tc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区间</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w:t>
                  </w:r>
                </w:p>
              </w:tc>
              <w:tc>
                <w:tcPr>
                  <w:tcW w:type="dxa" w:w="85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汉台区铺镇宣教点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13</w:t>
                  </w:r>
                </w:p>
              </w:tc>
              <w:tc>
                <w:tcPr>
                  <w:tcW w:type="dxa" w:w="857"/>
                  <w:vMerge/>
                  <w:tcBorders>
                    <w:top w:val="none" w:color="000000" w:sz="4"/>
                    <w:left w:val="none" w:color="000000" w:sz="4"/>
                    <w:bottom w:val="none" w:color="000000" w:sz="4"/>
                    <w:right w:val="single" w:color="000000" w:sz="4"/>
                  </w:tcBorders>
                </w:tc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14</w:t>
                  </w:r>
                </w:p>
              </w:tc>
              <w:tc>
                <w:tcPr>
                  <w:tcW w:type="dxa" w:w="85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留坝县江口宣教点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15</w:t>
                  </w:r>
                </w:p>
              </w:tc>
              <w:tc>
                <w:tcPr>
                  <w:tcW w:type="dxa" w:w="857"/>
                  <w:vMerge/>
                  <w:tcBorders>
                    <w:top w:val="none" w:color="000000" w:sz="4"/>
                    <w:left w:val="none" w:color="000000" w:sz="4"/>
                    <w:bottom w:val="none" w:color="000000" w:sz="4"/>
                    <w:right w:val="single" w:color="000000" w:sz="4"/>
                  </w:tcBorders>
                </w:tc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w:t>
                  </w:r>
                </w:p>
              </w:tc>
              <w:tc>
                <w:tcPr>
                  <w:tcW w:type="dxa" w:w="85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留坝县马道检查点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17</w:t>
                  </w:r>
                </w:p>
              </w:tc>
              <w:tc>
                <w:tcPr>
                  <w:tcW w:type="dxa" w:w="857"/>
                  <w:vMerge/>
                  <w:tcBorders>
                    <w:top w:val="none" w:color="000000" w:sz="4"/>
                    <w:left w:val="none" w:color="000000" w:sz="4"/>
                    <w:bottom w:val="none" w:color="000000" w:sz="4"/>
                    <w:right w:val="single" w:color="000000" w:sz="4"/>
                  </w:tcBorders>
                </w:tc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18</w:t>
                  </w:r>
                </w:p>
              </w:tc>
              <w:tc>
                <w:tcPr>
                  <w:tcW w:type="dxa" w:w="85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略阳郭镇检查站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19</w:t>
                  </w:r>
                </w:p>
              </w:tc>
              <w:tc>
                <w:tcPr>
                  <w:tcW w:type="dxa" w:w="857"/>
                  <w:vMerge/>
                  <w:tcBorders>
                    <w:top w:val="none" w:color="000000" w:sz="4"/>
                    <w:left w:val="none" w:color="000000" w:sz="4"/>
                    <w:bottom w:val="none" w:color="000000" w:sz="4"/>
                    <w:right w:val="single" w:color="000000" w:sz="4"/>
                  </w:tcBorders>
                </w:tc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20</w:t>
                  </w:r>
                </w:p>
              </w:tc>
              <w:tc>
                <w:tcPr>
                  <w:tcW w:type="dxa" w:w="857"/>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勉县老道寺执法站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上行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21</w:t>
                  </w:r>
                </w:p>
              </w:tc>
              <w:tc>
                <w:tcPr>
                  <w:tcW w:type="dxa" w:w="857"/>
                  <w:vMerge/>
                  <w:tcBorders>
                    <w:top w:val="none" w:color="000000" w:sz="4"/>
                    <w:left w:val="none" w:color="000000" w:sz="4"/>
                    <w:bottom w:val="none" w:color="000000" w:sz="4"/>
                    <w:right w:val="single" w:color="000000" w:sz="4"/>
                  </w:tcBorders>
                </w:tcP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下行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22</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宁强大安检查点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23</w:t>
                  </w:r>
                </w:p>
              </w:tc>
              <w:tc>
                <w:tcPr>
                  <w:tcW w:type="dxa" w:w="8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宁强黄坝驿检查点</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sz w:val="21"/>
              </w:rPr>
              <w:t>2.3商洛市国省道点位</w:t>
            </w:r>
          </w:p>
          <w:p>
            <w:pPr>
              <w:pStyle w:val="null3"/>
              <w:ind w:firstLine="420"/>
            </w:pPr>
            <w:r>
              <w:rPr>
                <w:rFonts w:ascii="仿宋_GB2312" w:hAnsi="仿宋_GB2312" w:cs="仿宋_GB2312" w:eastAsia="仿宋_GB2312"/>
                <w:sz w:val="21"/>
              </w:rPr>
              <w:t>商洛市国省道拟建设</w:t>
            </w:r>
            <w:r>
              <w:rPr>
                <w:rFonts w:ascii="仿宋_GB2312" w:hAnsi="仿宋_GB2312" w:cs="仿宋_GB2312" w:eastAsia="仿宋_GB2312"/>
                <w:sz w:val="21"/>
              </w:rPr>
              <w:t>27</w:t>
            </w:r>
            <w:r>
              <w:rPr>
                <w:rFonts w:ascii="仿宋_GB2312" w:hAnsi="仿宋_GB2312" w:cs="仿宋_GB2312" w:eastAsia="仿宋_GB2312"/>
                <w:sz w:val="21"/>
              </w:rPr>
              <w:t>处点位，其中</w:t>
            </w:r>
            <w:r>
              <w:rPr>
                <w:rFonts w:ascii="仿宋_GB2312" w:hAnsi="仿宋_GB2312" w:cs="仿宋_GB2312" w:eastAsia="仿宋_GB2312"/>
                <w:sz w:val="21"/>
              </w:rPr>
              <w:t>16</w:t>
            </w:r>
            <w:r>
              <w:rPr>
                <w:rFonts w:ascii="仿宋_GB2312" w:hAnsi="仿宋_GB2312" w:cs="仿宋_GB2312" w:eastAsia="仿宋_GB2312"/>
                <w:sz w:val="21"/>
              </w:rPr>
              <w:t>处点位杆件利旧，</w:t>
            </w:r>
            <w:r>
              <w:rPr>
                <w:rFonts w:ascii="仿宋_GB2312" w:hAnsi="仿宋_GB2312" w:cs="仿宋_GB2312" w:eastAsia="仿宋_GB2312"/>
                <w:sz w:val="21"/>
              </w:rPr>
              <w:t>11</w:t>
            </w:r>
            <w:r>
              <w:rPr>
                <w:rFonts w:ascii="仿宋_GB2312" w:hAnsi="仿宋_GB2312" w:cs="仿宋_GB2312" w:eastAsia="仿宋_GB2312"/>
                <w:sz w:val="21"/>
              </w:rPr>
              <w:t>处点位需新建杆件。</w:t>
            </w:r>
          </w:p>
          <w:tbl>
            <w:tblPr>
              <w:tblInd w:type="dxa" w:w="120"/>
              <w:tblBorders>
                <w:top w:val="none" w:color="000000" w:sz="4"/>
                <w:left w:val="none" w:color="000000" w:sz="4"/>
                <w:bottom w:val="none" w:color="000000" w:sz="4"/>
                <w:right w:val="none" w:color="000000" w:sz="4"/>
                <w:insideH w:val="none"/>
                <w:insideV w:val="none"/>
              </w:tblBorders>
            </w:tblPr>
            <w:tblGrid>
              <w:gridCol w:w="241"/>
              <w:gridCol w:w="803"/>
              <w:gridCol w:w="402"/>
              <w:gridCol w:w="402"/>
              <w:gridCol w:w="353"/>
              <w:gridCol w:w="353"/>
            </w:tblGrid>
            <w:tr>
              <w:tc>
                <w:tcPr>
                  <w:tcW w:type="dxa" w:w="2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建设类型</w:t>
                  </w:r>
                </w:p>
              </w:tc>
              <w:tc>
                <w:tcPr>
                  <w:tcW w:type="dxa" w:w="4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卡口方向</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利旧</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c>
                <w:tcPr>
                  <w:tcW w:type="dxa" w:w="3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新建</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丹凤县龙驹执法站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丹凤县铁屿铺宣教点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柞水县凤凰宣教点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洛南县古城宣教点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洛南县石门检查站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检查站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检查站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11</w:t>
                  </w:r>
                </w:p>
              </w:tc>
              <w:tc>
                <w:tcPr>
                  <w:tcW w:type="dxa" w:w="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山阳县色河执法站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12</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金丝峡宣教点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13</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14</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商南县桑树执法站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15</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商南县五里牌宣教点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17</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18</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商州区大荆宣教点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19</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20</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商州区三岔河宣教点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21</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22</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商州区夜村执法站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23</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2</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永乐执法站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26</w:t>
                  </w:r>
                </w:p>
              </w:tc>
              <w:tc>
                <w:tcPr>
                  <w:tcW w:type="dxa" w:w="803"/>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镇安县月河宣教点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27</w:t>
                  </w:r>
                </w:p>
              </w:tc>
              <w:tc>
                <w:tcPr>
                  <w:tcW w:type="dxa" w:w="803"/>
                  <w:vMerge/>
                  <w:tcBorders>
                    <w:top w:val="none" w:color="000000" w:sz="4"/>
                    <w:left w:val="none" w:color="000000" w:sz="4"/>
                    <w:bottom w:val="none" w:color="000000" w:sz="4"/>
                    <w:right w:val="single" w:color="000000" w:sz="4"/>
                  </w:tcBorders>
                </w:tcP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宣教点</w:t>
                  </w:r>
                </w:p>
              </w:tc>
              <w:tc>
                <w:tcPr>
                  <w:tcW w:type="dxa" w:w="4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bl>
          <w:p>
            <w:pPr>
              <w:pStyle w:val="null3"/>
              <w:ind w:firstLine="420"/>
            </w:pPr>
            <w:r>
              <w:rPr>
                <w:rFonts w:ascii="仿宋_GB2312" w:hAnsi="仿宋_GB2312" w:cs="仿宋_GB2312" w:eastAsia="仿宋_GB2312"/>
                <w:sz w:val="21"/>
              </w:rPr>
              <w:t>2.4咸阳市国省道点位</w:t>
            </w:r>
          </w:p>
          <w:p>
            <w:pPr>
              <w:pStyle w:val="null3"/>
              <w:ind w:firstLine="420"/>
            </w:pPr>
            <w:r>
              <w:rPr>
                <w:rFonts w:ascii="仿宋_GB2312" w:hAnsi="仿宋_GB2312" w:cs="仿宋_GB2312" w:eastAsia="仿宋_GB2312"/>
                <w:sz w:val="21"/>
              </w:rPr>
              <w:t>咸阳市国省道拟建设</w:t>
            </w:r>
            <w:r>
              <w:rPr>
                <w:rFonts w:ascii="仿宋_GB2312" w:hAnsi="仿宋_GB2312" w:cs="仿宋_GB2312" w:eastAsia="仿宋_GB2312"/>
                <w:sz w:val="21"/>
              </w:rPr>
              <w:t>1</w:t>
            </w:r>
            <w:r>
              <w:rPr>
                <w:rFonts w:ascii="仿宋_GB2312" w:hAnsi="仿宋_GB2312" w:cs="仿宋_GB2312" w:eastAsia="仿宋_GB2312"/>
                <w:sz w:val="21"/>
              </w:rPr>
              <w:t>0</w:t>
            </w:r>
            <w:r>
              <w:rPr>
                <w:rFonts w:ascii="仿宋_GB2312" w:hAnsi="仿宋_GB2312" w:cs="仿宋_GB2312" w:eastAsia="仿宋_GB2312"/>
                <w:sz w:val="21"/>
              </w:rPr>
              <w:t>处点位，其中</w:t>
            </w:r>
            <w:r>
              <w:rPr>
                <w:rFonts w:ascii="仿宋_GB2312" w:hAnsi="仿宋_GB2312" w:cs="仿宋_GB2312" w:eastAsia="仿宋_GB2312"/>
                <w:sz w:val="21"/>
              </w:rPr>
              <w:t>3</w:t>
            </w:r>
            <w:r>
              <w:rPr>
                <w:rFonts w:ascii="仿宋_GB2312" w:hAnsi="仿宋_GB2312" w:cs="仿宋_GB2312" w:eastAsia="仿宋_GB2312"/>
                <w:sz w:val="21"/>
              </w:rPr>
              <w:t>处点位杆件利旧，</w:t>
            </w:r>
            <w:r>
              <w:rPr>
                <w:rFonts w:ascii="仿宋_GB2312" w:hAnsi="仿宋_GB2312" w:cs="仿宋_GB2312" w:eastAsia="仿宋_GB2312"/>
                <w:sz w:val="21"/>
              </w:rPr>
              <w:t>7</w:t>
            </w:r>
            <w:r>
              <w:rPr>
                <w:rFonts w:ascii="仿宋_GB2312" w:hAnsi="仿宋_GB2312" w:cs="仿宋_GB2312" w:eastAsia="仿宋_GB2312"/>
                <w:sz w:val="21"/>
              </w:rPr>
              <w:t>处点位需新建杆件。</w:t>
            </w:r>
          </w:p>
          <w:tbl>
            <w:tblPr>
              <w:tblInd w:type="dxa" w:w="120"/>
              <w:tblBorders>
                <w:top w:val="none" w:color="000000" w:sz="4"/>
                <w:left w:val="none" w:color="000000" w:sz="4"/>
                <w:bottom w:val="none" w:color="000000" w:sz="4"/>
                <w:right w:val="none" w:color="000000" w:sz="4"/>
                <w:insideH w:val="none"/>
                <w:insideV w:val="none"/>
              </w:tblBorders>
            </w:tblPr>
            <w:tblGrid>
              <w:gridCol w:w="276"/>
              <w:gridCol w:w="552"/>
              <w:gridCol w:w="458"/>
              <w:gridCol w:w="458"/>
              <w:gridCol w:w="405"/>
              <w:gridCol w:w="405"/>
            </w:tblGrid>
            <w:tr>
              <w:tc>
                <w:tcPr>
                  <w:tcW w:type="dxa" w:w="2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5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建设类型</w:t>
                  </w:r>
                </w:p>
              </w:tc>
              <w:tc>
                <w:tcPr>
                  <w:tcW w:type="dxa" w:w="4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卡口方向</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利旧</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c>
                <w:tcPr>
                  <w:tcW w:type="dxa" w:w="4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新建</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55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泾阳三渠</w:t>
                  </w:r>
                </w:p>
              </w:tc>
              <w:tc>
                <w:tcPr>
                  <w:tcW w:type="dxa" w:w="4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552"/>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55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三原大程</w:t>
                  </w:r>
                </w:p>
              </w:tc>
              <w:tc>
                <w:tcPr>
                  <w:tcW w:type="dxa" w:w="4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552"/>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55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礼泉烟霞</w:t>
                  </w:r>
                </w:p>
              </w:tc>
              <w:tc>
                <w:tcPr>
                  <w:tcW w:type="dxa" w:w="4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552"/>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55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礼泉药王洞</w:t>
                  </w:r>
                </w:p>
              </w:tc>
              <w:tc>
                <w:tcPr>
                  <w:tcW w:type="dxa" w:w="4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552"/>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p>
              </w:tc>
              <w:tc>
                <w:tcPr>
                  <w:tcW w:type="dxa" w:w="552"/>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长武姜曹</w:t>
                  </w:r>
                </w:p>
              </w:tc>
              <w:tc>
                <w:tcPr>
                  <w:tcW w:type="dxa" w:w="45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10</w:t>
                  </w:r>
                </w:p>
              </w:tc>
              <w:tc>
                <w:tcPr>
                  <w:tcW w:type="dxa" w:w="552"/>
                  <w:vMerge/>
                  <w:tcBorders>
                    <w:top w:val="none" w:color="000000" w:sz="4"/>
                    <w:left w:val="none" w:color="000000" w:sz="4"/>
                    <w:bottom w:val="none" w:color="000000" w:sz="4"/>
                    <w:right w:val="single" w:color="000000" w:sz="4"/>
                  </w:tcBorders>
                </w:tcPr>
                <w:p/>
              </w:tc>
              <w:tc>
                <w:tcPr>
                  <w:tcW w:type="dxa" w:w="458"/>
                  <w:vMerge/>
                  <w:tcBorders>
                    <w:top w:val="none" w:color="000000" w:sz="4"/>
                    <w:left w:val="none" w:color="000000" w:sz="4"/>
                    <w:bottom w:val="single" w:color="000000" w:sz="4"/>
                    <w:right w:val="single" w:color="000000" w:sz="4"/>
                  </w:tcBorders>
                </w:tcPr>
                <w:p/>
              </w:tc>
              <w:tc>
                <w:tcPr>
                  <w:tcW w:type="dxa" w:w="4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sz w:val="21"/>
              </w:rPr>
              <w:t>2.5铜川市国省道点位</w:t>
            </w:r>
          </w:p>
          <w:p>
            <w:pPr>
              <w:pStyle w:val="null3"/>
              <w:ind w:firstLine="420"/>
            </w:pPr>
            <w:r>
              <w:rPr>
                <w:rFonts w:ascii="仿宋_GB2312" w:hAnsi="仿宋_GB2312" w:cs="仿宋_GB2312" w:eastAsia="仿宋_GB2312"/>
                <w:sz w:val="21"/>
              </w:rPr>
              <w:t>铜川市国省道拟建设</w:t>
            </w:r>
            <w:r>
              <w:rPr>
                <w:rFonts w:ascii="仿宋_GB2312" w:hAnsi="仿宋_GB2312" w:cs="仿宋_GB2312" w:eastAsia="仿宋_GB2312"/>
                <w:sz w:val="21"/>
              </w:rPr>
              <w:t>4</w:t>
            </w:r>
            <w:r>
              <w:rPr>
                <w:rFonts w:ascii="仿宋_GB2312" w:hAnsi="仿宋_GB2312" w:cs="仿宋_GB2312" w:eastAsia="仿宋_GB2312"/>
                <w:sz w:val="21"/>
              </w:rPr>
              <w:t>处点位，</w:t>
            </w:r>
            <w:r>
              <w:rPr>
                <w:rFonts w:ascii="仿宋_GB2312" w:hAnsi="仿宋_GB2312" w:cs="仿宋_GB2312" w:eastAsia="仿宋_GB2312"/>
                <w:sz w:val="21"/>
              </w:rPr>
              <w:t>4处点位均需新建杆件。</w:t>
            </w:r>
          </w:p>
          <w:tbl>
            <w:tblPr>
              <w:tblInd w:type="dxa" w:w="120"/>
              <w:tblBorders>
                <w:top w:val="none" w:color="000000" w:sz="4"/>
                <w:left w:val="none" w:color="000000" w:sz="4"/>
                <w:bottom w:val="none" w:color="000000" w:sz="4"/>
                <w:right w:val="none" w:color="000000" w:sz="4"/>
                <w:insideH w:val="none"/>
                <w:insideV w:val="none"/>
              </w:tblBorders>
            </w:tblPr>
            <w:tblGrid>
              <w:gridCol w:w="264"/>
              <w:gridCol w:w="623"/>
              <w:gridCol w:w="443"/>
              <w:gridCol w:w="443"/>
              <w:gridCol w:w="390"/>
              <w:gridCol w:w="390"/>
            </w:tblGrid>
            <w:tr>
              <w:tc>
                <w:tcPr>
                  <w:tcW w:type="dxa" w:w="26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建设类型</w:t>
                  </w:r>
                </w:p>
              </w:tc>
              <w:tc>
                <w:tcPr>
                  <w:tcW w:type="dxa" w:w="4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卡口方向</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利旧</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c>
                <w:tcPr>
                  <w:tcW w:type="dxa" w:w="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新建</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6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耀州区九里坡</w:t>
                  </w:r>
                </w:p>
              </w:tc>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南向北</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623"/>
                  <w:vMerge/>
                  <w:tcBorders>
                    <w:top w:val="none" w:color="000000" w:sz="4"/>
                    <w:left w:val="single" w:color="000000" w:sz="4"/>
                    <w:bottom w:val="single" w:color="000000" w:sz="4"/>
                    <w:right w:val="single" w:color="000000" w:sz="4"/>
                  </w:tcBorders>
                </w:tcPr>
                <w:p/>
              </w:tc>
              <w:tc>
                <w:tcPr>
                  <w:tcW w:type="dxa" w:w="443"/>
                  <w:vMerge/>
                  <w:tcBorders>
                    <w:top w:val="none" w:color="000000" w:sz="4"/>
                    <w:left w:val="single" w:color="000000" w:sz="4"/>
                    <w:bottom w:val="single" w:color="000000" w:sz="4"/>
                    <w:right w:val="single" w:color="000000" w:sz="4"/>
                  </w:tcBorders>
                </w:tcP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62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王益黄堡</w:t>
                  </w:r>
                </w:p>
              </w:tc>
              <w:tc>
                <w:tcPr>
                  <w:tcW w:type="dxa" w:w="44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南向北</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623"/>
                  <w:vMerge/>
                  <w:tcBorders>
                    <w:top w:val="none" w:color="000000" w:sz="4"/>
                    <w:left w:val="single" w:color="000000" w:sz="4"/>
                    <w:bottom w:val="single" w:color="000000" w:sz="4"/>
                    <w:right w:val="single" w:color="000000" w:sz="4"/>
                  </w:tcBorders>
                </w:tcPr>
                <w:p/>
              </w:tc>
              <w:tc>
                <w:tcPr>
                  <w:tcW w:type="dxa" w:w="443"/>
                  <w:vMerge/>
                  <w:tcBorders>
                    <w:top w:val="none" w:color="000000" w:sz="4"/>
                    <w:left w:val="single" w:color="000000" w:sz="4"/>
                    <w:bottom w:val="single" w:color="000000" w:sz="4"/>
                    <w:right w:val="single" w:color="000000" w:sz="4"/>
                  </w:tcBorders>
                </w:tcPr>
                <w:p/>
              </w:tc>
              <w:tc>
                <w:tcPr>
                  <w:tcW w:type="dxa" w:w="4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bl>
          <w:p>
            <w:pPr>
              <w:pStyle w:val="null3"/>
              <w:ind w:firstLine="420"/>
            </w:pPr>
            <w:r>
              <w:rPr>
                <w:rFonts w:ascii="仿宋_GB2312" w:hAnsi="仿宋_GB2312" w:cs="仿宋_GB2312" w:eastAsia="仿宋_GB2312"/>
                <w:sz w:val="21"/>
              </w:rPr>
              <w:t>2.6宝鸡市国省道点位</w:t>
            </w:r>
          </w:p>
          <w:p>
            <w:pPr>
              <w:pStyle w:val="null3"/>
              <w:ind w:firstLine="420"/>
            </w:pPr>
            <w:r>
              <w:rPr>
                <w:rFonts w:ascii="仿宋_GB2312" w:hAnsi="仿宋_GB2312" w:cs="仿宋_GB2312" w:eastAsia="仿宋_GB2312"/>
                <w:sz w:val="21"/>
              </w:rPr>
              <w:t>宝鸡市国省道拟建设</w:t>
            </w:r>
            <w:r>
              <w:rPr>
                <w:rFonts w:ascii="仿宋_GB2312" w:hAnsi="仿宋_GB2312" w:cs="仿宋_GB2312" w:eastAsia="仿宋_GB2312"/>
                <w:sz w:val="21"/>
              </w:rPr>
              <w:t>25处点位，其中</w:t>
            </w:r>
            <w:r>
              <w:rPr>
                <w:rFonts w:ascii="仿宋_GB2312" w:hAnsi="仿宋_GB2312" w:cs="仿宋_GB2312" w:eastAsia="仿宋_GB2312"/>
                <w:sz w:val="21"/>
              </w:rPr>
              <w:t>17</w:t>
            </w:r>
            <w:r>
              <w:rPr>
                <w:rFonts w:ascii="仿宋_GB2312" w:hAnsi="仿宋_GB2312" w:cs="仿宋_GB2312" w:eastAsia="仿宋_GB2312"/>
                <w:sz w:val="21"/>
              </w:rPr>
              <w:t>处点位杆件利旧，</w:t>
            </w:r>
            <w:r>
              <w:rPr>
                <w:rFonts w:ascii="仿宋_GB2312" w:hAnsi="仿宋_GB2312" w:cs="仿宋_GB2312" w:eastAsia="仿宋_GB2312"/>
                <w:sz w:val="21"/>
              </w:rPr>
              <w:t>8</w:t>
            </w:r>
            <w:r>
              <w:rPr>
                <w:rFonts w:ascii="仿宋_GB2312" w:hAnsi="仿宋_GB2312" w:cs="仿宋_GB2312" w:eastAsia="仿宋_GB2312"/>
                <w:sz w:val="21"/>
              </w:rPr>
              <w:t>处点位需新建杆件。</w:t>
            </w:r>
          </w:p>
          <w:tbl>
            <w:tblPr>
              <w:tblInd w:type="dxa" w:w="120"/>
              <w:tblBorders>
                <w:top w:val="none" w:color="000000" w:sz="4"/>
                <w:left w:val="none" w:color="000000" w:sz="4"/>
                <w:bottom w:val="none" w:color="000000" w:sz="4"/>
                <w:right w:val="none" w:color="000000" w:sz="4"/>
                <w:insideH w:val="none"/>
                <w:insideV w:val="none"/>
              </w:tblBorders>
            </w:tblPr>
            <w:tblGrid>
              <w:gridCol w:w="250"/>
              <w:gridCol w:w="744"/>
              <w:gridCol w:w="414"/>
              <w:gridCol w:w="414"/>
              <w:gridCol w:w="365"/>
              <w:gridCol w:w="365"/>
            </w:tblGrid>
            <w:tr>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建设类型</w:t>
                  </w:r>
                </w:p>
              </w:tc>
              <w:tc>
                <w:tcPr>
                  <w:tcW w:type="dxa" w:w="4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卡口方向</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利旧</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新建</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7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太白县鹦鸽</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马路学堂</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744"/>
                  <w:vMerge/>
                  <w:tcBorders>
                    <w:top w:val="none" w:color="000000" w:sz="4"/>
                    <w:left w:val="non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南向北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7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太白县王家堎</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744"/>
                  <w:vMerge/>
                  <w:tcBorders>
                    <w:top w:val="none" w:color="000000" w:sz="4"/>
                    <w:left w:val="non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南向北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7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凤县凤州省际</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中队</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南向北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744"/>
                  <w:vMerge/>
                  <w:tcBorders>
                    <w:top w:val="none" w:color="000000" w:sz="4"/>
                    <w:left w:val="non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渭滨区桑园</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中队</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南向北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7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金台区金河镇</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马路学堂</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南北双向</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p>
              </w:tc>
              <w:tc>
                <w:tcPr>
                  <w:tcW w:type="dxa" w:w="744"/>
                  <w:vMerge/>
                  <w:tcBorders>
                    <w:top w:val="none" w:color="000000" w:sz="4"/>
                    <w:left w:val="non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南北双向</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p>
              </w:tc>
              <w:tc>
                <w:tcPr>
                  <w:tcW w:type="dxa" w:w="7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陈仓区县功</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马路学堂</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南向北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p>
              </w:tc>
              <w:tc>
                <w:tcPr>
                  <w:tcW w:type="dxa" w:w="744"/>
                  <w:vMerge/>
                  <w:tcBorders>
                    <w:top w:val="none" w:color="000000" w:sz="4"/>
                    <w:left w:val="non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千阳县段坊</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p>
              </w:tc>
              <w:tc>
                <w:tcPr>
                  <w:tcW w:type="dxa" w:w="7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麟游县催木镇</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南北双向</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4</w:t>
                  </w:r>
                </w:p>
              </w:tc>
              <w:tc>
                <w:tcPr>
                  <w:tcW w:type="dxa" w:w="744"/>
                  <w:vMerge/>
                  <w:tcBorders>
                    <w:top w:val="none" w:color="000000" w:sz="4"/>
                    <w:left w:val="non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南北双向</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5</w:t>
                  </w:r>
                </w:p>
              </w:tc>
              <w:tc>
                <w:tcPr>
                  <w:tcW w:type="dxa" w:w="7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麟游县两亭西坡村</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南北双向</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6</w:t>
                  </w:r>
                </w:p>
              </w:tc>
              <w:tc>
                <w:tcPr>
                  <w:tcW w:type="dxa" w:w="744"/>
                  <w:vMerge/>
                  <w:tcBorders>
                    <w:top w:val="none" w:color="000000" w:sz="4"/>
                    <w:left w:val="non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7</w:t>
                  </w:r>
                </w:p>
              </w:tc>
              <w:tc>
                <w:tcPr>
                  <w:tcW w:type="dxa" w:w="7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凤翔田家庄</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18</w:t>
                  </w:r>
                </w:p>
              </w:tc>
              <w:tc>
                <w:tcPr>
                  <w:tcW w:type="dxa" w:w="744"/>
                  <w:vMerge/>
                  <w:tcBorders>
                    <w:top w:val="none" w:color="000000" w:sz="4"/>
                    <w:left w:val="non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19</w:t>
                  </w:r>
                </w:p>
              </w:tc>
              <w:tc>
                <w:tcPr>
                  <w:tcW w:type="dxa" w:w="7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陈仓区周原</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马路学堂</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0</w:t>
                  </w:r>
                </w:p>
              </w:tc>
              <w:tc>
                <w:tcPr>
                  <w:tcW w:type="dxa" w:w="744"/>
                  <w:vMerge/>
                  <w:tcBorders>
                    <w:top w:val="none" w:color="000000" w:sz="4"/>
                    <w:left w:val="non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南北双向</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1</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高新区潘家湾</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rPr>
                    <w:t>中队</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东西双向</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2</w:t>
                  </w:r>
                </w:p>
              </w:tc>
              <w:tc>
                <w:tcPr>
                  <w:tcW w:type="dxa" w:w="7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岐山孙家</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3</w:t>
                  </w:r>
                </w:p>
              </w:tc>
              <w:tc>
                <w:tcPr>
                  <w:tcW w:type="dxa" w:w="744"/>
                  <w:vMerge/>
                  <w:tcBorders>
                    <w:top w:val="none" w:color="000000" w:sz="4"/>
                    <w:left w:val="non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4</w:t>
                  </w:r>
                </w:p>
              </w:tc>
              <w:tc>
                <w:tcPr>
                  <w:tcW w:type="dxa" w:w="74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扶风杏林</w:t>
                  </w:r>
                </w:p>
              </w:tc>
              <w:tc>
                <w:tcPr>
                  <w:tcW w:type="dxa" w:w="41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东西双向</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r>
                    <w:rPr>
                      <w:rFonts w:ascii="仿宋_GB2312" w:hAnsi="仿宋_GB2312" w:cs="仿宋_GB2312" w:eastAsia="仿宋_GB2312"/>
                      <w:sz w:val="21"/>
                      <w:color w:val="000000"/>
                    </w:rPr>
                    <w:t>5</w:t>
                  </w:r>
                </w:p>
              </w:tc>
              <w:tc>
                <w:tcPr>
                  <w:tcW w:type="dxa" w:w="744"/>
                  <w:vMerge/>
                  <w:tcBorders>
                    <w:top w:val="none" w:color="000000" w:sz="4"/>
                    <w:left w:val="none" w:color="000000" w:sz="4"/>
                    <w:bottom w:val="none" w:color="000000" w:sz="4"/>
                    <w:right w:val="single" w:color="000000" w:sz="4"/>
                  </w:tcBorders>
                </w:tcPr>
                <w:p/>
              </w:tc>
              <w:tc>
                <w:tcPr>
                  <w:tcW w:type="dxa" w:w="414"/>
                  <w:vMerge/>
                  <w:tcBorders>
                    <w:top w:val="none" w:color="000000" w:sz="4"/>
                    <w:left w:val="none" w:color="000000" w:sz="4"/>
                    <w:bottom w:val="single" w:color="000000" w:sz="4"/>
                    <w:right w:val="single" w:color="000000" w:sz="4"/>
                  </w:tcBorders>
                </w:tcPr>
                <w:p/>
              </w:tc>
              <w:tc>
                <w:tcPr>
                  <w:tcW w:type="dxa" w:w="4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bl>
          <w:p>
            <w:pPr>
              <w:pStyle w:val="null3"/>
              <w:ind w:firstLine="420"/>
            </w:pPr>
            <w:r>
              <w:rPr>
                <w:rFonts w:ascii="仿宋_GB2312" w:hAnsi="仿宋_GB2312" w:cs="仿宋_GB2312" w:eastAsia="仿宋_GB2312"/>
                <w:sz w:val="21"/>
              </w:rPr>
              <w:t>2.7渭南市国省道点位</w:t>
            </w:r>
          </w:p>
          <w:p>
            <w:pPr>
              <w:pStyle w:val="null3"/>
              <w:ind w:firstLine="420"/>
            </w:pPr>
            <w:r>
              <w:rPr>
                <w:rFonts w:ascii="仿宋_GB2312" w:hAnsi="仿宋_GB2312" w:cs="仿宋_GB2312" w:eastAsia="仿宋_GB2312"/>
                <w:sz w:val="21"/>
              </w:rPr>
              <w:t>渭南市国省道拟建设</w:t>
            </w:r>
            <w:r>
              <w:rPr>
                <w:rFonts w:ascii="仿宋_GB2312" w:hAnsi="仿宋_GB2312" w:cs="仿宋_GB2312" w:eastAsia="仿宋_GB2312"/>
                <w:sz w:val="21"/>
              </w:rPr>
              <w:t>10处点位，其中</w:t>
            </w:r>
            <w:r>
              <w:rPr>
                <w:rFonts w:ascii="仿宋_GB2312" w:hAnsi="仿宋_GB2312" w:cs="仿宋_GB2312" w:eastAsia="仿宋_GB2312"/>
                <w:sz w:val="21"/>
              </w:rPr>
              <w:t>6</w:t>
            </w:r>
            <w:r>
              <w:rPr>
                <w:rFonts w:ascii="仿宋_GB2312" w:hAnsi="仿宋_GB2312" w:cs="仿宋_GB2312" w:eastAsia="仿宋_GB2312"/>
                <w:sz w:val="21"/>
              </w:rPr>
              <w:t>处点位杆件利旧，</w:t>
            </w:r>
            <w:r>
              <w:rPr>
                <w:rFonts w:ascii="仿宋_GB2312" w:hAnsi="仿宋_GB2312" w:cs="仿宋_GB2312" w:eastAsia="仿宋_GB2312"/>
                <w:sz w:val="21"/>
              </w:rPr>
              <w:t>4</w:t>
            </w:r>
            <w:r>
              <w:rPr>
                <w:rFonts w:ascii="仿宋_GB2312" w:hAnsi="仿宋_GB2312" w:cs="仿宋_GB2312" w:eastAsia="仿宋_GB2312"/>
                <w:sz w:val="21"/>
              </w:rPr>
              <w:t>处点位需新建杆件。</w:t>
            </w:r>
          </w:p>
          <w:tbl>
            <w:tblPr>
              <w:tblInd w:type="dxa" w:w="120"/>
              <w:tblBorders>
                <w:top w:val="none" w:color="000000" w:sz="4"/>
                <w:left w:val="none" w:color="000000" w:sz="4"/>
                <w:bottom w:val="none" w:color="000000" w:sz="4"/>
                <w:right w:val="none" w:color="000000" w:sz="4"/>
                <w:insideH w:val="none"/>
                <w:insideV w:val="none"/>
              </w:tblBorders>
            </w:tblPr>
            <w:tblGrid>
              <w:gridCol w:w="196"/>
              <w:gridCol w:w="1058"/>
              <w:gridCol w:w="335"/>
              <w:gridCol w:w="335"/>
              <w:gridCol w:w="295"/>
              <w:gridCol w:w="335"/>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0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建设类型</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卡口方向</w:t>
                  </w:r>
                </w:p>
              </w:tc>
              <w:tc>
                <w:tcPr>
                  <w:tcW w:type="dxa" w:w="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利旧</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c>
                <w:tcPr>
                  <w:tcW w:type="dxa" w:w="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新建</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临渭区韩马</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高新区高新执法站</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临渭区渭富桥</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潼关代字营</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边界卡口</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105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澄城郑家</w:t>
                  </w:r>
                </w:p>
              </w:tc>
              <w:tc>
                <w:tcPr>
                  <w:tcW w:type="dxa" w:w="3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南向北</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1058"/>
                  <w:vMerge/>
                  <w:tcBorders>
                    <w:top w:val="none" w:color="000000" w:sz="4"/>
                    <w:left w:val="none" w:color="000000" w:sz="4"/>
                    <w:bottom w:val="non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新建路</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1058"/>
                  <w:vMerge/>
                  <w:tcBorders>
                    <w:top w:val="none" w:color="000000" w:sz="4"/>
                    <w:left w:val="none" w:color="000000" w:sz="4"/>
                    <w:bottom w:val="non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1058"/>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合阳桥头河</w:t>
                  </w:r>
                </w:p>
              </w:tc>
              <w:tc>
                <w:tcPr>
                  <w:tcW w:type="dxa" w:w="33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南向北</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p>
              </w:tc>
              <w:tc>
                <w:tcPr>
                  <w:tcW w:type="dxa" w:w="1058"/>
                  <w:vMerge/>
                  <w:tcBorders>
                    <w:top w:val="none" w:color="000000" w:sz="4"/>
                    <w:left w:val="none" w:color="000000" w:sz="4"/>
                    <w:bottom w:val="none" w:color="000000" w:sz="4"/>
                    <w:right w:val="single" w:color="000000" w:sz="4"/>
                  </w:tcBorders>
                </w:tcPr>
                <w:p/>
              </w:tc>
              <w:tc>
                <w:tcPr>
                  <w:tcW w:type="dxa" w:w="335"/>
                  <w:vMerge/>
                  <w:tcBorders>
                    <w:top w:val="none" w:color="000000" w:sz="4"/>
                    <w:left w:val="none" w:color="000000" w:sz="4"/>
                    <w:bottom w:val="single" w:color="000000" w:sz="4"/>
                    <w:right w:val="single" w:color="000000" w:sz="4"/>
                  </w:tcBorders>
                </w:tcP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p>
              </w:tc>
              <w:tc>
                <w:tcPr>
                  <w:tcW w:type="dxa" w:w="10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合阳省界</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边界卡口</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sz w:val="21"/>
              </w:rPr>
              <w:t>2.8延安市国省道点位</w:t>
            </w:r>
          </w:p>
          <w:p>
            <w:pPr>
              <w:pStyle w:val="null3"/>
              <w:ind w:firstLine="420"/>
            </w:pPr>
            <w:r>
              <w:rPr>
                <w:rFonts w:ascii="仿宋_GB2312" w:hAnsi="仿宋_GB2312" w:cs="仿宋_GB2312" w:eastAsia="仿宋_GB2312"/>
                <w:sz w:val="21"/>
              </w:rPr>
              <w:t>延安市国省道拟建设</w:t>
            </w:r>
            <w:r>
              <w:rPr>
                <w:rFonts w:ascii="仿宋_GB2312" w:hAnsi="仿宋_GB2312" w:cs="仿宋_GB2312" w:eastAsia="仿宋_GB2312"/>
                <w:sz w:val="21"/>
              </w:rPr>
              <w:t>17</w:t>
            </w:r>
            <w:r>
              <w:rPr>
                <w:rFonts w:ascii="仿宋_GB2312" w:hAnsi="仿宋_GB2312" w:cs="仿宋_GB2312" w:eastAsia="仿宋_GB2312"/>
                <w:sz w:val="21"/>
              </w:rPr>
              <w:t>处点位，其中</w:t>
            </w:r>
            <w:r>
              <w:rPr>
                <w:rFonts w:ascii="仿宋_GB2312" w:hAnsi="仿宋_GB2312" w:cs="仿宋_GB2312" w:eastAsia="仿宋_GB2312"/>
                <w:sz w:val="21"/>
              </w:rPr>
              <w:t>5</w:t>
            </w:r>
            <w:r>
              <w:rPr>
                <w:rFonts w:ascii="仿宋_GB2312" w:hAnsi="仿宋_GB2312" w:cs="仿宋_GB2312" w:eastAsia="仿宋_GB2312"/>
                <w:sz w:val="21"/>
              </w:rPr>
              <w:t>处点位杆件利旧，</w:t>
            </w:r>
            <w:r>
              <w:rPr>
                <w:rFonts w:ascii="仿宋_GB2312" w:hAnsi="仿宋_GB2312" w:cs="仿宋_GB2312" w:eastAsia="仿宋_GB2312"/>
                <w:sz w:val="21"/>
              </w:rPr>
              <w:t>12</w:t>
            </w:r>
            <w:r>
              <w:rPr>
                <w:rFonts w:ascii="仿宋_GB2312" w:hAnsi="仿宋_GB2312" w:cs="仿宋_GB2312" w:eastAsia="仿宋_GB2312"/>
                <w:sz w:val="21"/>
              </w:rPr>
              <w:t>处点位需新建杆件。</w:t>
            </w:r>
          </w:p>
          <w:tbl>
            <w:tblPr>
              <w:tblInd w:type="dxa" w:w="120"/>
              <w:tblBorders>
                <w:top w:val="none" w:color="000000" w:sz="4"/>
                <w:left w:val="none" w:color="000000" w:sz="4"/>
                <w:bottom w:val="none" w:color="000000" w:sz="4"/>
                <w:right w:val="none" w:color="000000" w:sz="4"/>
                <w:insideH w:val="none"/>
                <w:insideV w:val="none"/>
              </w:tblBorders>
            </w:tblPr>
            <w:tblGrid>
              <w:gridCol w:w="287"/>
              <w:gridCol w:w="475"/>
              <w:gridCol w:w="475"/>
              <w:gridCol w:w="475"/>
              <w:gridCol w:w="421"/>
              <w:gridCol w:w="421"/>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建设类型</w:t>
                  </w:r>
                </w:p>
              </w:tc>
              <w:tc>
                <w:tcPr>
                  <w:tcW w:type="dxa" w:w="4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卡口方向</w:t>
                  </w:r>
                </w:p>
              </w:tc>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利旧</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c>
                <w:tcPr>
                  <w:tcW w:type="dxa" w:w="4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新建</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李渠</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余家坪</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4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延水关</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475"/>
                  <w:vMerge/>
                  <w:tcBorders>
                    <w:top w:val="none" w:color="000000" w:sz="4"/>
                    <w:left w:val="single" w:color="000000" w:sz="4"/>
                    <w:bottom w:val="single" w:color="000000" w:sz="4"/>
                    <w:right w:val="single" w:color="000000" w:sz="4"/>
                  </w:tcBorders>
                </w:tcP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边界卡口</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上下行</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后子头</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黄龙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4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壶口</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475"/>
                  <w:vMerge/>
                  <w:tcBorders>
                    <w:top w:val="none" w:color="000000" w:sz="4"/>
                    <w:left w:val="single" w:color="000000" w:sz="4"/>
                    <w:bottom w:val="single" w:color="000000" w:sz="4"/>
                    <w:right w:val="single" w:color="000000" w:sz="4"/>
                  </w:tcBorders>
                </w:tcP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南向北</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p>
              </w:tc>
              <w:tc>
                <w:tcPr>
                  <w:tcW w:type="dxa" w:w="4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秋林</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p>
              </w:tc>
              <w:tc>
                <w:tcPr>
                  <w:tcW w:type="dxa" w:w="475"/>
                  <w:vMerge/>
                  <w:tcBorders>
                    <w:top w:val="none" w:color="000000" w:sz="4"/>
                    <w:left w:val="single" w:color="000000" w:sz="4"/>
                    <w:bottom w:val="single" w:color="000000" w:sz="4"/>
                    <w:right w:val="single" w:color="000000" w:sz="4"/>
                  </w:tcBorders>
                </w:tcP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p>
              </w:tc>
              <w:tc>
                <w:tcPr>
                  <w:tcW w:type="dxa" w:w="4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双河</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p>
              </w:tc>
              <w:tc>
                <w:tcPr>
                  <w:tcW w:type="dxa" w:w="475"/>
                  <w:vMerge/>
                  <w:tcBorders>
                    <w:top w:val="none" w:color="000000" w:sz="4"/>
                    <w:left w:val="single" w:color="000000" w:sz="4"/>
                    <w:bottom w:val="single" w:color="000000" w:sz="4"/>
                    <w:right w:val="single" w:color="000000" w:sz="4"/>
                  </w:tcBorders>
                </w:tcP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13</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吴起</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边界卡口</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上下行</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14</w:t>
                  </w:r>
                </w:p>
              </w:tc>
              <w:tc>
                <w:tcPr>
                  <w:tcW w:type="dxa" w:w="4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道镇</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南向北</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15</w:t>
                  </w:r>
                </w:p>
              </w:tc>
              <w:tc>
                <w:tcPr>
                  <w:tcW w:type="dxa" w:w="475"/>
                  <w:vMerge/>
                  <w:tcBorders>
                    <w:top w:val="none" w:color="000000" w:sz="4"/>
                    <w:left w:val="single" w:color="000000" w:sz="4"/>
                    <w:bottom w:val="single" w:color="000000" w:sz="4"/>
                    <w:right w:val="single" w:color="000000" w:sz="4"/>
                  </w:tcBorders>
                </w:tcP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w:t>
                  </w:r>
                </w:p>
              </w:tc>
              <w:tc>
                <w:tcPr>
                  <w:tcW w:type="dxa" w:w="4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茶坊县乡</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17</w:t>
                  </w:r>
                </w:p>
              </w:tc>
              <w:tc>
                <w:tcPr>
                  <w:tcW w:type="dxa" w:w="475"/>
                  <w:vMerge/>
                  <w:tcBorders>
                    <w:top w:val="none" w:color="000000" w:sz="4"/>
                    <w:left w:val="single" w:color="000000" w:sz="4"/>
                    <w:bottom w:val="single" w:color="000000" w:sz="4"/>
                    <w:right w:val="single" w:color="000000" w:sz="4"/>
                  </w:tcBorders>
                </w:tcP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4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4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bl>
          <w:p>
            <w:pPr>
              <w:pStyle w:val="null3"/>
              <w:ind w:firstLine="420"/>
            </w:pPr>
            <w:r>
              <w:rPr>
                <w:rFonts w:ascii="仿宋_GB2312" w:hAnsi="仿宋_GB2312" w:cs="仿宋_GB2312" w:eastAsia="仿宋_GB2312"/>
                <w:sz w:val="21"/>
              </w:rPr>
              <w:t>2.9榆林市国省道点位</w:t>
            </w:r>
          </w:p>
          <w:p>
            <w:pPr>
              <w:pStyle w:val="null3"/>
              <w:ind w:firstLine="420"/>
            </w:pPr>
            <w:r>
              <w:rPr>
                <w:rFonts w:ascii="仿宋_GB2312" w:hAnsi="仿宋_GB2312" w:cs="仿宋_GB2312" w:eastAsia="仿宋_GB2312"/>
                <w:sz w:val="21"/>
              </w:rPr>
              <w:t>榆林市国省道拟建设</w:t>
            </w:r>
            <w:r>
              <w:rPr>
                <w:rFonts w:ascii="仿宋_GB2312" w:hAnsi="仿宋_GB2312" w:cs="仿宋_GB2312" w:eastAsia="仿宋_GB2312"/>
                <w:sz w:val="21"/>
              </w:rPr>
              <w:t>16</w:t>
            </w:r>
            <w:r>
              <w:rPr>
                <w:rFonts w:ascii="仿宋_GB2312" w:hAnsi="仿宋_GB2312" w:cs="仿宋_GB2312" w:eastAsia="仿宋_GB2312"/>
                <w:sz w:val="21"/>
              </w:rPr>
              <w:t>处点位，其中</w:t>
            </w:r>
            <w:r>
              <w:rPr>
                <w:rFonts w:ascii="仿宋_GB2312" w:hAnsi="仿宋_GB2312" w:cs="仿宋_GB2312" w:eastAsia="仿宋_GB2312"/>
                <w:sz w:val="21"/>
              </w:rPr>
              <w:t>9</w:t>
            </w:r>
            <w:r>
              <w:rPr>
                <w:rFonts w:ascii="仿宋_GB2312" w:hAnsi="仿宋_GB2312" w:cs="仿宋_GB2312" w:eastAsia="仿宋_GB2312"/>
                <w:sz w:val="21"/>
              </w:rPr>
              <w:t>处点位杆件利旧，</w:t>
            </w:r>
            <w:r>
              <w:rPr>
                <w:rFonts w:ascii="仿宋_GB2312" w:hAnsi="仿宋_GB2312" w:cs="仿宋_GB2312" w:eastAsia="仿宋_GB2312"/>
                <w:sz w:val="21"/>
              </w:rPr>
              <w:t>7</w:t>
            </w:r>
            <w:r>
              <w:rPr>
                <w:rFonts w:ascii="仿宋_GB2312" w:hAnsi="仿宋_GB2312" w:cs="仿宋_GB2312" w:eastAsia="仿宋_GB2312"/>
                <w:sz w:val="21"/>
              </w:rPr>
              <w:t>处点位需新建杆件。</w:t>
            </w:r>
          </w:p>
          <w:tbl>
            <w:tblPr>
              <w:tblInd w:type="dxa" w:w="120"/>
              <w:tblBorders>
                <w:top w:val="none" w:color="000000" w:sz="4"/>
                <w:left w:val="none" w:color="000000" w:sz="4"/>
                <w:bottom w:val="none" w:color="000000" w:sz="4"/>
                <w:right w:val="none" w:color="000000" w:sz="4"/>
                <w:insideH w:val="none"/>
                <w:insideV w:val="none"/>
              </w:tblBorders>
            </w:tblPr>
            <w:tblGrid>
              <w:gridCol w:w="196"/>
              <w:gridCol w:w="1058"/>
              <w:gridCol w:w="335"/>
              <w:gridCol w:w="335"/>
              <w:gridCol w:w="295"/>
              <w:gridCol w:w="335"/>
            </w:tblGrid>
            <w:tr>
              <w:tc>
                <w:tcPr>
                  <w:tcW w:type="dxa" w:w="19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10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名称</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建设类型</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卡口方向</w:t>
                  </w:r>
                </w:p>
              </w:tc>
              <w:tc>
                <w:tcPr>
                  <w:tcW w:type="dxa" w:w="2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利旧</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c>
                <w:tcPr>
                  <w:tcW w:type="dxa" w:w="3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新建</w:t>
                  </w:r>
                  <w:r>
                    <w:rPr>
                      <w:rFonts w:ascii="仿宋_GB2312" w:hAnsi="仿宋_GB2312" w:cs="仿宋_GB2312" w:eastAsia="仿宋_GB2312"/>
                      <w:sz w:val="21"/>
                      <w:b/>
                      <w:color w:val="000000"/>
                    </w:rPr>
                    <w:t>/</w:t>
                  </w:r>
                  <w:r>
                    <w:rPr>
                      <w:rFonts w:ascii="仿宋_GB2312" w:hAnsi="仿宋_GB2312" w:cs="仿宋_GB2312" w:eastAsia="仿宋_GB2312"/>
                      <w:sz w:val="21"/>
                      <w:b/>
                      <w:color w:val="000000"/>
                    </w:rPr>
                    <w:t>套</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10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东坑</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1058"/>
                  <w:vMerge/>
                  <w:tcBorders>
                    <w:top w:val="none" w:color="000000" w:sz="4"/>
                    <w:left w:val="single" w:color="000000" w:sz="4"/>
                    <w:bottom w:val="single" w:color="000000" w:sz="4"/>
                    <w:right w:val="single" w:color="000000" w:sz="4"/>
                  </w:tcBorders>
                </w:tc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3</w:t>
                  </w:r>
                </w:p>
              </w:tc>
              <w:tc>
                <w:tcPr>
                  <w:tcW w:type="dxa" w:w="10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盐场堡</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南向北</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4</w:t>
                  </w:r>
                </w:p>
              </w:tc>
              <w:tc>
                <w:tcPr>
                  <w:tcW w:type="dxa" w:w="1058"/>
                  <w:vMerge/>
                  <w:tcBorders>
                    <w:top w:val="none" w:color="000000" w:sz="4"/>
                    <w:left w:val="single" w:color="000000" w:sz="4"/>
                    <w:bottom w:val="single" w:color="000000" w:sz="4"/>
                    <w:right w:val="single" w:color="000000" w:sz="4"/>
                  </w:tcBorders>
                </w:tc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5</w:t>
                  </w:r>
                </w:p>
              </w:tc>
              <w:tc>
                <w:tcPr>
                  <w:tcW w:type="dxa" w:w="10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波罗</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6</w:t>
                  </w:r>
                </w:p>
              </w:tc>
              <w:tc>
                <w:tcPr>
                  <w:tcW w:type="dxa" w:w="1058"/>
                  <w:vMerge/>
                  <w:tcBorders>
                    <w:top w:val="none" w:color="000000" w:sz="4"/>
                    <w:left w:val="single" w:color="000000" w:sz="4"/>
                    <w:bottom w:val="single" w:color="000000" w:sz="4"/>
                    <w:right w:val="single" w:color="000000" w:sz="4"/>
                  </w:tcBorders>
                </w:tc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7</w:t>
                  </w:r>
                </w:p>
              </w:tc>
              <w:tc>
                <w:tcPr>
                  <w:tcW w:type="dxa" w:w="10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鱼河</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8</w:t>
                  </w:r>
                </w:p>
              </w:tc>
              <w:tc>
                <w:tcPr>
                  <w:tcW w:type="dxa" w:w="1058"/>
                  <w:vMerge/>
                  <w:tcBorders>
                    <w:top w:val="none" w:color="000000" w:sz="4"/>
                    <w:left w:val="single" w:color="000000" w:sz="4"/>
                    <w:bottom w:val="single" w:color="000000" w:sz="4"/>
                    <w:right w:val="single" w:color="000000" w:sz="4"/>
                  </w:tcBorders>
                </w:tc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9</w:t>
                  </w:r>
                </w:p>
              </w:tc>
              <w:tc>
                <w:tcPr>
                  <w:tcW w:type="dxa" w:w="10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金鸡滩</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东向西</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0</w:t>
                  </w:r>
                </w:p>
              </w:tc>
              <w:tc>
                <w:tcPr>
                  <w:tcW w:type="dxa" w:w="1058"/>
                  <w:vMerge/>
                  <w:tcBorders>
                    <w:top w:val="none" w:color="000000" w:sz="4"/>
                    <w:left w:val="single" w:color="000000" w:sz="4"/>
                    <w:bottom w:val="single" w:color="000000" w:sz="4"/>
                    <w:right w:val="single" w:color="000000" w:sz="4"/>
                  </w:tcBorders>
                </w:tc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1</w:t>
                  </w:r>
                </w:p>
              </w:tc>
              <w:tc>
                <w:tcPr>
                  <w:tcW w:type="dxa" w:w="10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盘塘</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下行</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2</w:t>
                  </w:r>
                </w:p>
              </w:tc>
              <w:tc>
                <w:tcPr>
                  <w:tcW w:type="dxa" w:w="1058"/>
                  <w:vMerge/>
                  <w:tcBorders>
                    <w:top w:val="none" w:color="000000" w:sz="4"/>
                    <w:left w:val="single" w:color="000000" w:sz="4"/>
                    <w:bottom w:val="single" w:color="000000" w:sz="4"/>
                    <w:right w:val="single" w:color="000000" w:sz="4"/>
                  </w:tcBorders>
                </w:tc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边界卡口</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上下行</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2</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r>
                    <w:rPr>
                      <w:rFonts w:ascii="仿宋_GB2312" w:hAnsi="仿宋_GB2312" w:cs="仿宋_GB2312" w:eastAsia="仿宋_GB2312"/>
                      <w:sz w:val="21"/>
                      <w:color w:val="000000"/>
                    </w:rPr>
                    <w:t>3</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孤山</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上行</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14</w:t>
                  </w:r>
                </w:p>
              </w:tc>
              <w:tc>
                <w:tcPr>
                  <w:tcW w:type="dxa" w:w="105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小沙梁收费站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南向北</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15</w:t>
                  </w:r>
                </w:p>
              </w:tc>
              <w:tc>
                <w:tcPr>
                  <w:tcW w:type="dxa" w:w="10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佳芦镇</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北向南</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19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16</w:t>
                  </w:r>
                </w:p>
              </w:tc>
              <w:tc>
                <w:tcPr>
                  <w:tcW w:type="dxa" w:w="1058"/>
                  <w:vMerge/>
                  <w:tcBorders>
                    <w:top w:val="none" w:color="000000" w:sz="4"/>
                    <w:left w:val="single" w:color="000000" w:sz="4"/>
                    <w:bottom w:val="single" w:color="000000" w:sz="4"/>
                    <w:right w:val="single" w:color="000000" w:sz="4"/>
                  </w:tcBorders>
                </w:tc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执法站</w:t>
                  </w: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西向东</w:t>
                  </w:r>
                </w:p>
              </w:tc>
              <w:tc>
                <w:tcPr>
                  <w:tcW w:type="dxa" w:w="2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1</w:t>
                  </w:r>
                </w:p>
              </w:tc>
            </w:tr>
          </w:tbl>
          <w:p>
            <w:pPr>
              <w:pStyle w:val="null3"/>
              <w:jc w:val="both"/>
            </w:pPr>
            <w:r>
              <w:rPr>
                <w:rFonts w:ascii="仿宋_GB2312" w:hAnsi="仿宋_GB2312" w:cs="仿宋_GB2312" w:eastAsia="仿宋_GB2312"/>
                <w:sz w:val="21"/>
                <w:b/>
              </w:rPr>
              <w:t>三、建设内容清单（以下要求为本项目最低要求）</w:t>
            </w:r>
          </w:p>
          <w:tbl>
            <w:tblPr>
              <w:tblInd w:type="dxa" w:w="120"/>
              <w:tblBorders>
                <w:top w:val="none" w:color="000000" w:sz="4"/>
                <w:left w:val="none" w:color="000000" w:sz="4"/>
                <w:bottom w:val="none" w:color="000000" w:sz="4"/>
                <w:right w:val="none" w:color="000000" w:sz="4"/>
                <w:insideH w:val="none"/>
                <w:insideV w:val="none"/>
              </w:tblBorders>
            </w:tblPr>
            <w:tblGrid>
              <w:gridCol w:w="268"/>
              <w:gridCol w:w="388"/>
              <w:gridCol w:w="1418"/>
              <w:gridCol w:w="236"/>
              <w:gridCol w:w="241"/>
            </w:tblGrid>
            <w:tr>
              <w:tc>
                <w:tcPr>
                  <w:tcW w:type="dxa" w:w="26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序号</w:t>
                  </w:r>
                </w:p>
              </w:tc>
              <w:tc>
                <w:tcPr>
                  <w:tcW w:type="dxa" w:w="3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名称</w:t>
                  </w:r>
                </w:p>
              </w:tc>
              <w:tc>
                <w:tcPr>
                  <w:tcW w:type="dxa" w:w="141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设备规格</w:t>
                  </w:r>
                </w:p>
              </w:tc>
              <w:tc>
                <w:tcPr>
                  <w:tcW w:type="dxa" w:w="23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单位</w:t>
                  </w:r>
                </w:p>
              </w:tc>
              <w:tc>
                <w:tcPr>
                  <w:tcW w:type="dxa" w:w="24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b/>
                      <w:color w:val="000000"/>
                    </w:rPr>
                    <w:t>数量</w:t>
                  </w:r>
                </w:p>
              </w:tc>
            </w:tr>
            <w:tr>
              <w:tc>
                <w:tcPr>
                  <w:tcW w:type="dxa" w:w="268"/>
                  <w:vMerge/>
                  <w:tcBorders>
                    <w:top w:val="single" w:color="000000" w:sz="4"/>
                    <w:left w:val="single" w:color="000000" w:sz="4"/>
                    <w:bottom w:val="single" w:color="000000" w:sz="4"/>
                    <w:right w:val="single" w:color="000000" w:sz="4"/>
                  </w:tcBorders>
                </w:tcPr>
                <w:p/>
              </w:tc>
              <w:tc>
                <w:tcPr>
                  <w:tcW w:type="dxa" w:w="388"/>
                  <w:vMerge/>
                  <w:tcBorders>
                    <w:top w:val="single" w:color="000000" w:sz="4"/>
                    <w:left w:val="none" w:color="000000" w:sz="4"/>
                    <w:bottom w:val="single" w:color="000000" w:sz="4"/>
                    <w:right w:val="single" w:color="000000" w:sz="4"/>
                  </w:tcBorders>
                </w:tcPr>
                <w:p/>
              </w:tc>
              <w:tc>
                <w:tcPr>
                  <w:tcW w:type="dxa" w:w="1418"/>
                  <w:vMerge/>
                  <w:tcBorders>
                    <w:top w:val="single" w:color="000000" w:sz="4"/>
                    <w:left w:val="none" w:color="000000" w:sz="4"/>
                    <w:bottom w:val="single" w:color="000000" w:sz="4"/>
                    <w:right w:val="single" w:color="000000" w:sz="4"/>
                  </w:tcBorders>
                </w:tcPr>
                <w:p/>
              </w:tc>
              <w:tc>
                <w:tcPr>
                  <w:tcW w:type="dxa" w:w="236"/>
                  <w:vMerge/>
                  <w:tcBorders>
                    <w:top w:val="single" w:color="000000" w:sz="4"/>
                    <w:left w:val="none" w:color="000000" w:sz="4"/>
                    <w:bottom w:val="single" w:color="000000" w:sz="4"/>
                    <w:right w:val="single" w:color="000000" w:sz="4"/>
                  </w:tcBorders>
                </w:tcPr>
                <w:p/>
              </w:tc>
              <w:tc>
                <w:tcPr>
                  <w:tcW w:type="dxa" w:w="241"/>
                  <w:vMerge/>
                  <w:tcBorders>
                    <w:top w:val="single" w:color="000000" w:sz="4"/>
                    <w:left w:val="none" w:color="000000" w:sz="4"/>
                    <w:bottom w:val="single" w:color="000000" w:sz="4"/>
                    <w:right w:val="single" w:color="000000" w:sz="4"/>
                  </w:tcBorders>
                </w:tcPr>
                <w:p/>
              </w:tc>
            </w:tr>
            <w:tr>
              <w:tc>
                <w:tcPr>
                  <w:tcW w:type="dxa" w:w="2310"/>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一、国省道卡口建设</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1200</w:t>
                  </w:r>
                  <w:r>
                    <w:rPr>
                      <w:rFonts w:ascii="仿宋_GB2312" w:hAnsi="仿宋_GB2312" w:cs="仿宋_GB2312" w:eastAsia="仿宋_GB2312"/>
                      <w:sz w:val="18"/>
                      <w:color w:val="000000"/>
                    </w:rPr>
                    <w:t>万人脸卡口抓拍单元（核心产品）</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 xml:space="preserve">1. </w:t>
                  </w:r>
                  <w:r>
                    <w:rPr>
                      <w:rFonts w:ascii="仿宋_GB2312" w:hAnsi="仿宋_GB2312" w:cs="仿宋_GB2312" w:eastAsia="仿宋_GB2312"/>
                      <w:sz w:val="18"/>
                      <w:color w:val="000000"/>
                    </w:rPr>
                    <w:t>抓拍单元由防护罩、智能抓拍摄像机、高清镜头组成，抓拍单元防护罩前面板具有防尘、防水功能，内置</w:t>
                  </w:r>
                  <w:r>
                    <w:rPr>
                      <w:rFonts w:ascii="仿宋_GB2312" w:hAnsi="仿宋_GB2312" w:cs="仿宋_GB2312" w:eastAsia="仿宋_GB2312"/>
                      <w:sz w:val="18"/>
                      <w:color w:val="000000"/>
                    </w:rPr>
                    <w:t>LED</w:t>
                  </w:r>
                  <w:r>
                    <w:rPr>
                      <w:rFonts w:ascii="仿宋_GB2312" w:hAnsi="仿宋_GB2312" w:cs="仿宋_GB2312" w:eastAsia="仿宋_GB2312"/>
                      <w:sz w:val="18"/>
                      <w:color w:val="000000"/>
                    </w:rPr>
                    <w:t>暖光灯，单元支持网络防雷、防浪涌，宽温宽压等；</w:t>
                  </w:r>
                  <w:r>
                    <w:br/>
                  </w:r>
                  <w:r>
                    <w:rPr>
                      <w:rFonts w:ascii="仿宋_GB2312" w:hAnsi="仿宋_GB2312" w:cs="仿宋_GB2312" w:eastAsia="仿宋_GB2312"/>
                      <w:sz w:val="18"/>
                      <w:color w:val="000000"/>
                    </w:rPr>
                    <w:t xml:space="preserve">2. </w:t>
                  </w:r>
                  <w:r>
                    <w:rPr>
                      <w:rFonts w:ascii="仿宋_GB2312" w:hAnsi="仿宋_GB2312" w:cs="仿宋_GB2312" w:eastAsia="仿宋_GB2312"/>
                      <w:sz w:val="21"/>
                      <w:b/>
                    </w:rPr>
                    <w:t>▲</w:t>
                  </w:r>
                  <w:r>
                    <w:rPr>
                      <w:rFonts w:ascii="仿宋_GB2312" w:hAnsi="仿宋_GB2312" w:cs="仿宋_GB2312" w:eastAsia="仿宋_GB2312"/>
                      <w:sz w:val="18"/>
                      <w:color w:val="000000"/>
                    </w:rPr>
                    <w:t>摄像机镜头传感器</w:t>
                  </w:r>
                  <w:r>
                    <w:rPr>
                      <w:rFonts w:ascii="仿宋_GB2312" w:hAnsi="仿宋_GB2312" w:cs="仿宋_GB2312" w:eastAsia="仿宋_GB2312"/>
                      <w:sz w:val="18"/>
                      <w:color w:val="000000"/>
                    </w:rPr>
                    <w:t>≥</w:t>
                  </w:r>
                  <w:r>
                    <w:rPr>
                      <w:rFonts w:ascii="仿宋_GB2312" w:hAnsi="仿宋_GB2312" w:cs="仿宋_GB2312" w:eastAsia="仿宋_GB2312"/>
                      <w:sz w:val="18"/>
                      <w:color w:val="000000"/>
                    </w:rPr>
                    <w:t>1.1</w:t>
                  </w:r>
                  <w:r>
                    <w:rPr>
                      <w:rFonts w:ascii="仿宋_GB2312" w:hAnsi="仿宋_GB2312" w:cs="仿宋_GB2312" w:eastAsia="仿宋_GB2312"/>
                      <w:sz w:val="18"/>
                      <w:color w:val="000000"/>
                    </w:rPr>
                    <w:t>英寸，分辨率不小于</w:t>
                  </w:r>
                  <w:r>
                    <w:rPr>
                      <w:rFonts w:ascii="仿宋_GB2312" w:hAnsi="仿宋_GB2312" w:cs="仿宋_GB2312" w:eastAsia="仿宋_GB2312"/>
                      <w:sz w:val="18"/>
                      <w:color w:val="000000"/>
                    </w:rPr>
                    <w:t>41</w:t>
                  </w:r>
                  <w:r>
                    <w:rPr>
                      <w:rFonts w:ascii="仿宋_GB2312" w:hAnsi="仿宋_GB2312" w:cs="仿宋_GB2312" w:eastAsia="仿宋_GB2312"/>
                      <w:sz w:val="18"/>
                      <w:color w:val="000000"/>
                    </w:rPr>
                    <w:t>00</w:t>
                  </w:r>
                  <w:r>
                    <w:rPr>
                      <w:rFonts w:ascii="仿宋_GB2312" w:hAnsi="仿宋_GB2312" w:cs="仿宋_GB2312" w:eastAsia="仿宋_GB2312"/>
                      <w:sz w:val="18"/>
                      <w:color w:val="000000"/>
                    </w:rPr>
                    <w:t>×</w:t>
                  </w:r>
                  <w:r>
                    <w:rPr>
                      <w:rFonts w:ascii="仿宋_GB2312" w:hAnsi="仿宋_GB2312" w:cs="仿宋_GB2312" w:eastAsia="仿宋_GB2312"/>
                      <w:sz w:val="18"/>
                      <w:color w:val="000000"/>
                    </w:rPr>
                    <w:t>30</w:t>
                  </w:r>
                  <w:r>
                    <w:rPr>
                      <w:rFonts w:ascii="仿宋_GB2312" w:hAnsi="仿宋_GB2312" w:cs="仿宋_GB2312" w:eastAsia="仿宋_GB2312"/>
                      <w:sz w:val="18"/>
                      <w:color w:val="000000"/>
                    </w:rPr>
                    <w:t>00</w:t>
                  </w:r>
                  <w:r>
                    <w:rPr>
                      <w:rFonts w:ascii="仿宋_GB2312" w:hAnsi="仿宋_GB2312" w:cs="仿宋_GB2312" w:eastAsia="仿宋_GB2312"/>
                      <w:sz w:val="18"/>
                      <w:color w:val="000000"/>
                    </w:rPr>
                    <w:t>，帧率</w:t>
                  </w:r>
                  <w:r>
                    <w:rPr>
                      <w:rFonts w:ascii="仿宋_GB2312" w:hAnsi="仿宋_GB2312" w:cs="仿宋_GB2312" w:eastAsia="仿宋_GB2312"/>
                      <w:sz w:val="18"/>
                      <w:color w:val="000000"/>
                    </w:rPr>
                    <w:t>≥</w:t>
                  </w:r>
                  <w:r>
                    <w:rPr>
                      <w:rFonts w:ascii="仿宋_GB2312" w:hAnsi="仿宋_GB2312" w:cs="仿宋_GB2312" w:eastAsia="仿宋_GB2312"/>
                      <w:sz w:val="18"/>
                      <w:color w:val="000000"/>
                    </w:rPr>
                    <w:t>25</w:t>
                  </w:r>
                  <w:r>
                    <w:rPr>
                      <w:rFonts w:ascii="仿宋_GB2312" w:hAnsi="仿宋_GB2312" w:cs="仿宋_GB2312" w:eastAsia="仿宋_GB2312"/>
                      <w:sz w:val="18"/>
                      <w:color w:val="000000"/>
                    </w:rPr>
                    <w:t>帧，镜头焦距≥</w:t>
                  </w:r>
                  <w:r>
                    <w:rPr>
                      <w:rFonts w:ascii="仿宋_GB2312" w:hAnsi="仿宋_GB2312" w:cs="仿宋_GB2312" w:eastAsia="仿宋_GB2312"/>
                      <w:sz w:val="18"/>
                      <w:color w:val="000000"/>
                    </w:rPr>
                    <w:t>50mm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 xml:space="preserve">3. </w:t>
                  </w:r>
                  <w:r>
                    <w:rPr>
                      <w:rFonts w:ascii="仿宋_GB2312" w:hAnsi="仿宋_GB2312" w:cs="仿宋_GB2312" w:eastAsia="仿宋_GB2312"/>
                      <w:sz w:val="18"/>
                      <w:color w:val="000000"/>
                    </w:rPr>
                    <w:t>白天使用闪光灯补光，夜晚使用</w:t>
                  </w:r>
                  <w:r>
                    <w:rPr>
                      <w:rFonts w:ascii="仿宋_GB2312" w:hAnsi="仿宋_GB2312" w:cs="仿宋_GB2312" w:eastAsia="仿宋_GB2312"/>
                      <w:sz w:val="18"/>
                      <w:color w:val="000000"/>
                    </w:rPr>
                    <w:t>LED</w:t>
                  </w:r>
                  <w:r>
                    <w:rPr>
                      <w:rFonts w:ascii="仿宋_GB2312" w:hAnsi="仿宋_GB2312" w:cs="仿宋_GB2312" w:eastAsia="仿宋_GB2312"/>
                      <w:sz w:val="18"/>
                      <w:color w:val="000000"/>
                    </w:rPr>
                    <w:t>频闪灯补光，抓拍图片可看清司乘人员人脸，搭配一级补光装置时，夜间抓拍可获得全彩图像，车身和车窗内特征可以满足交警业务需求；</w:t>
                  </w:r>
                  <w:r>
                    <w:br/>
                  </w:r>
                  <w:r>
                    <w:rPr>
                      <w:rFonts w:ascii="仿宋_GB2312" w:hAnsi="仿宋_GB2312" w:cs="仿宋_GB2312" w:eastAsia="仿宋_GB2312"/>
                      <w:sz w:val="18"/>
                      <w:color w:val="000000"/>
                    </w:rPr>
                    <w:t xml:space="preserve">4. </w:t>
                  </w:r>
                  <w:r>
                    <w:rPr>
                      <w:rFonts w:ascii="仿宋_GB2312" w:hAnsi="仿宋_GB2312" w:cs="仿宋_GB2312" w:eastAsia="仿宋_GB2312"/>
                      <w:sz w:val="18"/>
                      <w:color w:val="000000"/>
                    </w:rPr>
                    <w:t>支持机动车的车牌，车身颜色，车型，子品牌，驾驶室人员等特征检测，支持机动车的过车记录和违章行为检测抓拍；</w:t>
                  </w:r>
                  <w:r>
                    <w:br/>
                  </w:r>
                  <w:r>
                    <w:rPr>
                      <w:rFonts w:ascii="仿宋_GB2312" w:hAnsi="仿宋_GB2312" w:cs="仿宋_GB2312" w:eastAsia="仿宋_GB2312"/>
                      <w:sz w:val="18"/>
                      <w:color w:val="000000"/>
                    </w:rPr>
                    <w:t xml:space="preserve">5.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GB/T 28181</w:t>
                  </w:r>
                  <w:r>
                    <w:rPr>
                      <w:rFonts w:ascii="仿宋_GB2312" w:hAnsi="仿宋_GB2312" w:cs="仿宋_GB2312" w:eastAsia="仿宋_GB2312"/>
                      <w:sz w:val="18"/>
                      <w:color w:val="000000"/>
                    </w:rPr>
                    <w:t>视频联网标准、</w:t>
                  </w:r>
                  <w:r>
                    <w:rPr>
                      <w:rFonts w:ascii="仿宋_GB2312" w:hAnsi="仿宋_GB2312" w:cs="仿宋_GB2312" w:eastAsia="仿宋_GB2312"/>
                      <w:sz w:val="18"/>
                      <w:color w:val="000000"/>
                    </w:rPr>
                    <w:t>GA/T 1400</w:t>
                  </w:r>
                  <w:r>
                    <w:rPr>
                      <w:rFonts w:ascii="仿宋_GB2312" w:hAnsi="仿宋_GB2312" w:cs="仿宋_GB2312" w:eastAsia="仿宋_GB2312"/>
                      <w:sz w:val="18"/>
                      <w:color w:val="000000"/>
                    </w:rPr>
                    <w:t>视图库标准；</w:t>
                  </w:r>
                  <w:r>
                    <w:br/>
                  </w:r>
                  <w:r>
                    <w:rPr>
                      <w:rFonts w:ascii="仿宋_GB2312" w:hAnsi="仿宋_GB2312" w:cs="仿宋_GB2312" w:eastAsia="仿宋_GB2312"/>
                      <w:sz w:val="18"/>
                      <w:color w:val="000000"/>
                    </w:rPr>
                    <w:t xml:space="preserve">6. </w:t>
                  </w:r>
                  <w:r>
                    <w:rPr>
                      <w:rFonts w:ascii="仿宋_GB2312" w:hAnsi="仿宋_GB2312" w:cs="仿宋_GB2312" w:eastAsia="仿宋_GB2312"/>
                      <w:sz w:val="18"/>
                      <w:color w:val="000000"/>
                    </w:rPr>
                    <w:t>违章检测：支持超速、压车道线、违章变道、未系安全带、不礼让行人、逆行开车接打电话等违法行为；</w:t>
                  </w:r>
                  <w:r>
                    <w:br/>
                  </w:r>
                  <w:r>
                    <w:rPr>
                      <w:rFonts w:ascii="仿宋_GB2312" w:hAnsi="仿宋_GB2312" w:cs="仿宋_GB2312" w:eastAsia="仿宋_GB2312"/>
                      <w:sz w:val="18"/>
                      <w:color w:val="000000"/>
                    </w:rPr>
                    <w:t xml:space="preserve">7. </w:t>
                  </w:r>
                  <w:r>
                    <w:rPr>
                      <w:rFonts w:ascii="仿宋_GB2312" w:hAnsi="仿宋_GB2312" w:cs="仿宋_GB2312" w:eastAsia="仿宋_GB2312"/>
                      <w:sz w:val="21"/>
                      <w:b/>
                    </w:rPr>
                    <w:t>▲</w:t>
                  </w:r>
                  <w:r>
                    <w:rPr>
                      <w:rFonts w:ascii="仿宋_GB2312" w:hAnsi="仿宋_GB2312" w:cs="仿宋_GB2312" w:eastAsia="仿宋_GB2312"/>
                      <w:sz w:val="18"/>
                      <w:color w:val="000000"/>
                    </w:rPr>
                    <w:t>设备具备号牌识别功能，可识别大型汽车号牌、挂车号牌、大型新能源汽车号牌、小型汽车号牌、小型新能源汽车号牌、武警车牌、军牌、港澳入出境车号牌、使馆汽车号牌、教练汽车号牌、民航车牌。抓拍垂直倾斜角度</w:t>
                  </w:r>
                  <w:r>
                    <w:rPr>
                      <w:rFonts w:ascii="仿宋_GB2312" w:hAnsi="仿宋_GB2312" w:cs="仿宋_GB2312" w:eastAsia="仿宋_GB2312"/>
                      <w:sz w:val="18"/>
                      <w:color w:val="000000"/>
                    </w:rPr>
                    <w:t>≤</w:t>
                  </w:r>
                  <w:r>
                    <w:rPr>
                      <w:rFonts w:ascii="仿宋_GB2312" w:hAnsi="仿宋_GB2312" w:cs="仿宋_GB2312" w:eastAsia="仿宋_GB2312"/>
                      <w:sz w:val="18"/>
                      <w:color w:val="000000"/>
                    </w:rPr>
                    <w:t>55</w:t>
                  </w:r>
                  <w:r>
                    <w:rPr>
                      <w:rFonts w:ascii="仿宋_GB2312" w:hAnsi="仿宋_GB2312" w:cs="仿宋_GB2312" w:eastAsia="仿宋_GB2312"/>
                      <w:sz w:val="18"/>
                      <w:color w:val="000000"/>
                    </w:rPr>
                    <w:t>°、水平倾斜角度≤</w:t>
                  </w:r>
                  <w:r>
                    <w:rPr>
                      <w:rFonts w:ascii="仿宋_GB2312" w:hAnsi="仿宋_GB2312" w:cs="仿宋_GB2312" w:eastAsia="仿宋_GB2312"/>
                      <w:sz w:val="18"/>
                      <w:color w:val="000000"/>
                    </w:rPr>
                    <w:t>35</w:t>
                  </w:r>
                  <w:r>
                    <w:rPr>
                      <w:rFonts w:ascii="仿宋_GB2312" w:hAnsi="仿宋_GB2312" w:cs="仿宋_GB2312" w:eastAsia="仿宋_GB2312"/>
                      <w:sz w:val="18"/>
                      <w:color w:val="000000"/>
                    </w:rPr>
                    <w:t>°、俯仰角度≤</w:t>
                  </w:r>
                  <w:r>
                    <w:rPr>
                      <w:rFonts w:ascii="仿宋_GB2312" w:hAnsi="仿宋_GB2312" w:cs="仿宋_GB2312" w:eastAsia="仿宋_GB2312"/>
                      <w:sz w:val="18"/>
                      <w:color w:val="000000"/>
                    </w:rPr>
                    <w:t>35</w:t>
                  </w:r>
                  <w:r>
                    <w:rPr>
                      <w:rFonts w:ascii="仿宋_GB2312" w:hAnsi="仿宋_GB2312" w:cs="仿宋_GB2312" w:eastAsia="仿宋_GB2312"/>
                      <w:sz w:val="18"/>
                      <w:color w:val="000000"/>
                    </w:rPr>
                    <w:t>°的机动车车牌号码均可正常识别；</w:t>
                  </w:r>
                  <w:r>
                    <w:br/>
                  </w:r>
                  <w:r>
                    <w:rPr>
                      <w:rFonts w:ascii="仿宋_GB2312" w:hAnsi="仿宋_GB2312" w:cs="仿宋_GB2312" w:eastAsia="仿宋_GB2312"/>
                      <w:sz w:val="18"/>
                      <w:color w:val="000000"/>
                    </w:rPr>
                    <w:t xml:space="preserve">8. </w:t>
                  </w:r>
                  <w:r>
                    <w:rPr>
                      <w:rFonts w:ascii="仿宋_GB2312" w:hAnsi="仿宋_GB2312" w:cs="仿宋_GB2312" w:eastAsia="仿宋_GB2312"/>
                      <w:sz w:val="18"/>
                      <w:color w:val="000000"/>
                    </w:rPr>
                    <w:t>工作温度：</w:t>
                  </w:r>
                  <w:r>
                    <w:rPr>
                      <w:rFonts w:ascii="仿宋_GB2312" w:hAnsi="仿宋_GB2312" w:cs="仿宋_GB2312" w:eastAsia="仿宋_GB2312"/>
                      <w:sz w:val="18"/>
                      <w:color w:val="000000"/>
                    </w:rPr>
                    <w:t>-30</w:t>
                  </w:r>
                  <w:r>
                    <w:rPr>
                      <w:rFonts w:ascii="仿宋_GB2312" w:hAnsi="仿宋_GB2312" w:cs="仿宋_GB2312" w:eastAsia="仿宋_GB2312"/>
                      <w:sz w:val="18"/>
                      <w:color w:val="000000"/>
                    </w:rPr>
                    <w:t>°</w:t>
                  </w:r>
                  <w:r>
                    <w:rPr>
                      <w:rFonts w:ascii="仿宋_GB2312" w:hAnsi="仿宋_GB2312" w:cs="仿宋_GB2312" w:eastAsia="仿宋_GB2312"/>
                      <w:sz w:val="18"/>
                      <w:color w:val="000000"/>
                    </w:rPr>
                    <w:t>C~70</w:t>
                  </w:r>
                  <w:r>
                    <w:rPr>
                      <w:rFonts w:ascii="仿宋_GB2312" w:hAnsi="仿宋_GB2312" w:cs="仿宋_GB2312" w:eastAsia="仿宋_GB2312"/>
                      <w:sz w:val="18"/>
                      <w:color w:val="000000"/>
                    </w:rPr>
                    <w:t>°</w:t>
                  </w:r>
                  <w:r>
                    <w:rPr>
                      <w:rFonts w:ascii="仿宋_GB2312" w:hAnsi="仿宋_GB2312" w:cs="仿宋_GB2312" w:eastAsia="仿宋_GB2312"/>
                      <w:sz w:val="18"/>
                      <w:color w:val="000000"/>
                    </w:rPr>
                    <w:t>C</w:t>
                  </w:r>
                  <w:r>
                    <w:rPr>
                      <w:rFonts w:ascii="仿宋_GB2312" w:hAnsi="仿宋_GB2312" w:cs="仿宋_GB2312" w:eastAsia="仿宋_GB2312"/>
                      <w:sz w:val="18"/>
                      <w:color w:val="000000"/>
                    </w:rPr>
                    <w:t>。</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200</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500</w:t>
                  </w:r>
                  <w:r>
                    <w:rPr>
                      <w:rFonts w:ascii="仿宋_GB2312" w:hAnsi="仿宋_GB2312" w:cs="仿宋_GB2312" w:eastAsia="仿宋_GB2312"/>
                      <w:sz w:val="18"/>
                      <w:color w:val="000000"/>
                    </w:rPr>
                    <w:t>万人脸卡口抓拍单元</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 xml:space="preserve">1. </w:t>
                  </w:r>
                  <w:r>
                    <w:rPr>
                      <w:rFonts w:ascii="仿宋_GB2312" w:hAnsi="仿宋_GB2312" w:cs="仿宋_GB2312" w:eastAsia="仿宋_GB2312"/>
                      <w:sz w:val="18"/>
                      <w:color w:val="000000"/>
                    </w:rPr>
                    <w:t>抓拍单元由防护罩、智能抓拍摄像机、高清镜头组成，抓拍单元防护罩前面板具有防尘、防水功能，内置</w:t>
                  </w:r>
                  <w:r>
                    <w:rPr>
                      <w:rFonts w:ascii="仿宋_GB2312" w:hAnsi="仿宋_GB2312" w:cs="仿宋_GB2312" w:eastAsia="仿宋_GB2312"/>
                      <w:sz w:val="18"/>
                      <w:color w:val="000000"/>
                    </w:rPr>
                    <w:t>LED</w:t>
                  </w:r>
                  <w:r>
                    <w:rPr>
                      <w:rFonts w:ascii="仿宋_GB2312" w:hAnsi="仿宋_GB2312" w:cs="仿宋_GB2312" w:eastAsia="仿宋_GB2312"/>
                      <w:sz w:val="18"/>
                      <w:color w:val="000000"/>
                    </w:rPr>
                    <w:t>暖光灯，单元支持网络防雷、防浪涌，宽温宽压等；</w:t>
                  </w:r>
                  <w:r>
                    <w:br/>
                  </w:r>
                  <w:r>
                    <w:rPr>
                      <w:rFonts w:ascii="仿宋_GB2312" w:hAnsi="仿宋_GB2312" w:cs="仿宋_GB2312" w:eastAsia="仿宋_GB2312"/>
                      <w:sz w:val="21"/>
                      <w:b/>
                    </w:rPr>
                    <w:t>▲</w:t>
                  </w:r>
                  <w:r>
                    <w:rPr>
                      <w:rFonts w:ascii="仿宋_GB2312" w:hAnsi="仿宋_GB2312" w:cs="仿宋_GB2312" w:eastAsia="仿宋_GB2312"/>
                      <w:sz w:val="18"/>
                      <w:color w:val="000000"/>
                    </w:rPr>
                    <w:t>2.</w:t>
                  </w:r>
                  <w:r>
                    <w:rPr>
                      <w:rFonts w:ascii="仿宋_GB2312" w:hAnsi="仿宋_GB2312" w:cs="仿宋_GB2312" w:eastAsia="仿宋_GB2312"/>
                      <w:sz w:val="18"/>
                      <w:color w:val="000000"/>
                    </w:rPr>
                    <w:t>摄像机镜头传感器≥</w:t>
                  </w:r>
                  <w:r>
                    <w:rPr>
                      <w:rFonts w:ascii="仿宋_GB2312" w:hAnsi="仿宋_GB2312" w:cs="仿宋_GB2312" w:eastAsia="仿宋_GB2312"/>
                      <w:sz w:val="18"/>
                      <w:color w:val="000000"/>
                    </w:rPr>
                    <w:t>2/3</w:t>
                  </w:r>
                  <w:r>
                    <w:rPr>
                      <w:rFonts w:ascii="仿宋_GB2312" w:hAnsi="仿宋_GB2312" w:cs="仿宋_GB2312" w:eastAsia="仿宋_GB2312"/>
                      <w:sz w:val="18"/>
                      <w:color w:val="000000"/>
                    </w:rPr>
                    <w:t>英寸，分辨率不小于</w:t>
                  </w:r>
                  <w:r>
                    <w:rPr>
                      <w:rFonts w:ascii="仿宋_GB2312" w:hAnsi="仿宋_GB2312" w:cs="仿宋_GB2312" w:eastAsia="仿宋_GB2312"/>
                      <w:sz w:val="18"/>
                      <w:color w:val="000000"/>
                    </w:rPr>
                    <w:t xml:space="preserve">2448 </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2048</w:t>
                  </w:r>
                  <w:r>
                    <w:rPr>
                      <w:rFonts w:ascii="仿宋_GB2312" w:hAnsi="仿宋_GB2312" w:cs="仿宋_GB2312" w:eastAsia="仿宋_GB2312"/>
                      <w:sz w:val="18"/>
                      <w:color w:val="000000"/>
                    </w:rPr>
                    <w:t>，帧率≥</w:t>
                  </w:r>
                  <w:r>
                    <w:rPr>
                      <w:rFonts w:ascii="仿宋_GB2312" w:hAnsi="仿宋_GB2312" w:cs="仿宋_GB2312" w:eastAsia="仿宋_GB2312"/>
                      <w:sz w:val="18"/>
                      <w:color w:val="000000"/>
                    </w:rPr>
                    <w:t>25</w:t>
                  </w:r>
                  <w:r>
                    <w:rPr>
                      <w:rFonts w:ascii="仿宋_GB2312" w:hAnsi="仿宋_GB2312" w:cs="仿宋_GB2312" w:eastAsia="仿宋_GB2312"/>
                      <w:sz w:val="18"/>
                      <w:color w:val="000000"/>
                    </w:rPr>
                    <w:t>帧，镜头焦距≥</w:t>
                  </w:r>
                  <w:r>
                    <w:rPr>
                      <w:rFonts w:ascii="仿宋_GB2312" w:hAnsi="仿宋_GB2312" w:cs="仿宋_GB2312" w:eastAsia="仿宋_GB2312"/>
                      <w:sz w:val="18"/>
                      <w:color w:val="000000"/>
                    </w:rPr>
                    <w:t>50mm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 xml:space="preserve">3. </w:t>
                  </w:r>
                  <w:r>
                    <w:rPr>
                      <w:rFonts w:ascii="仿宋_GB2312" w:hAnsi="仿宋_GB2312" w:cs="仿宋_GB2312" w:eastAsia="仿宋_GB2312"/>
                      <w:sz w:val="18"/>
                      <w:color w:val="000000"/>
                    </w:rPr>
                    <w:t>白天使用闪光灯补光，夜晚使用</w:t>
                  </w:r>
                  <w:r>
                    <w:rPr>
                      <w:rFonts w:ascii="仿宋_GB2312" w:hAnsi="仿宋_GB2312" w:cs="仿宋_GB2312" w:eastAsia="仿宋_GB2312"/>
                      <w:sz w:val="18"/>
                      <w:color w:val="000000"/>
                    </w:rPr>
                    <w:t>LED</w:t>
                  </w:r>
                  <w:r>
                    <w:rPr>
                      <w:rFonts w:ascii="仿宋_GB2312" w:hAnsi="仿宋_GB2312" w:cs="仿宋_GB2312" w:eastAsia="仿宋_GB2312"/>
                      <w:sz w:val="18"/>
                      <w:color w:val="000000"/>
                    </w:rPr>
                    <w:t>频闪灯补光，抓拍图片可看清司乘人员人脸，搭配一级补光装置时，夜间抓拍可获得全彩图像，车身和车窗内特征可以满足交警业务需求；</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支持机动车的车牌，车身颜色，车型，子品牌，驾驶室人员等特征检测，支持机动车的过车记录和违章行为检测抓拍；</w:t>
                  </w:r>
                  <w:r>
                    <w:br/>
                  </w:r>
                  <w:r>
                    <w:rPr>
                      <w:rFonts w:ascii="仿宋_GB2312" w:hAnsi="仿宋_GB2312" w:cs="仿宋_GB2312" w:eastAsia="仿宋_GB2312"/>
                      <w:sz w:val="18"/>
                      <w:color w:val="000000"/>
                    </w:rPr>
                    <w:t xml:space="preserve">5.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GB/T 28181</w:t>
                  </w:r>
                  <w:r>
                    <w:rPr>
                      <w:rFonts w:ascii="仿宋_GB2312" w:hAnsi="仿宋_GB2312" w:cs="仿宋_GB2312" w:eastAsia="仿宋_GB2312"/>
                      <w:sz w:val="18"/>
                      <w:color w:val="000000"/>
                    </w:rPr>
                    <w:t>视频联网标准、</w:t>
                  </w:r>
                  <w:r>
                    <w:rPr>
                      <w:rFonts w:ascii="仿宋_GB2312" w:hAnsi="仿宋_GB2312" w:cs="仿宋_GB2312" w:eastAsia="仿宋_GB2312"/>
                      <w:sz w:val="18"/>
                      <w:color w:val="000000"/>
                    </w:rPr>
                    <w:t>GA/T 1400</w:t>
                  </w:r>
                  <w:r>
                    <w:rPr>
                      <w:rFonts w:ascii="仿宋_GB2312" w:hAnsi="仿宋_GB2312" w:cs="仿宋_GB2312" w:eastAsia="仿宋_GB2312"/>
                      <w:sz w:val="18"/>
                      <w:color w:val="000000"/>
                    </w:rPr>
                    <w:t>视图库标准、</w:t>
                  </w:r>
                  <w:r>
                    <w:rPr>
                      <w:rFonts w:ascii="仿宋_GB2312" w:hAnsi="仿宋_GB2312" w:cs="仿宋_GB2312" w:eastAsia="仿宋_GB2312"/>
                      <w:sz w:val="18"/>
                      <w:color w:val="000000"/>
                    </w:rPr>
                    <w:t>FTP</w:t>
                  </w:r>
                  <w:r>
                    <w:rPr>
                      <w:rFonts w:ascii="仿宋_GB2312" w:hAnsi="仿宋_GB2312" w:cs="仿宋_GB2312" w:eastAsia="仿宋_GB2312"/>
                      <w:sz w:val="18"/>
                      <w:color w:val="000000"/>
                    </w:rPr>
                    <w:t>协议；</w:t>
                  </w:r>
                  <w:r>
                    <w:br/>
                  </w:r>
                  <w:r>
                    <w:rPr>
                      <w:rFonts w:ascii="仿宋_GB2312" w:hAnsi="仿宋_GB2312" w:cs="仿宋_GB2312" w:eastAsia="仿宋_GB2312"/>
                      <w:sz w:val="18"/>
                      <w:color w:val="000000"/>
                    </w:rPr>
                    <w:t xml:space="preserve">6. </w:t>
                  </w:r>
                  <w:r>
                    <w:rPr>
                      <w:rFonts w:ascii="仿宋_GB2312" w:hAnsi="仿宋_GB2312" w:cs="仿宋_GB2312" w:eastAsia="仿宋_GB2312"/>
                      <w:sz w:val="18"/>
                      <w:color w:val="000000"/>
                    </w:rPr>
                    <w:t>违章检测：支持超速、压车道线、违章变道、未系安全带、不礼让行人、逆行开车接打电话等违法行为；</w:t>
                  </w:r>
                  <w:r>
                    <w:br/>
                  </w:r>
                  <w:r>
                    <w:rPr>
                      <w:rFonts w:ascii="仿宋_GB2312" w:hAnsi="仿宋_GB2312" w:cs="仿宋_GB2312" w:eastAsia="仿宋_GB2312"/>
                      <w:sz w:val="18"/>
                      <w:color w:val="000000"/>
                    </w:rPr>
                    <w:t xml:space="preserve">7. </w:t>
                  </w:r>
                  <w:r>
                    <w:rPr>
                      <w:rFonts w:ascii="仿宋_GB2312" w:hAnsi="仿宋_GB2312" w:cs="仿宋_GB2312" w:eastAsia="仿宋_GB2312"/>
                      <w:sz w:val="21"/>
                      <w:b/>
                    </w:rPr>
                    <w:t>▲</w:t>
                  </w:r>
                  <w:r>
                    <w:rPr>
                      <w:rFonts w:ascii="仿宋_GB2312" w:hAnsi="仿宋_GB2312" w:cs="仿宋_GB2312" w:eastAsia="仿宋_GB2312"/>
                      <w:sz w:val="18"/>
                      <w:color w:val="000000"/>
                    </w:rPr>
                    <w:t>设备具备号牌识别功能，可识别大型汽车号牌、挂车号牌、大型新能源汽车号牌、小型汽车号牌、小型新能源汽车号牌、武警车牌、军牌、港澳入出境车号牌、使馆汽车号牌、教练汽车号牌、民航车牌。抓拍垂直倾斜角度</w:t>
                  </w:r>
                  <w:r>
                    <w:rPr>
                      <w:rFonts w:ascii="仿宋_GB2312" w:hAnsi="仿宋_GB2312" w:cs="仿宋_GB2312" w:eastAsia="仿宋_GB2312"/>
                      <w:sz w:val="18"/>
                      <w:color w:val="000000"/>
                    </w:rPr>
                    <w:t>≤</w:t>
                  </w:r>
                  <w:r>
                    <w:rPr>
                      <w:rFonts w:ascii="仿宋_GB2312" w:hAnsi="仿宋_GB2312" w:cs="仿宋_GB2312" w:eastAsia="仿宋_GB2312"/>
                      <w:sz w:val="18"/>
                      <w:color w:val="000000"/>
                    </w:rPr>
                    <w:t>55</w:t>
                  </w:r>
                  <w:r>
                    <w:rPr>
                      <w:rFonts w:ascii="仿宋_GB2312" w:hAnsi="仿宋_GB2312" w:cs="仿宋_GB2312" w:eastAsia="仿宋_GB2312"/>
                      <w:sz w:val="18"/>
                      <w:color w:val="000000"/>
                    </w:rPr>
                    <w:t>°、水平倾斜角度≤</w:t>
                  </w:r>
                  <w:r>
                    <w:rPr>
                      <w:rFonts w:ascii="仿宋_GB2312" w:hAnsi="仿宋_GB2312" w:cs="仿宋_GB2312" w:eastAsia="仿宋_GB2312"/>
                      <w:sz w:val="18"/>
                      <w:color w:val="000000"/>
                    </w:rPr>
                    <w:t>35</w:t>
                  </w:r>
                  <w:r>
                    <w:rPr>
                      <w:rFonts w:ascii="仿宋_GB2312" w:hAnsi="仿宋_GB2312" w:cs="仿宋_GB2312" w:eastAsia="仿宋_GB2312"/>
                      <w:sz w:val="18"/>
                      <w:color w:val="000000"/>
                    </w:rPr>
                    <w:t>°、俯仰角度≤</w:t>
                  </w:r>
                  <w:r>
                    <w:rPr>
                      <w:rFonts w:ascii="仿宋_GB2312" w:hAnsi="仿宋_GB2312" w:cs="仿宋_GB2312" w:eastAsia="仿宋_GB2312"/>
                      <w:sz w:val="18"/>
                      <w:color w:val="000000"/>
                    </w:rPr>
                    <w:t>35</w:t>
                  </w:r>
                  <w:r>
                    <w:rPr>
                      <w:rFonts w:ascii="仿宋_GB2312" w:hAnsi="仿宋_GB2312" w:cs="仿宋_GB2312" w:eastAsia="仿宋_GB2312"/>
                      <w:sz w:val="18"/>
                      <w:color w:val="000000"/>
                    </w:rPr>
                    <w:t>°的机动车车牌号码均可正常识别；</w:t>
                  </w:r>
                  <w:r>
                    <w:br/>
                  </w:r>
                  <w:r>
                    <w:rPr>
                      <w:rFonts w:ascii="仿宋_GB2312" w:hAnsi="仿宋_GB2312" w:cs="仿宋_GB2312" w:eastAsia="仿宋_GB2312"/>
                      <w:sz w:val="18"/>
                      <w:color w:val="000000"/>
                    </w:rPr>
                    <w:t xml:space="preserve">8. </w:t>
                  </w:r>
                  <w:r>
                    <w:rPr>
                      <w:rFonts w:ascii="仿宋_GB2312" w:hAnsi="仿宋_GB2312" w:cs="仿宋_GB2312" w:eastAsia="仿宋_GB2312"/>
                      <w:sz w:val="18"/>
                      <w:color w:val="000000"/>
                    </w:rPr>
                    <w:t>工作温度：</w:t>
                  </w:r>
                  <w:r>
                    <w:rPr>
                      <w:rFonts w:ascii="仿宋_GB2312" w:hAnsi="仿宋_GB2312" w:cs="仿宋_GB2312" w:eastAsia="仿宋_GB2312"/>
                      <w:sz w:val="18"/>
                      <w:color w:val="000000"/>
                    </w:rPr>
                    <w:t>-30</w:t>
                  </w:r>
                  <w:r>
                    <w:rPr>
                      <w:rFonts w:ascii="仿宋_GB2312" w:hAnsi="仿宋_GB2312" w:cs="仿宋_GB2312" w:eastAsia="仿宋_GB2312"/>
                      <w:sz w:val="18"/>
                      <w:color w:val="000000"/>
                    </w:rPr>
                    <w:t>°</w:t>
                  </w:r>
                  <w:r>
                    <w:rPr>
                      <w:rFonts w:ascii="仿宋_GB2312" w:hAnsi="仿宋_GB2312" w:cs="仿宋_GB2312" w:eastAsia="仿宋_GB2312"/>
                      <w:sz w:val="18"/>
                      <w:color w:val="000000"/>
                    </w:rPr>
                    <w:t>C~70</w:t>
                  </w:r>
                  <w:r>
                    <w:rPr>
                      <w:rFonts w:ascii="仿宋_GB2312" w:hAnsi="仿宋_GB2312" w:cs="仿宋_GB2312" w:eastAsia="仿宋_GB2312"/>
                      <w:sz w:val="18"/>
                      <w:color w:val="000000"/>
                    </w:rPr>
                    <w:t>°</w:t>
                  </w:r>
                  <w:r>
                    <w:rPr>
                      <w:rFonts w:ascii="仿宋_GB2312" w:hAnsi="仿宋_GB2312" w:cs="仿宋_GB2312" w:eastAsia="仿宋_GB2312"/>
                      <w:sz w:val="18"/>
                      <w:color w:val="000000"/>
                    </w:rPr>
                    <w:t>C</w:t>
                  </w:r>
                  <w:r>
                    <w:rPr>
                      <w:rFonts w:ascii="仿宋_GB2312" w:hAnsi="仿宋_GB2312" w:cs="仿宋_GB2312" w:eastAsia="仿宋_GB2312"/>
                      <w:sz w:val="18"/>
                      <w:color w:val="000000"/>
                    </w:rPr>
                    <w:t>。</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卡口补光灯</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 xml:space="preserve">1. </w:t>
                  </w:r>
                  <w:r>
                    <w:rPr>
                      <w:rFonts w:ascii="仿宋_GB2312" w:hAnsi="仿宋_GB2312" w:cs="仿宋_GB2312" w:eastAsia="仿宋_GB2312"/>
                      <w:sz w:val="21"/>
                      <w:b/>
                    </w:rPr>
                    <w:t>▲</w:t>
                  </w:r>
                  <w:r>
                    <w:rPr>
                      <w:rFonts w:ascii="仿宋_GB2312" w:hAnsi="仿宋_GB2312" w:cs="仿宋_GB2312" w:eastAsia="仿宋_GB2312"/>
                      <w:sz w:val="18"/>
                      <w:color w:val="000000"/>
                    </w:rPr>
                    <w:t>符合</w:t>
                  </w:r>
                  <w:r>
                    <w:rPr>
                      <w:rFonts w:ascii="仿宋_GB2312" w:hAnsi="仿宋_GB2312" w:cs="仿宋_GB2312" w:eastAsia="仿宋_GB2312"/>
                      <w:sz w:val="18"/>
                      <w:color w:val="000000"/>
                    </w:rPr>
                    <w:t>GA/T 1202-2022</w:t>
                  </w:r>
                  <w:r>
                    <w:rPr>
                      <w:rFonts w:ascii="仿宋_GB2312" w:hAnsi="仿宋_GB2312" w:cs="仿宋_GB2312" w:eastAsia="仿宋_GB2312"/>
                      <w:sz w:val="18"/>
                      <w:color w:val="000000"/>
                    </w:rPr>
                    <w:t>《交通技术监控成像补光装置通用技术条件》</w:t>
                  </w:r>
                  <w:r>
                    <w:br/>
                  </w:r>
                  <w:r>
                    <w:rPr>
                      <w:rFonts w:ascii="仿宋_GB2312" w:hAnsi="仿宋_GB2312" w:cs="仿宋_GB2312" w:eastAsia="仿宋_GB2312"/>
                      <w:sz w:val="18"/>
                      <w:color w:val="000000"/>
                    </w:rPr>
                    <w:t xml:space="preserve">2. </w:t>
                  </w:r>
                  <w:r>
                    <w:rPr>
                      <w:rFonts w:ascii="仿宋_GB2312" w:hAnsi="仿宋_GB2312" w:cs="仿宋_GB2312" w:eastAsia="仿宋_GB2312"/>
                      <w:sz w:val="18"/>
                      <w:color w:val="000000"/>
                    </w:rPr>
                    <w:t>补光装置光源包括</w:t>
                  </w:r>
                  <w:r>
                    <w:rPr>
                      <w:rFonts w:ascii="仿宋_GB2312" w:hAnsi="仿宋_GB2312" w:cs="仿宋_GB2312" w:eastAsia="仿宋_GB2312"/>
                      <w:sz w:val="18"/>
                      <w:color w:val="000000"/>
                    </w:rPr>
                    <w:t>LED</w:t>
                  </w:r>
                  <w:r>
                    <w:rPr>
                      <w:rFonts w:ascii="仿宋_GB2312" w:hAnsi="仿宋_GB2312" w:cs="仿宋_GB2312" w:eastAsia="仿宋_GB2312"/>
                      <w:sz w:val="18"/>
                      <w:color w:val="000000"/>
                    </w:rPr>
                    <w:t>光源（一级频闪）、气体放电光源（二级脉冲）和红外光源</w:t>
                  </w:r>
                  <w:r>
                    <w:br/>
                  </w:r>
                  <w:r>
                    <w:rPr>
                      <w:rFonts w:ascii="仿宋_GB2312" w:hAnsi="仿宋_GB2312" w:cs="仿宋_GB2312" w:eastAsia="仿宋_GB2312"/>
                      <w:sz w:val="18"/>
                      <w:color w:val="000000"/>
                    </w:rPr>
                    <w:t xml:space="preserve">3. </w:t>
                  </w:r>
                  <w:r>
                    <w:rPr>
                      <w:rFonts w:ascii="仿宋_GB2312" w:hAnsi="仿宋_GB2312" w:cs="仿宋_GB2312" w:eastAsia="仿宋_GB2312"/>
                      <w:sz w:val="18"/>
                      <w:color w:val="000000"/>
                    </w:rPr>
                    <w:t>采用</w:t>
                  </w:r>
                  <w:r>
                    <w:rPr>
                      <w:rFonts w:ascii="仿宋_GB2312" w:hAnsi="仿宋_GB2312" w:cs="仿宋_GB2312" w:eastAsia="仿宋_GB2312"/>
                      <w:sz w:val="18"/>
                      <w:color w:val="000000"/>
                    </w:rPr>
                    <w:t>LED</w:t>
                  </w:r>
                  <w:r>
                    <w:rPr>
                      <w:rFonts w:ascii="仿宋_GB2312" w:hAnsi="仿宋_GB2312" w:cs="仿宋_GB2312" w:eastAsia="仿宋_GB2312"/>
                      <w:sz w:val="18"/>
                      <w:color w:val="000000"/>
                    </w:rPr>
                    <w:t>光源和气灯放电两种光源，</w:t>
                  </w:r>
                  <w:r>
                    <w:rPr>
                      <w:rFonts w:ascii="仿宋_GB2312" w:hAnsi="仿宋_GB2312" w:cs="仿宋_GB2312" w:eastAsia="仿宋_GB2312"/>
                      <w:sz w:val="18"/>
                      <w:color w:val="000000"/>
                    </w:rPr>
                    <w:t>LED</w:t>
                  </w:r>
                  <w:r>
                    <w:rPr>
                      <w:rFonts w:ascii="仿宋_GB2312" w:hAnsi="仿宋_GB2312" w:cs="仿宋_GB2312" w:eastAsia="仿宋_GB2312"/>
                      <w:sz w:val="18"/>
                      <w:color w:val="000000"/>
                    </w:rPr>
                    <w:t>光源呈圆形排布，气体放电光源前置转轴叶片，支持红外和白光补光切换</w:t>
                  </w:r>
                  <w:r>
                    <w:br/>
                  </w:r>
                  <w:r>
                    <w:rPr>
                      <w:rFonts w:ascii="仿宋_GB2312" w:hAnsi="仿宋_GB2312" w:cs="仿宋_GB2312" w:eastAsia="仿宋_GB2312"/>
                      <w:sz w:val="18"/>
                      <w:color w:val="000000"/>
                    </w:rPr>
                    <w:t xml:space="preserve">4.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LED</w:t>
                  </w:r>
                  <w:r>
                    <w:rPr>
                      <w:rFonts w:ascii="仿宋_GB2312" w:hAnsi="仿宋_GB2312" w:cs="仿宋_GB2312" w:eastAsia="仿宋_GB2312"/>
                      <w:sz w:val="18"/>
                      <w:color w:val="000000"/>
                    </w:rPr>
                    <w:t>频闪、</w:t>
                  </w:r>
                  <w:r>
                    <w:rPr>
                      <w:rFonts w:ascii="仿宋_GB2312" w:hAnsi="仿宋_GB2312" w:cs="仿宋_GB2312" w:eastAsia="仿宋_GB2312"/>
                      <w:sz w:val="18"/>
                      <w:color w:val="000000"/>
                    </w:rPr>
                    <w:t>LED</w:t>
                  </w:r>
                  <w:r>
                    <w:rPr>
                      <w:rFonts w:ascii="仿宋_GB2312" w:hAnsi="仿宋_GB2312" w:cs="仿宋_GB2312" w:eastAsia="仿宋_GB2312"/>
                      <w:sz w:val="18"/>
                      <w:color w:val="000000"/>
                    </w:rPr>
                    <w:t>爆闪、白光气体爆闪及红外气体爆闪四种补光方式，可通过远程控制切换</w:t>
                  </w:r>
                  <w:r>
                    <w:br/>
                  </w:r>
                  <w:r>
                    <w:rPr>
                      <w:rFonts w:ascii="仿宋_GB2312" w:hAnsi="仿宋_GB2312" w:cs="仿宋_GB2312" w:eastAsia="仿宋_GB2312"/>
                      <w:sz w:val="18"/>
                      <w:color w:val="000000"/>
                    </w:rPr>
                    <w:t xml:space="preserve">5. </w:t>
                  </w:r>
                  <w:r>
                    <w:rPr>
                      <w:rFonts w:ascii="仿宋_GB2312" w:hAnsi="仿宋_GB2312" w:cs="仿宋_GB2312" w:eastAsia="仿宋_GB2312"/>
                      <w:sz w:val="18"/>
                      <w:color w:val="000000"/>
                    </w:rPr>
                    <w:t>触发信号异常时，爆闪灯进入自动保护，触发信号输入正常，爆闪灯自动恢复正常</w:t>
                  </w:r>
                  <w:r>
                    <w:br/>
                  </w:r>
                  <w:r>
                    <w:rPr>
                      <w:rFonts w:ascii="仿宋_GB2312" w:hAnsi="仿宋_GB2312" w:cs="仿宋_GB2312" w:eastAsia="仿宋_GB2312"/>
                      <w:sz w:val="18"/>
                      <w:color w:val="000000"/>
                    </w:rPr>
                    <w:t xml:space="preserve">6. </w:t>
                  </w:r>
                  <w:r>
                    <w:rPr>
                      <w:rFonts w:ascii="仿宋_GB2312" w:hAnsi="仿宋_GB2312" w:cs="仿宋_GB2312" w:eastAsia="仿宋_GB2312"/>
                      <w:sz w:val="18"/>
                      <w:color w:val="000000"/>
                    </w:rPr>
                    <w:t>可通过</w:t>
                  </w:r>
                  <w:r>
                    <w:rPr>
                      <w:rFonts w:ascii="仿宋_GB2312" w:hAnsi="仿宋_GB2312" w:cs="仿宋_GB2312" w:eastAsia="仿宋_GB2312"/>
                      <w:sz w:val="18"/>
                      <w:color w:val="000000"/>
                    </w:rPr>
                    <w:t>RS485</w:t>
                  </w:r>
                  <w:r>
                    <w:rPr>
                      <w:rFonts w:ascii="仿宋_GB2312" w:hAnsi="仿宋_GB2312" w:cs="仿宋_GB2312" w:eastAsia="仿宋_GB2312"/>
                      <w:sz w:val="18"/>
                      <w:color w:val="000000"/>
                    </w:rPr>
                    <w:t>进行远程升级</w:t>
                  </w:r>
                  <w:r>
                    <w:br/>
                  </w:r>
                  <w:r>
                    <w:rPr>
                      <w:rFonts w:ascii="仿宋_GB2312" w:hAnsi="仿宋_GB2312" w:cs="仿宋_GB2312" w:eastAsia="仿宋_GB2312"/>
                      <w:sz w:val="18"/>
                      <w:color w:val="000000"/>
                    </w:rPr>
                    <w:t xml:space="preserve">7. </w:t>
                  </w:r>
                  <w:r>
                    <w:rPr>
                      <w:rFonts w:ascii="仿宋_GB2312" w:hAnsi="仿宋_GB2312" w:cs="仿宋_GB2312" w:eastAsia="仿宋_GB2312"/>
                      <w:sz w:val="18"/>
                      <w:color w:val="000000"/>
                    </w:rPr>
                    <w:t>支持记录闪光灯闪光次数</w:t>
                  </w:r>
                  <w:r>
                    <w:br/>
                  </w:r>
                  <w:r>
                    <w:rPr>
                      <w:rFonts w:ascii="仿宋_GB2312" w:hAnsi="仿宋_GB2312" w:cs="仿宋_GB2312" w:eastAsia="仿宋_GB2312"/>
                      <w:sz w:val="18"/>
                      <w:color w:val="000000"/>
                    </w:rPr>
                    <w:t xml:space="preserve">8. </w:t>
                  </w:r>
                  <w:r>
                    <w:rPr>
                      <w:rFonts w:ascii="仿宋_GB2312" w:hAnsi="仿宋_GB2312" w:cs="仿宋_GB2312" w:eastAsia="仿宋_GB2312"/>
                      <w:sz w:val="18"/>
                      <w:color w:val="000000"/>
                    </w:rPr>
                    <w:t>防护等级不低于</w:t>
                  </w:r>
                  <w:r>
                    <w:rPr>
                      <w:rFonts w:ascii="仿宋_GB2312" w:hAnsi="仿宋_GB2312" w:cs="仿宋_GB2312" w:eastAsia="仿宋_GB2312"/>
                      <w:sz w:val="18"/>
                      <w:color w:val="000000"/>
                    </w:rPr>
                    <w:t>IP66</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336</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测速雷达</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 xml:space="preserve">1. </w:t>
                  </w:r>
                  <w:r>
                    <w:rPr>
                      <w:rFonts w:ascii="仿宋_GB2312" w:hAnsi="仿宋_GB2312" w:cs="仿宋_GB2312" w:eastAsia="仿宋_GB2312"/>
                      <w:sz w:val="18"/>
                      <w:color w:val="000000"/>
                    </w:rPr>
                    <w:t>测速范围</w:t>
                  </w:r>
                  <w:r>
                    <w:rPr>
                      <w:rFonts w:ascii="仿宋_GB2312" w:hAnsi="仿宋_GB2312" w:cs="仿宋_GB2312" w:eastAsia="仿宋_GB2312"/>
                      <w:sz w:val="18"/>
                      <w:color w:val="000000"/>
                    </w:rPr>
                    <w:t>10km/h-250km/h</w:t>
                  </w:r>
                  <w:r>
                    <w:br/>
                  </w:r>
                  <w:r>
                    <w:rPr>
                      <w:rFonts w:ascii="仿宋_GB2312" w:hAnsi="仿宋_GB2312" w:cs="仿宋_GB2312" w:eastAsia="仿宋_GB2312"/>
                      <w:sz w:val="18"/>
                      <w:color w:val="000000"/>
                    </w:rPr>
                    <w:t xml:space="preserve">2. </w:t>
                  </w:r>
                  <w:r>
                    <w:rPr>
                      <w:rFonts w:ascii="仿宋_GB2312" w:hAnsi="仿宋_GB2312" w:cs="仿宋_GB2312" w:eastAsia="仿宋_GB2312"/>
                      <w:sz w:val="21"/>
                      <w:b/>
                    </w:rPr>
                    <w:t>▲</w:t>
                  </w:r>
                  <w:r>
                    <w:rPr>
                      <w:rFonts w:ascii="仿宋_GB2312" w:hAnsi="仿宋_GB2312" w:cs="仿宋_GB2312" w:eastAsia="仿宋_GB2312"/>
                      <w:sz w:val="18"/>
                      <w:color w:val="000000"/>
                    </w:rPr>
                    <w:t>测速误差：车速</w:t>
                  </w:r>
                  <w:r>
                    <w:rPr>
                      <w:rFonts w:ascii="仿宋_GB2312" w:hAnsi="仿宋_GB2312" w:cs="仿宋_GB2312" w:eastAsia="仿宋_GB2312"/>
                      <w:sz w:val="18"/>
                      <w:color w:val="000000"/>
                    </w:rPr>
                    <w:t>20km/h-180km/h</w:t>
                  </w:r>
                  <w:r>
                    <w:rPr>
                      <w:rFonts w:ascii="仿宋_GB2312" w:hAnsi="仿宋_GB2312" w:cs="仿宋_GB2312" w:eastAsia="仿宋_GB2312"/>
                      <w:sz w:val="18"/>
                      <w:color w:val="000000"/>
                    </w:rPr>
                    <w:t>，误差</w:t>
                  </w:r>
                  <w:r>
                    <w:rPr>
                      <w:rFonts w:ascii="仿宋_GB2312" w:hAnsi="仿宋_GB2312" w:cs="仿宋_GB2312" w:eastAsia="仿宋_GB2312"/>
                      <w:sz w:val="18"/>
                      <w:color w:val="000000"/>
                    </w:rPr>
                    <w:t>-0.5km/h-0km/h</w:t>
                  </w:r>
                  <w:r>
                    <w:rPr>
                      <w:rFonts w:ascii="仿宋_GB2312" w:hAnsi="仿宋_GB2312" w:cs="仿宋_GB2312" w:eastAsia="仿宋_GB2312"/>
                      <w:sz w:val="18"/>
                      <w:color w:val="000000"/>
                    </w:rPr>
                    <w:t>；车速</w:t>
                  </w:r>
                  <w:r>
                    <w:rPr>
                      <w:rFonts w:ascii="仿宋_GB2312" w:hAnsi="仿宋_GB2312" w:cs="仿宋_GB2312" w:eastAsia="仿宋_GB2312"/>
                      <w:sz w:val="18"/>
                      <w:color w:val="000000"/>
                    </w:rPr>
                    <w:t>180km/h</w:t>
                  </w:r>
                  <w:r>
                    <w:rPr>
                      <w:rFonts w:ascii="仿宋_GB2312" w:hAnsi="仿宋_GB2312" w:cs="仿宋_GB2312" w:eastAsia="仿宋_GB2312"/>
                      <w:sz w:val="18"/>
                      <w:color w:val="000000"/>
                    </w:rPr>
                    <w:t>及以上，误差</w:t>
                  </w:r>
                  <w:r>
                    <w:rPr>
                      <w:rFonts w:ascii="仿宋_GB2312" w:hAnsi="仿宋_GB2312" w:cs="仿宋_GB2312" w:eastAsia="仿宋_GB2312"/>
                      <w:sz w:val="18"/>
                      <w:color w:val="000000"/>
                    </w:rPr>
                    <w:t>-1km/h-0km/h</w:t>
                  </w:r>
                  <w:r>
                    <w:br/>
                  </w:r>
                  <w:r>
                    <w:rPr>
                      <w:rFonts w:ascii="仿宋_GB2312" w:hAnsi="仿宋_GB2312" w:cs="仿宋_GB2312" w:eastAsia="仿宋_GB2312"/>
                      <w:sz w:val="18"/>
                      <w:color w:val="000000"/>
                    </w:rPr>
                    <w:t>3. WIFI</w:t>
                  </w:r>
                  <w:r>
                    <w:rPr>
                      <w:rFonts w:ascii="仿宋_GB2312" w:hAnsi="仿宋_GB2312" w:cs="仿宋_GB2312" w:eastAsia="仿宋_GB2312"/>
                      <w:sz w:val="18"/>
                      <w:color w:val="000000"/>
                    </w:rPr>
                    <w:t>升级及参数配置，可通过</w:t>
                  </w:r>
                  <w:r>
                    <w:rPr>
                      <w:rFonts w:ascii="仿宋_GB2312" w:hAnsi="仿宋_GB2312" w:cs="仿宋_GB2312" w:eastAsia="仿宋_GB2312"/>
                      <w:sz w:val="18"/>
                      <w:color w:val="000000"/>
                    </w:rPr>
                    <w:t>WIFI</w:t>
                  </w:r>
                  <w:r>
                    <w:rPr>
                      <w:rFonts w:ascii="仿宋_GB2312" w:hAnsi="仿宋_GB2312" w:cs="仿宋_GB2312" w:eastAsia="仿宋_GB2312"/>
                      <w:sz w:val="18"/>
                      <w:color w:val="000000"/>
                    </w:rPr>
                    <w:t>连接进行升级，升级后功能正常，可进行雷达触发位置设置和雷达灵敏度进行配置</w:t>
                  </w:r>
                  <w:r>
                    <w:br/>
                  </w:r>
                  <w:r>
                    <w:rPr>
                      <w:rFonts w:ascii="仿宋_GB2312" w:hAnsi="仿宋_GB2312" w:cs="仿宋_GB2312" w:eastAsia="仿宋_GB2312"/>
                      <w:sz w:val="18"/>
                      <w:color w:val="000000"/>
                    </w:rPr>
                    <w:t xml:space="preserve">4. </w:t>
                  </w:r>
                  <w:r>
                    <w:rPr>
                      <w:rFonts w:ascii="仿宋_GB2312" w:hAnsi="仿宋_GB2312" w:cs="仿宋_GB2312" w:eastAsia="仿宋_GB2312"/>
                      <w:sz w:val="18"/>
                      <w:color w:val="000000"/>
                    </w:rPr>
                    <w:t>输入电压为</w:t>
                  </w:r>
                  <w:r>
                    <w:rPr>
                      <w:rFonts w:ascii="仿宋_GB2312" w:hAnsi="仿宋_GB2312" w:cs="仿宋_GB2312" w:eastAsia="仿宋_GB2312"/>
                      <w:sz w:val="18"/>
                      <w:color w:val="000000"/>
                    </w:rPr>
                    <w:t>9V-24V</w:t>
                  </w:r>
                  <w:r>
                    <w:rPr>
                      <w:rFonts w:ascii="仿宋_GB2312" w:hAnsi="仿宋_GB2312" w:cs="仿宋_GB2312" w:eastAsia="仿宋_GB2312"/>
                      <w:sz w:val="18"/>
                      <w:color w:val="000000"/>
                    </w:rPr>
                    <w:t>范围内测速雷达能正常工作</w:t>
                  </w:r>
                  <w:r>
                    <w:br/>
                  </w:r>
                  <w:r>
                    <w:rPr>
                      <w:rFonts w:ascii="仿宋_GB2312" w:hAnsi="仿宋_GB2312" w:cs="仿宋_GB2312" w:eastAsia="仿宋_GB2312"/>
                      <w:sz w:val="18"/>
                      <w:color w:val="000000"/>
                    </w:rPr>
                    <w:t xml:space="preserve">5. </w:t>
                  </w:r>
                  <w:r>
                    <w:rPr>
                      <w:rFonts w:ascii="仿宋_GB2312" w:hAnsi="仿宋_GB2312" w:cs="仿宋_GB2312" w:eastAsia="仿宋_GB2312"/>
                      <w:sz w:val="18"/>
                      <w:color w:val="000000"/>
                    </w:rPr>
                    <w:t>雷达测速单元功耗应不大于</w:t>
                  </w:r>
                  <w:r>
                    <w:rPr>
                      <w:rFonts w:ascii="仿宋_GB2312" w:hAnsi="仿宋_GB2312" w:cs="仿宋_GB2312" w:eastAsia="仿宋_GB2312"/>
                      <w:sz w:val="18"/>
                      <w:color w:val="000000"/>
                    </w:rPr>
                    <w:t>2W</w:t>
                  </w:r>
                  <w:r>
                    <w:br/>
                  </w:r>
                  <w:r>
                    <w:rPr>
                      <w:rFonts w:ascii="仿宋_GB2312" w:hAnsi="仿宋_GB2312" w:cs="仿宋_GB2312" w:eastAsia="仿宋_GB2312"/>
                      <w:sz w:val="18"/>
                      <w:color w:val="000000"/>
                    </w:rPr>
                    <w:t xml:space="preserve">6. </w:t>
                  </w:r>
                  <w:r>
                    <w:rPr>
                      <w:rFonts w:ascii="仿宋_GB2312" w:hAnsi="仿宋_GB2312" w:cs="仿宋_GB2312" w:eastAsia="仿宋_GB2312"/>
                      <w:sz w:val="18"/>
                      <w:color w:val="000000"/>
                    </w:rPr>
                    <w:t>防护等级不低于</w:t>
                  </w:r>
                  <w:r>
                    <w:rPr>
                      <w:rFonts w:ascii="仿宋_GB2312" w:hAnsi="仿宋_GB2312" w:cs="仿宋_GB2312" w:eastAsia="仿宋_GB2312"/>
                      <w:sz w:val="18"/>
                      <w:color w:val="000000"/>
                    </w:rPr>
                    <w:t>IP66</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244</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主抱杆机箱</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 xml:space="preserve">1. </w:t>
                  </w:r>
                  <w:r>
                    <w:rPr>
                      <w:rFonts w:ascii="仿宋_GB2312" w:hAnsi="仿宋_GB2312" w:cs="仿宋_GB2312" w:eastAsia="仿宋_GB2312"/>
                      <w:sz w:val="18"/>
                      <w:color w:val="000000"/>
                    </w:rPr>
                    <w:t>抱杆机柜：可存放前端主机</w:t>
                  </w:r>
                  <w:r>
                    <w:br/>
                  </w:r>
                  <w:r>
                    <w:rPr>
                      <w:rFonts w:ascii="仿宋_GB2312" w:hAnsi="仿宋_GB2312" w:cs="仿宋_GB2312" w:eastAsia="仿宋_GB2312"/>
                      <w:sz w:val="18"/>
                      <w:color w:val="000000"/>
                    </w:rPr>
                    <w:t xml:space="preserve">2. </w:t>
                  </w:r>
                  <w:r>
                    <w:rPr>
                      <w:rFonts w:ascii="仿宋_GB2312" w:hAnsi="仿宋_GB2312" w:cs="仿宋_GB2312" w:eastAsia="仿宋_GB2312"/>
                      <w:sz w:val="18"/>
                      <w:color w:val="000000"/>
                    </w:rPr>
                    <w:t>尺寸≥</w:t>
                  </w:r>
                  <w:r>
                    <w:rPr>
                      <w:rFonts w:ascii="仿宋_GB2312" w:hAnsi="仿宋_GB2312" w:cs="仿宋_GB2312" w:eastAsia="仿宋_GB2312"/>
                      <w:sz w:val="18"/>
                      <w:color w:val="000000"/>
                    </w:rPr>
                    <w:t>540mm(</w:t>
                  </w:r>
                  <w:r>
                    <w:rPr>
                      <w:rFonts w:ascii="仿宋_GB2312" w:hAnsi="仿宋_GB2312" w:cs="仿宋_GB2312" w:eastAsia="仿宋_GB2312"/>
                      <w:sz w:val="18"/>
                      <w:color w:val="000000"/>
                    </w:rPr>
                    <w:t>宽</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579mm(</w:t>
                  </w:r>
                  <w:r>
                    <w:rPr>
                      <w:rFonts w:ascii="仿宋_GB2312" w:hAnsi="仿宋_GB2312" w:cs="仿宋_GB2312" w:eastAsia="仿宋_GB2312"/>
                      <w:sz w:val="18"/>
                      <w:color w:val="000000"/>
                    </w:rPr>
                    <w:t>高</w:t>
                  </w:r>
                  <w:r>
                    <w:rPr>
                      <w:rFonts w:ascii="仿宋_GB2312" w:hAnsi="仿宋_GB2312" w:cs="仿宋_GB2312" w:eastAsia="仿宋_GB2312"/>
                      <w:sz w:val="18"/>
                      <w:color w:val="000000"/>
                    </w:rPr>
                    <w:t>)</w:t>
                  </w:r>
                  <w:r>
                    <w:rPr>
                      <w:rFonts w:ascii="仿宋_GB2312" w:hAnsi="仿宋_GB2312" w:cs="仿宋_GB2312" w:eastAsia="仿宋_GB2312"/>
                      <w:sz w:val="18"/>
                      <w:color w:val="000000"/>
                    </w:rPr>
                    <w:t>×</w:t>
                  </w:r>
                  <w:r>
                    <w:rPr>
                      <w:rFonts w:ascii="仿宋_GB2312" w:hAnsi="仿宋_GB2312" w:cs="仿宋_GB2312" w:eastAsia="仿宋_GB2312"/>
                      <w:sz w:val="18"/>
                      <w:color w:val="000000"/>
                    </w:rPr>
                    <w:t>358</w:t>
                  </w:r>
                  <w:r>
                    <w:rPr>
                      <w:rFonts w:ascii="仿宋_GB2312" w:hAnsi="仿宋_GB2312" w:cs="仿宋_GB2312" w:eastAsia="仿宋_GB2312"/>
                      <w:sz w:val="18"/>
                      <w:color w:val="000000"/>
                    </w:rPr>
                    <w:t>（深）</w:t>
                  </w:r>
                  <w:r>
                    <w:rPr>
                      <w:rFonts w:ascii="仿宋_GB2312" w:hAnsi="仿宋_GB2312" w:cs="仿宋_GB2312" w:eastAsia="仿宋_GB2312"/>
                      <w:sz w:val="18"/>
                      <w:color w:val="000000"/>
                    </w:rPr>
                    <w:t>(</w:t>
                  </w:r>
                  <w:r>
                    <w:rPr>
                      <w:rFonts w:ascii="仿宋_GB2312" w:hAnsi="仿宋_GB2312" w:cs="仿宋_GB2312" w:eastAsia="仿宋_GB2312"/>
                      <w:sz w:val="18"/>
                      <w:color w:val="000000"/>
                    </w:rPr>
                    <w:t>含帽檐</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 xml:space="preserve">3. </w:t>
                  </w:r>
                  <w:r>
                    <w:rPr>
                      <w:rFonts w:ascii="仿宋_GB2312" w:hAnsi="仿宋_GB2312" w:cs="仿宋_GB2312" w:eastAsia="仿宋_GB2312"/>
                      <w:sz w:val="18"/>
                      <w:color w:val="000000"/>
                    </w:rPr>
                    <w:t>内含双路</w:t>
                  </w:r>
                  <w:r>
                    <w:rPr>
                      <w:rFonts w:ascii="仿宋_GB2312" w:hAnsi="仿宋_GB2312" w:cs="仿宋_GB2312" w:eastAsia="仿宋_GB2312"/>
                      <w:sz w:val="18"/>
                      <w:color w:val="000000"/>
                    </w:rPr>
                    <w:t>220V</w:t>
                  </w:r>
                  <w:r>
                    <w:rPr>
                      <w:rFonts w:ascii="仿宋_GB2312" w:hAnsi="仿宋_GB2312" w:cs="仿宋_GB2312" w:eastAsia="仿宋_GB2312"/>
                      <w:sz w:val="18"/>
                      <w:color w:val="000000"/>
                    </w:rPr>
                    <w:t>电源防雷，双路</w:t>
                  </w:r>
                  <w:r>
                    <w:rPr>
                      <w:rFonts w:ascii="仿宋_GB2312" w:hAnsi="仿宋_GB2312" w:cs="仿宋_GB2312" w:eastAsia="仿宋_GB2312"/>
                      <w:sz w:val="18"/>
                      <w:color w:val="000000"/>
                    </w:rPr>
                    <w:t>10A</w:t>
                  </w:r>
                  <w:r>
                    <w:rPr>
                      <w:rFonts w:ascii="仿宋_GB2312" w:hAnsi="仿宋_GB2312" w:cs="仿宋_GB2312" w:eastAsia="仿宋_GB2312"/>
                      <w:sz w:val="18"/>
                      <w:color w:val="000000"/>
                    </w:rPr>
                    <w:t xml:space="preserve">空气开关一个， </w:t>
                  </w:r>
                  <w:r>
                    <w:rPr>
                      <w:rFonts w:ascii="仿宋_GB2312" w:hAnsi="仿宋_GB2312" w:cs="仿宋_GB2312" w:eastAsia="仿宋_GB2312"/>
                      <w:sz w:val="18"/>
                      <w:color w:val="000000"/>
                    </w:rPr>
                    <w:t>3</w:t>
                  </w:r>
                  <w:r>
                    <w:rPr>
                      <w:rFonts w:ascii="仿宋_GB2312" w:hAnsi="仿宋_GB2312" w:cs="仿宋_GB2312" w:eastAsia="仿宋_GB2312"/>
                      <w:sz w:val="18"/>
                      <w:color w:val="000000"/>
                    </w:rPr>
                    <w:t>芯插座一个</w:t>
                  </w:r>
                  <w:r>
                    <w:br/>
                  </w:r>
                  <w:r>
                    <w:rPr>
                      <w:rFonts w:ascii="仿宋_GB2312" w:hAnsi="仿宋_GB2312" w:cs="仿宋_GB2312" w:eastAsia="仿宋_GB2312"/>
                      <w:sz w:val="18"/>
                      <w:color w:val="000000"/>
                    </w:rPr>
                    <w:t xml:space="preserve">4. </w:t>
                  </w:r>
                  <w:r>
                    <w:rPr>
                      <w:rFonts w:ascii="仿宋_GB2312" w:hAnsi="仿宋_GB2312" w:cs="仿宋_GB2312" w:eastAsia="仿宋_GB2312"/>
                      <w:sz w:val="18"/>
                      <w:color w:val="000000"/>
                    </w:rPr>
                    <w:t>机柜采用抱杆安装方式，具有防虫、防鼠功效</w:t>
                  </w:r>
                  <w:r>
                    <w:br/>
                  </w:r>
                  <w:r>
                    <w:rPr>
                      <w:rFonts w:ascii="仿宋_GB2312" w:hAnsi="仿宋_GB2312" w:cs="仿宋_GB2312" w:eastAsia="仿宋_GB2312"/>
                      <w:sz w:val="18"/>
                      <w:color w:val="000000"/>
                    </w:rPr>
                    <w:t xml:space="preserve">5. </w:t>
                  </w:r>
                  <w:r>
                    <w:rPr>
                      <w:rFonts w:ascii="仿宋_GB2312" w:hAnsi="仿宋_GB2312" w:cs="仿宋_GB2312" w:eastAsia="仿宋_GB2312"/>
                      <w:sz w:val="18"/>
                      <w:color w:val="000000"/>
                    </w:rPr>
                    <w:t>结构：整体结构采用拼焊结构。</w:t>
                  </w:r>
                  <w:r>
                    <w:br/>
                  </w:r>
                  <w:r>
                    <w:rPr>
                      <w:rFonts w:ascii="仿宋_GB2312" w:hAnsi="仿宋_GB2312" w:cs="仿宋_GB2312" w:eastAsia="仿宋_GB2312"/>
                      <w:sz w:val="18"/>
                      <w:color w:val="000000"/>
                    </w:rPr>
                    <w:t xml:space="preserve">6. </w:t>
                  </w:r>
                  <w:r>
                    <w:rPr>
                      <w:rFonts w:ascii="仿宋_GB2312" w:hAnsi="仿宋_GB2312" w:cs="仿宋_GB2312" w:eastAsia="仿宋_GB2312"/>
                      <w:sz w:val="18"/>
                      <w:color w:val="000000"/>
                    </w:rPr>
                    <w:t>防护等级不低于</w:t>
                  </w:r>
                  <w:r>
                    <w:rPr>
                      <w:rFonts w:ascii="仿宋_GB2312" w:hAnsi="仿宋_GB2312" w:cs="仿宋_GB2312" w:eastAsia="仿宋_GB2312"/>
                      <w:sz w:val="18"/>
                      <w:color w:val="000000"/>
                    </w:rPr>
                    <w:t>IP55</w:t>
                  </w:r>
                  <w:r>
                    <w:rPr>
                      <w:rFonts w:ascii="仿宋_GB2312" w:hAnsi="仿宋_GB2312" w:cs="仿宋_GB2312" w:eastAsia="仿宋_GB2312"/>
                      <w:sz w:val="18"/>
                      <w:color w:val="000000"/>
                    </w:rPr>
                    <w:t xml:space="preserve">。 </w:t>
                  </w:r>
                  <w:r>
                    <w:br/>
                  </w:r>
                  <w:r>
                    <w:rPr>
                      <w:rFonts w:ascii="仿宋_GB2312" w:hAnsi="仿宋_GB2312" w:cs="仿宋_GB2312" w:eastAsia="仿宋_GB2312"/>
                      <w:sz w:val="18"/>
                      <w:color w:val="000000"/>
                    </w:rPr>
                    <w:t xml:space="preserve">7. </w:t>
                  </w:r>
                  <w:r>
                    <w:rPr>
                      <w:rFonts w:ascii="仿宋_GB2312" w:hAnsi="仿宋_GB2312" w:cs="仿宋_GB2312" w:eastAsia="仿宋_GB2312"/>
                      <w:sz w:val="18"/>
                      <w:color w:val="000000"/>
                    </w:rPr>
                    <w:t>机柜采用主体焊接、部分拼装的结构，保证了防护</w:t>
                  </w:r>
                  <w:r>
                    <w:br/>
                  </w:r>
                  <w:r>
                    <w:rPr>
                      <w:rFonts w:ascii="仿宋_GB2312" w:hAnsi="仿宋_GB2312" w:cs="仿宋_GB2312" w:eastAsia="仿宋_GB2312"/>
                      <w:sz w:val="18"/>
                      <w:color w:val="000000"/>
                    </w:rPr>
                    <w:t xml:space="preserve">8. </w:t>
                  </w:r>
                  <w:r>
                    <w:rPr>
                      <w:rFonts w:ascii="仿宋_GB2312" w:hAnsi="仿宋_GB2312" w:cs="仿宋_GB2312" w:eastAsia="仿宋_GB2312"/>
                      <w:sz w:val="18"/>
                      <w:color w:val="000000"/>
                    </w:rPr>
                    <w:t>采用专用户外柜锁。</w:t>
                  </w:r>
                  <w:r>
                    <w:br/>
                  </w:r>
                  <w:r>
                    <w:rPr>
                      <w:rFonts w:ascii="仿宋_GB2312" w:hAnsi="仿宋_GB2312" w:cs="仿宋_GB2312" w:eastAsia="仿宋_GB2312"/>
                      <w:sz w:val="18"/>
                      <w:color w:val="000000"/>
                    </w:rPr>
                    <w:t>9</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机柜底部进出线缆，有效实现防水、防尘</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小抱杆机箱</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 xml:space="preserve">1. </w:t>
                  </w:r>
                  <w:r>
                    <w:rPr>
                      <w:rFonts w:ascii="仿宋_GB2312" w:hAnsi="仿宋_GB2312" w:cs="仿宋_GB2312" w:eastAsia="仿宋_GB2312"/>
                      <w:sz w:val="18"/>
                      <w:color w:val="000000"/>
                    </w:rPr>
                    <w:t>尺寸：不小于</w:t>
                  </w:r>
                  <w:r>
                    <w:rPr>
                      <w:rFonts w:ascii="仿宋_GB2312" w:hAnsi="仿宋_GB2312" w:cs="仿宋_GB2312" w:eastAsia="仿宋_GB2312"/>
                      <w:sz w:val="18"/>
                      <w:color w:val="000000"/>
                    </w:rPr>
                    <w:t>400mmX300mmX500mm</w:t>
                  </w:r>
                  <w:r>
                    <w:br/>
                  </w:r>
                  <w:r>
                    <w:rPr>
                      <w:rFonts w:ascii="仿宋_GB2312" w:hAnsi="仿宋_GB2312" w:cs="仿宋_GB2312" w:eastAsia="仿宋_GB2312"/>
                      <w:sz w:val="18"/>
                      <w:color w:val="000000"/>
                    </w:rPr>
                    <w:t xml:space="preserve">2. </w:t>
                  </w:r>
                  <w:r>
                    <w:rPr>
                      <w:rFonts w:ascii="仿宋_GB2312" w:hAnsi="仿宋_GB2312" w:cs="仿宋_GB2312" w:eastAsia="仿宋_GB2312"/>
                      <w:sz w:val="18"/>
                      <w:color w:val="000000"/>
                    </w:rPr>
                    <w:t>机柜内含双路</w:t>
                  </w:r>
                  <w:r>
                    <w:rPr>
                      <w:rFonts w:ascii="仿宋_GB2312" w:hAnsi="仿宋_GB2312" w:cs="仿宋_GB2312" w:eastAsia="仿宋_GB2312"/>
                      <w:sz w:val="18"/>
                      <w:color w:val="000000"/>
                    </w:rPr>
                    <w:t>220V</w:t>
                  </w:r>
                  <w:r>
                    <w:rPr>
                      <w:rFonts w:ascii="仿宋_GB2312" w:hAnsi="仿宋_GB2312" w:cs="仿宋_GB2312" w:eastAsia="仿宋_GB2312"/>
                      <w:sz w:val="18"/>
                      <w:color w:val="000000"/>
                    </w:rPr>
                    <w:t>电源防雷，双路</w:t>
                  </w:r>
                  <w:r>
                    <w:rPr>
                      <w:rFonts w:ascii="仿宋_GB2312" w:hAnsi="仿宋_GB2312" w:cs="仿宋_GB2312" w:eastAsia="仿宋_GB2312"/>
                      <w:sz w:val="18"/>
                      <w:color w:val="000000"/>
                    </w:rPr>
                    <w:t>10A</w:t>
                  </w:r>
                  <w:r>
                    <w:rPr>
                      <w:rFonts w:ascii="仿宋_GB2312" w:hAnsi="仿宋_GB2312" w:cs="仿宋_GB2312" w:eastAsia="仿宋_GB2312"/>
                      <w:sz w:val="18"/>
                      <w:color w:val="000000"/>
                    </w:rPr>
                    <w:t>空气开关一个，</w:t>
                  </w:r>
                  <w:r>
                    <w:rPr>
                      <w:rFonts w:ascii="仿宋_GB2312" w:hAnsi="仿宋_GB2312" w:cs="仿宋_GB2312" w:eastAsia="仿宋_GB2312"/>
                      <w:sz w:val="18"/>
                      <w:color w:val="000000"/>
                    </w:rPr>
                    <w:t>3</w:t>
                  </w:r>
                  <w:r>
                    <w:rPr>
                      <w:rFonts w:ascii="仿宋_GB2312" w:hAnsi="仿宋_GB2312" w:cs="仿宋_GB2312" w:eastAsia="仿宋_GB2312"/>
                      <w:sz w:val="18"/>
                      <w:color w:val="000000"/>
                    </w:rPr>
                    <w:t>芯插座一个，抱杆安装</w:t>
                  </w:r>
                  <w:r>
                    <w:br/>
                  </w:r>
                  <w:r>
                    <w:rPr>
                      <w:rFonts w:ascii="仿宋_GB2312" w:hAnsi="仿宋_GB2312" w:cs="仿宋_GB2312" w:eastAsia="仿宋_GB2312"/>
                      <w:sz w:val="18"/>
                      <w:color w:val="000000"/>
                    </w:rPr>
                    <w:t xml:space="preserve">3. </w:t>
                  </w:r>
                  <w:r>
                    <w:rPr>
                      <w:rFonts w:ascii="仿宋_GB2312" w:hAnsi="仿宋_GB2312" w:cs="仿宋_GB2312" w:eastAsia="仿宋_GB2312"/>
                      <w:sz w:val="18"/>
                      <w:color w:val="000000"/>
                    </w:rPr>
                    <w:t>结构：整体结构采用拼焊结构</w:t>
                  </w:r>
                  <w:r>
                    <w:br/>
                  </w:r>
                  <w:r>
                    <w:rPr>
                      <w:rFonts w:ascii="仿宋_GB2312" w:hAnsi="仿宋_GB2312" w:cs="仿宋_GB2312" w:eastAsia="仿宋_GB2312"/>
                      <w:sz w:val="18"/>
                      <w:color w:val="000000"/>
                    </w:rPr>
                    <w:t xml:space="preserve">4. </w:t>
                  </w:r>
                  <w:r>
                    <w:rPr>
                      <w:rFonts w:ascii="仿宋_GB2312" w:hAnsi="仿宋_GB2312" w:cs="仿宋_GB2312" w:eastAsia="仿宋_GB2312"/>
                      <w:sz w:val="18"/>
                      <w:color w:val="000000"/>
                    </w:rPr>
                    <w:t>防护等级不低于</w:t>
                  </w:r>
                  <w:r>
                    <w:rPr>
                      <w:rFonts w:ascii="仿宋_GB2312" w:hAnsi="仿宋_GB2312" w:cs="仿宋_GB2312" w:eastAsia="仿宋_GB2312"/>
                      <w:sz w:val="18"/>
                      <w:color w:val="000000"/>
                    </w:rPr>
                    <w:t>IP55</w:t>
                  </w:r>
                  <w:r>
                    <w:br/>
                  </w:r>
                  <w:r>
                    <w:rPr>
                      <w:rFonts w:ascii="仿宋_GB2312" w:hAnsi="仿宋_GB2312" w:cs="仿宋_GB2312" w:eastAsia="仿宋_GB2312"/>
                      <w:sz w:val="18"/>
                      <w:color w:val="000000"/>
                    </w:rPr>
                    <w:t xml:space="preserve">5. </w:t>
                  </w:r>
                  <w:r>
                    <w:rPr>
                      <w:rFonts w:ascii="仿宋_GB2312" w:hAnsi="仿宋_GB2312" w:cs="仿宋_GB2312" w:eastAsia="仿宋_GB2312"/>
                      <w:sz w:val="18"/>
                      <w:color w:val="000000"/>
                    </w:rPr>
                    <w:t>机柜采用主体焊接、部分拼装的结构，保证了防护性</w:t>
                  </w:r>
                  <w:r>
                    <w:br/>
                  </w:r>
                  <w:r>
                    <w:rPr>
                      <w:rFonts w:ascii="仿宋_GB2312" w:hAnsi="仿宋_GB2312" w:cs="仿宋_GB2312" w:eastAsia="仿宋_GB2312"/>
                      <w:sz w:val="18"/>
                      <w:color w:val="000000"/>
                    </w:rPr>
                    <w:t xml:space="preserve">6. </w:t>
                  </w:r>
                  <w:r>
                    <w:rPr>
                      <w:rFonts w:ascii="仿宋_GB2312" w:hAnsi="仿宋_GB2312" w:cs="仿宋_GB2312" w:eastAsia="仿宋_GB2312"/>
                      <w:sz w:val="18"/>
                      <w:color w:val="000000"/>
                    </w:rPr>
                    <w:t>采用的是专用户外柜锁，具有良好的防水、防盗性能</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机柜底部进出线缆，有效实现防水、防尘</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机柜采用抱杆安装方式，具有防虫、防鼠功效</w:t>
                  </w:r>
                  <w:r>
                    <w:br/>
                  </w:r>
                  <w:r>
                    <w:rPr>
                      <w:rFonts w:ascii="仿宋_GB2312" w:hAnsi="仿宋_GB2312" w:cs="仿宋_GB2312" w:eastAsia="仿宋_GB2312"/>
                      <w:sz w:val="18"/>
                      <w:color w:val="000000"/>
                    </w:rPr>
                    <w:t>9</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工作温度：温度</w:t>
                  </w:r>
                  <w:r>
                    <w:rPr>
                      <w:rFonts w:ascii="仿宋_GB2312" w:hAnsi="仿宋_GB2312" w:cs="仿宋_GB2312" w:eastAsia="仿宋_GB2312"/>
                      <w:sz w:val="18"/>
                      <w:color w:val="000000"/>
                    </w:rPr>
                    <w:t>-30</w:t>
                  </w:r>
                  <w:r>
                    <w:rPr>
                      <w:rFonts w:ascii="仿宋_GB2312" w:hAnsi="仿宋_GB2312" w:cs="仿宋_GB2312" w:eastAsia="仿宋_GB2312"/>
                      <w:sz w:val="18"/>
                      <w:color w:val="000000"/>
                    </w:rPr>
                    <w:t>℃</w:t>
                  </w:r>
                  <w:r>
                    <w:rPr>
                      <w:rFonts w:ascii="仿宋_GB2312" w:hAnsi="仿宋_GB2312" w:cs="仿宋_GB2312" w:eastAsia="仿宋_GB2312"/>
                      <w:sz w:val="18"/>
                      <w:color w:val="000000"/>
                    </w:rPr>
                    <w:t>~70</w:t>
                  </w:r>
                  <w:r>
                    <w:rPr>
                      <w:rFonts w:ascii="仿宋_GB2312" w:hAnsi="仿宋_GB2312" w:cs="仿宋_GB2312" w:eastAsia="仿宋_GB2312"/>
                      <w:sz w:val="18"/>
                      <w:color w:val="000000"/>
                    </w:rPr>
                    <w:t>℃</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38</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工业级交换机</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8</w:t>
                  </w:r>
                  <w:r>
                    <w:rPr>
                      <w:rFonts w:ascii="仿宋_GB2312" w:hAnsi="仿宋_GB2312" w:cs="仿宋_GB2312" w:eastAsia="仿宋_GB2312"/>
                      <w:sz w:val="18"/>
                      <w:color w:val="000000"/>
                    </w:rPr>
                    <w:t>口千兆工业级交换机</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180</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光纤收发器</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百兆光纤收发器，</w:t>
                  </w:r>
                </w:p>
                <w:p>
                  <w:pPr>
                    <w:pStyle w:val="null3"/>
                    <w:jc w:val="both"/>
                  </w:pPr>
                  <w:r>
                    <w:rPr>
                      <w:rFonts w:ascii="仿宋_GB2312" w:hAnsi="仿宋_GB2312" w:cs="仿宋_GB2312" w:eastAsia="仿宋_GB2312"/>
                      <w:sz w:val="18"/>
                      <w:color w:val="000000"/>
                    </w:rPr>
                    <w:t>不少于</w:t>
                  </w:r>
                  <w:r>
                    <w:rPr>
                      <w:rFonts w:ascii="仿宋_GB2312" w:hAnsi="仿宋_GB2312" w:cs="仿宋_GB2312" w:eastAsia="仿宋_GB2312"/>
                      <w:sz w:val="18"/>
                      <w:color w:val="000000"/>
                    </w:rPr>
                    <w:t>1</w:t>
                  </w:r>
                  <w:r>
                    <w:rPr>
                      <w:rFonts w:ascii="仿宋_GB2312" w:hAnsi="仿宋_GB2312" w:cs="仿宋_GB2312" w:eastAsia="仿宋_GB2312"/>
                      <w:sz w:val="18"/>
                      <w:color w:val="000000"/>
                    </w:rPr>
                    <w:t>个百兆</w:t>
                  </w:r>
                  <w:r>
                    <w:rPr>
                      <w:rFonts w:ascii="仿宋_GB2312" w:hAnsi="仿宋_GB2312" w:cs="仿宋_GB2312" w:eastAsia="仿宋_GB2312"/>
                      <w:sz w:val="18"/>
                      <w:color w:val="000000"/>
                    </w:rPr>
                    <w:t>RJ45</w:t>
                  </w:r>
                  <w:r>
                    <w:rPr>
                      <w:rFonts w:ascii="仿宋_GB2312" w:hAnsi="仿宋_GB2312" w:cs="仿宋_GB2312" w:eastAsia="仿宋_GB2312"/>
                      <w:sz w:val="18"/>
                      <w:color w:val="000000"/>
                    </w:rPr>
                    <w:t>和</w:t>
                  </w:r>
                  <w:r>
                    <w:rPr>
                      <w:rFonts w:ascii="仿宋_GB2312" w:hAnsi="仿宋_GB2312" w:cs="仿宋_GB2312" w:eastAsia="仿宋_GB2312"/>
                      <w:sz w:val="18"/>
                      <w:color w:val="000000"/>
                    </w:rPr>
                    <w:t>1</w:t>
                  </w:r>
                  <w:r>
                    <w:rPr>
                      <w:rFonts w:ascii="仿宋_GB2312" w:hAnsi="仿宋_GB2312" w:cs="仿宋_GB2312" w:eastAsia="仿宋_GB2312"/>
                      <w:sz w:val="18"/>
                      <w:color w:val="000000"/>
                    </w:rPr>
                    <w:t>个百兆光口；</w:t>
                  </w:r>
                </w:p>
                <w:p>
                  <w:pPr>
                    <w:pStyle w:val="null3"/>
                    <w:jc w:val="both"/>
                  </w:pPr>
                  <w:r>
                    <w:rPr>
                      <w:rFonts w:ascii="仿宋_GB2312" w:hAnsi="仿宋_GB2312" w:cs="仿宋_GB2312" w:eastAsia="仿宋_GB2312"/>
                      <w:sz w:val="18"/>
                      <w:color w:val="000000"/>
                    </w:rPr>
                    <w:t>单模单纤，传输距离</w:t>
                  </w:r>
                  <w:r>
                    <w:rPr>
                      <w:rFonts w:ascii="仿宋_GB2312" w:hAnsi="仿宋_GB2312" w:cs="仿宋_GB2312" w:eastAsia="仿宋_GB2312"/>
                      <w:sz w:val="18"/>
                      <w:color w:val="000000"/>
                    </w:rPr>
                    <w:t>≥</w:t>
                  </w:r>
                  <w:r>
                    <w:rPr>
                      <w:rFonts w:ascii="仿宋_GB2312" w:hAnsi="仿宋_GB2312" w:cs="仿宋_GB2312" w:eastAsia="仿宋_GB2312"/>
                      <w:sz w:val="18"/>
                      <w:color w:val="000000"/>
                    </w:rPr>
                    <w:t>20</w:t>
                  </w:r>
                  <w:r>
                    <w:rPr>
                      <w:rFonts w:ascii="仿宋_GB2312" w:hAnsi="仿宋_GB2312" w:cs="仿宋_GB2312" w:eastAsia="仿宋_GB2312"/>
                      <w:sz w:val="18"/>
                      <w:color w:val="000000"/>
                    </w:rPr>
                    <w:t>公里；</w:t>
                  </w:r>
                </w:p>
                <w:p>
                  <w:pPr>
                    <w:pStyle w:val="null3"/>
                    <w:jc w:val="both"/>
                  </w:pPr>
                  <w:r>
                    <w:rPr>
                      <w:rFonts w:ascii="仿宋_GB2312" w:hAnsi="仿宋_GB2312" w:cs="仿宋_GB2312" w:eastAsia="仿宋_GB2312"/>
                      <w:sz w:val="18"/>
                      <w:color w:val="000000"/>
                    </w:rPr>
                    <w:t>操作温度：</w:t>
                  </w:r>
                  <w:r>
                    <w:rPr>
                      <w:rFonts w:ascii="仿宋_GB2312" w:hAnsi="仿宋_GB2312" w:cs="仿宋_GB2312" w:eastAsia="仿宋_GB2312"/>
                      <w:sz w:val="18"/>
                      <w:color w:val="000000"/>
                    </w:rPr>
                    <w:t xml:space="preserve">-30~70 </w:t>
                  </w:r>
                  <w:r>
                    <w:rPr>
                      <w:rFonts w:ascii="仿宋_GB2312" w:hAnsi="仿宋_GB2312" w:cs="仿宋_GB2312" w:eastAsia="仿宋_GB2312"/>
                      <w:sz w:val="18"/>
                      <w:color w:val="000000"/>
                    </w:rPr>
                    <w:t>˚</w:t>
                  </w:r>
                  <w:r>
                    <w:rPr>
                      <w:rFonts w:ascii="仿宋_GB2312" w:hAnsi="仿宋_GB2312" w:cs="仿宋_GB2312" w:eastAsia="仿宋_GB2312"/>
                      <w:sz w:val="18"/>
                      <w:color w:val="000000"/>
                    </w:rPr>
                    <w:t>C</w:t>
                  </w:r>
                </w:p>
                <w:p>
                  <w:pPr>
                    <w:pStyle w:val="null3"/>
                    <w:jc w:val="both"/>
                  </w:pPr>
                  <w:r>
                    <w:rPr>
                      <w:rFonts w:ascii="仿宋_GB2312" w:hAnsi="仿宋_GB2312" w:cs="仿宋_GB2312" w:eastAsia="仿宋_GB2312"/>
                      <w:sz w:val="18"/>
                      <w:color w:val="000000"/>
                    </w:rPr>
                    <w:t>防护等级：</w:t>
                  </w:r>
                  <w:r>
                    <w:rPr>
                      <w:rFonts w:ascii="仿宋_GB2312" w:hAnsi="仿宋_GB2312" w:cs="仿宋_GB2312" w:eastAsia="仿宋_GB2312"/>
                      <w:sz w:val="18"/>
                      <w:color w:val="000000"/>
                    </w:rPr>
                    <w:t>≥</w:t>
                  </w:r>
                  <w:r>
                    <w:rPr>
                      <w:rFonts w:ascii="仿宋_GB2312" w:hAnsi="仿宋_GB2312" w:cs="仿宋_GB2312" w:eastAsia="仿宋_GB2312"/>
                      <w:sz w:val="18"/>
                      <w:color w:val="000000"/>
                    </w:rPr>
                    <w:t>IP40</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对</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36</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前端主机</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 xml:space="preserve">1. </w:t>
                  </w:r>
                  <w:r>
                    <w:rPr>
                      <w:rFonts w:ascii="仿宋_GB2312" w:hAnsi="仿宋_GB2312" w:cs="仿宋_GB2312" w:eastAsia="仿宋_GB2312"/>
                      <w:sz w:val="18"/>
                      <w:color w:val="000000"/>
                    </w:rPr>
                    <w:t>路口管理主机支持嵌入式操作系统；</w:t>
                  </w:r>
                  <w:r>
                    <w:br/>
                  </w:r>
                  <w:r>
                    <w:rPr>
                      <w:rFonts w:ascii="仿宋_GB2312" w:hAnsi="仿宋_GB2312" w:cs="仿宋_GB2312" w:eastAsia="仿宋_GB2312"/>
                      <w:sz w:val="18"/>
                      <w:color w:val="000000"/>
                    </w:rPr>
                    <w:t xml:space="preserve">2. </w:t>
                  </w:r>
                  <w:r>
                    <w:rPr>
                      <w:rFonts w:ascii="仿宋_GB2312" w:hAnsi="仿宋_GB2312" w:cs="仿宋_GB2312" w:eastAsia="仿宋_GB2312"/>
                      <w:sz w:val="18"/>
                      <w:color w:val="000000"/>
                    </w:rPr>
                    <w:t>支持图片存储展示，包括车辆卡口、违法、人脸、人体以及其他事件结构化图片数据；</w:t>
                  </w:r>
                  <w:r>
                    <w:br/>
                  </w:r>
                  <w:r>
                    <w:rPr>
                      <w:rFonts w:ascii="仿宋_GB2312" w:hAnsi="仿宋_GB2312" w:cs="仿宋_GB2312" w:eastAsia="仿宋_GB2312"/>
                      <w:sz w:val="18"/>
                      <w:color w:val="000000"/>
                    </w:rPr>
                    <w:t xml:space="preserve">3. </w:t>
                  </w:r>
                  <w:r>
                    <w:rPr>
                      <w:rFonts w:ascii="仿宋_GB2312" w:hAnsi="仿宋_GB2312" w:cs="仿宋_GB2312" w:eastAsia="仿宋_GB2312"/>
                      <w:sz w:val="18"/>
                      <w:color w:val="000000"/>
                    </w:rPr>
                    <w:t>支持双网卡，可配置双</w:t>
                  </w:r>
                  <w:r>
                    <w:rPr>
                      <w:rFonts w:ascii="仿宋_GB2312" w:hAnsi="仿宋_GB2312" w:cs="仿宋_GB2312" w:eastAsia="仿宋_GB2312"/>
                      <w:sz w:val="18"/>
                      <w:color w:val="000000"/>
                    </w:rPr>
                    <w:t>IP</w:t>
                  </w:r>
                  <w:r>
                    <w:rPr>
                      <w:rFonts w:ascii="仿宋_GB2312" w:hAnsi="仿宋_GB2312" w:cs="仿宋_GB2312" w:eastAsia="仿宋_GB2312"/>
                      <w:sz w:val="18"/>
                      <w:color w:val="000000"/>
                    </w:rPr>
                    <w:t>进行双网隔离，可向两个隔离网络分别上传图片和视频数据；</w:t>
                  </w:r>
                  <w:r>
                    <w:br/>
                  </w:r>
                  <w:r>
                    <w:rPr>
                      <w:rFonts w:ascii="仿宋_GB2312" w:hAnsi="仿宋_GB2312" w:cs="仿宋_GB2312" w:eastAsia="仿宋_GB2312"/>
                      <w:sz w:val="18"/>
                      <w:color w:val="000000"/>
                    </w:rPr>
                    <w:t xml:space="preserve">4.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IP</w:t>
                  </w:r>
                  <w:r>
                    <w:rPr>
                      <w:rFonts w:ascii="仿宋_GB2312" w:hAnsi="仿宋_GB2312" w:cs="仿宋_GB2312" w:eastAsia="仿宋_GB2312"/>
                      <w:sz w:val="18"/>
                      <w:color w:val="000000"/>
                    </w:rPr>
                    <w:t>地址过滤、</w:t>
                  </w:r>
                  <w:r>
                    <w:rPr>
                      <w:rFonts w:ascii="仿宋_GB2312" w:hAnsi="仿宋_GB2312" w:cs="仿宋_GB2312" w:eastAsia="仿宋_GB2312"/>
                      <w:sz w:val="18"/>
                      <w:color w:val="000000"/>
                    </w:rPr>
                    <w:t>SSH</w:t>
                  </w:r>
                  <w:r>
                    <w:rPr>
                      <w:rFonts w:ascii="仿宋_GB2312" w:hAnsi="仿宋_GB2312" w:cs="仿宋_GB2312" w:eastAsia="仿宋_GB2312"/>
                      <w:sz w:val="18"/>
                      <w:color w:val="000000"/>
                    </w:rPr>
                    <w:t>开关自定义、</w:t>
                  </w:r>
                  <w:r>
                    <w:rPr>
                      <w:rFonts w:ascii="仿宋_GB2312" w:hAnsi="仿宋_GB2312" w:cs="仿宋_GB2312" w:eastAsia="仿宋_GB2312"/>
                      <w:sz w:val="18"/>
                      <w:color w:val="000000"/>
                    </w:rPr>
                    <w:t>ARP</w:t>
                  </w:r>
                  <w:r>
                    <w:rPr>
                      <w:rFonts w:ascii="仿宋_GB2312" w:hAnsi="仿宋_GB2312" w:cs="仿宋_GB2312" w:eastAsia="仿宋_GB2312"/>
                      <w:sz w:val="18"/>
                      <w:color w:val="000000"/>
                    </w:rPr>
                    <w:t>防攻击、视频水印等安全防护功能，具备强密码管理功能。支持</w:t>
                  </w:r>
                  <w:r>
                    <w:rPr>
                      <w:rFonts w:ascii="仿宋_GB2312" w:hAnsi="仿宋_GB2312" w:cs="仿宋_GB2312" w:eastAsia="仿宋_GB2312"/>
                      <w:sz w:val="18"/>
                      <w:color w:val="000000"/>
                    </w:rPr>
                    <w:t>WEB</w:t>
                  </w:r>
                  <w:r>
                    <w:rPr>
                      <w:rFonts w:ascii="仿宋_GB2312" w:hAnsi="仿宋_GB2312" w:cs="仿宋_GB2312" w:eastAsia="仿宋_GB2312"/>
                      <w:sz w:val="18"/>
                      <w:color w:val="000000"/>
                    </w:rPr>
                    <w:t>回话</w:t>
                  </w:r>
                  <w:r>
                    <w:rPr>
                      <w:rFonts w:ascii="仿宋_GB2312" w:hAnsi="仿宋_GB2312" w:cs="仿宋_GB2312" w:eastAsia="仿宋_GB2312"/>
                      <w:sz w:val="18"/>
                      <w:color w:val="000000"/>
                    </w:rPr>
                    <w:t>Session ID</w:t>
                  </w:r>
                  <w:r>
                    <w:rPr>
                      <w:rFonts w:ascii="仿宋_GB2312" w:hAnsi="仿宋_GB2312" w:cs="仿宋_GB2312" w:eastAsia="仿宋_GB2312"/>
                      <w:sz w:val="18"/>
                      <w:color w:val="000000"/>
                    </w:rPr>
                    <w:t>、数据传输加密、固件完整性等安全检验；</w:t>
                  </w:r>
                  <w:r>
                    <w:br/>
                  </w:r>
                  <w:r>
                    <w:rPr>
                      <w:rFonts w:ascii="仿宋_GB2312" w:hAnsi="仿宋_GB2312" w:cs="仿宋_GB2312" w:eastAsia="仿宋_GB2312"/>
                      <w:sz w:val="18"/>
                      <w:color w:val="000000"/>
                    </w:rPr>
                    <w:t xml:space="preserve">5. </w:t>
                  </w:r>
                  <w:r>
                    <w:rPr>
                      <w:rFonts w:ascii="仿宋_GB2312" w:hAnsi="仿宋_GB2312" w:cs="仿宋_GB2312" w:eastAsia="仿宋_GB2312"/>
                      <w:sz w:val="18"/>
                      <w:color w:val="000000"/>
                    </w:rPr>
                    <w:t>支持不少于</w:t>
                  </w:r>
                  <w:r>
                    <w:rPr>
                      <w:rFonts w:ascii="仿宋_GB2312" w:hAnsi="仿宋_GB2312" w:cs="仿宋_GB2312" w:eastAsia="仿宋_GB2312"/>
                      <w:sz w:val="18"/>
                      <w:color w:val="000000"/>
                    </w:rPr>
                    <w:t>12</w:t>
                  </w:r>
                  <w:r>
                    <w:rPr>
                      <w:rFonts w:ascii="仿宋_GB2312" w:hAnsi="仿宋_GB2312" w:cs="仿宋_GB2312" w:eastAsia="仿宋_GB2312"/>
                      <w:sz w:val="18"/>
                      <w:color w:val="000000"/>
                    </w:rPr>
                    <w:t>路</w:t>
                  </w:r>
                  <w:r>
                    <w:rPr>
                      <w:rFonts w:ascii="仿宋_GB2312" w:hAnsi="仿宋_GB2312" w:cs="仿宋_GB2312" w:eastAsia="仿宋_GB2312"/>
                      <w:sz w:val="18"/>
                      <w:color w:val="000000"/>
                    </w:rPr>
                    <w:t>IP</w:t>
                  </w:r>
                  <w:r>
                    <w:rPr>
                      <w:rFonts w:ascii="仿宋_GB2312" w:hAnsi="仿宋_GB2312" w:cs="仿宋_GB2312" w:eastAsia="仿宋_GB2312"/>
                      <w:sz w:val="18"/>
                      <w:color w:val="000000"/>
                    </w:rPr>
                    <w:t>摄像机进行录像与图片的实时预览和存储，并可将</w:t>
                  </w:r>
                  <w:r>
                    <w:rPr>
                      <w:rFonts w:ascii="仿宋_GB2312" w:hAnsi="仿宋_GB2312" w:cs="仿宋_GB2312" w:eastAsia="仿宋_GB2312"/>
                      <w:sz w:val="18"/>
                      <w:color w:val="000000"/>
                    </w:rPr>
                    <w:t>IP</w:t>
                  </w:r>
                  <w:r>
                    <w:rPr>
                      <w:rFonts w:ascii="仿宋_GB2312" w:hAnsi="仿宋_GB2312" w:cs="仿宋_GB2312" w:eastAsia="仿宋_GB2312"/>
                      <w:sz w:val="18"/>
                      <w:color w:val="000000"/>
                    </w:rPr>
                    <w:t>摄像机的视频图像通过网络传输至客户端；</w:t>
                  </w:r>
                  <w:r>
                    <w:br/>
                  </w:r>
                  <w:r>
                    <w:rPr>
                      <w:rFonts w:ascii="仿宋_GB2312" w:hAnsi="仿宋_GB2312" w:cs="仿宋_GB2312" w:eastAsia="仿宋_GB2312"/>
                      <w:sz w:val="18"/>
                      <w:color w:val="000000"/>
                    </w:rPr>
                    <w:t xml:space="preserve">6. </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4</w:t>
                  </w:r>
                  <w:r>
                    <w:rPr>
                      <w:rFonts w:ascii="仿宋_GB2312" w:hAnsi="仿宋_GB2312" w:cs="仿宋_GB2312" w:eastAsia="仿宋_GB2312"/>
                      <w:sz w:val="18"/>
                      <w:color w:val="000000"/>
                    </w:rPr>
                    <w:t>块</w:t>
                  </w:r>
                  <w:r>
                    <w:rPr>
                      <w:rFonts w:ascii="仿宋_GB2312" w:hAnsi="仿宋_GB2312" w:cs="仿宋_GB2312" w:eastAsia="仿宋_GB2312"/>
                      <w:sz w:val="18"/>
                      <w:color w:val="000000"/>
                    </w:rPr>
                    <w:t>3.5</w:t>
                  </w:r>
                  <w:r>
                    <w:rPr>
                      <w:rFonts w:ascii="仿宋_GB2312" w:hAnsi="仿宋_GB2312" w:cs="仿宋_GB2312" w:eastAsia="仿宋_GB2312"/>
                      <w:sz w:val="18"/>
                      <w:color w:val="000000"/>
                    </w:rPr>
                    <w:t>或</w:t>
                  </w:r>
                  <w:r>
                    <w:rPr>
                      <w:rFonts w:ascii="仿宋_GB2312" w:hAnsi="仿宋_GB2312" w:cs="仿宋_GB2312" w:eastAsia="仿宋_GB2312"/>
                      <w:sz w:val="18"/>
                      <w:color w:val="000000"/>
                    </w:rPr>
                    <w:t>2.5</w:t>
                  </w:r>
                  <w:r>
                    <w:rPr>
                      <w:rFonts w:ascii="仿宋_GB2312" w:hAnsi="仿宋_GB2312" w:cs="仿宋_GB2312" w:eastAsia="仿宋_GB2312"/>
                      <w:sz w:val="18"/>
                      <w:color w:val="000000"/>
                    </w:rPr>
                    <w:t>英寸硬盘接入，支持硬盘自动切换，本项目配置不少于</w:t>
                  </w:r>
                  <w:r>
                    <w:rPr>
                      <w:rFonts w:ascii="仿宋_GB2312" w:hAnsi="仿宋_GB2312" w:cs="仿宋_GB2312" w:eastAsia="仿宋_GB2312"/>
                      <w:sz w:val="18"/>
                      <w:color w:val="000000"/>
                    </w:rPr>
                    <w:t>8T</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 xml:space="preserve">7. </w:t>
                  </w:r>
                  <w:r>
                    <w:rPr>
                      <w:rFonts w:ascii="仿宋_GB2312" w:hAnsi="仿宋_GB2312" w:cs="仿宋_GB2312" w:eastAsia="仿宋_GB2312"/>
                      <w:sz w:val="18"/>
                      <w:color w:val="000000"/>
                    </w:rPr>
                    <w:t>具备数据直存功能，支持视频流直接写入存储。</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工作温度：</w:t>
                  </w:r>
                  <w:r>
                    <w:rPr>
                      <w:rFonts w:ascii="仿宋_GB2312" w:hAnsi="仿宋_GB2312" w:cs="仿宋_GB2312" w:eastAsia="仿宋_GB2312"/>
                      <w:sz w:val="18"/>
                      <w:color w:val="000000"/>
                    </w:rPr>
                    <w:t>-30</w:t>
                  </w:r>
                  <w:r>
                    <w:rPr>
                      <w:rFonts w:ascii="仿宋_GB2312" w:hAnsi="仿宋_GB2312" w:cs="仿宋_GB2312" w:eastAsia="仿宋_GB2312"/>
                      <w:sz w:val="18"/>
                      <w:color w:val="000000"/>
                    </w:rPr>
                    <w:t>℃</w:t>
                  </w:r>
                  <w:r>
                    <w:rPr>
                      <w:rFonts w:ascii="仿宋_GB2312" w:hAnsi="仿宋_GB2312" w:cs="仿宋_GB2312" w:eastAsia="仿宋_GB2312"/>
                      <w:sz w:val="18"/>
                      <w:color w:val="000000"/>
                    </w:rPr>
                    <w:t>~70</w:t>
                  </w:r>
                  <w:r>
                    <w:rPr>
                      <w:rFonts w:ascii="仿宋_GB2312" w:hAnsi="仿宋_GB2312" w:cs="仿宋_GB2312" w:eastAsia="仿宋_GB2312"/>
                      <w:sz w:val="18"/>
                      <w:color w:val="000000"/>
                    </w:rPr>
                    <w:t>℃</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142</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全景球机</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 xml:space="preserve">1. </w:t>
                  </w:r>
                  <w:r>
                    <w:rPr>
                      <w:rFonts w:ascii="仿宋_GB2312" w:hAnsi="仿宋_GB2312" w:cs="仿宋_GB2312" w:eastAsia="仿宋_GB2312"/>
                      <w:sz w:val="21"/>
                      <w:b/>
                    </w:rPr>
                    <w:t>▲</w:t>
                  </w:r>
                  <w:r>
                    <w:rPr>
                      <w:rFonts w:ascii="仿宋_GB2312" w:hAnsi="仿宋_GB2312" w:cs="仿宋_GB2312" w:eastAsia="仿宋_GB2312"/>
                      <w:sz w:val="18"/>
                      <w:color w:val="000000"/>
                    </w:rPr>
                    <w:t>全景摄像机分辨率</w:t>
                  </w:r>
                  <w:r>
                    <w:rPr>
                      <w:rFonts w:ascii="仿宋_GB2312" w:hAnsi="仿宋_GB2312" w:cs="仿宋_GB2312" w:eastAsia="仿宋_GB2312"/>
                      <w:sz w:val="18"/>
                      <w:color w:val="000000"/>
                    </w:rPr>
                    <w:t>≥</w:t>
                  </w:r>
                  <w:r>
                    <w:rPr>
                      <w:rFonts w:ascii="仿宋_GB2312" w:hAnsi="仿宋_GB2312" w:cs="仿宋_GB2312" w:eastAsia="仿宋_GB2312"/>
                      <w:sz w:val="18"/>
                      <w:color w:val="000000"/>
                    </w:rPr>
                    <w:t xml:space="preserve">3680 </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1656</w:t>
                  </w:r>
                  <w:r>
                    <w:rPr>
                      <w:rFonts w:ascii="仿宋_GB2312" w:hAnsi="仿宋_GB2312" w:cs="仿宋_GB2312" w:eastAsia="仿宋_GB2312"/>
                      <w:sz w:val="18"/>
                      <w:color w:val="000000"/>
                    </w:rPr>
                    <w:t>，细节摄像机分辨率≥</w:t>
                  </w:r>
                  <w:r>
                    <w:rPr>
                      <w:rFonts w:ascii="仿宋_GB2312" w:hAnsi="仿宋_GB2312" w:cs="仿宋_GB2312" w:eastAsia="仿宋_GB2312"/>
                      <w:sz w:val="18"/>
                      <w:color w:val="000000"/>
                    </w:rPr>
                    <w:t xml:space="preserve">2688 </w:t>
                  </w:r>
                  <w:r>
                    <w:rPr>
                      <w:rFonts w:ascii="仿宋_GB2312" w:hAnsi="仿宋_GB2312" w:cs="仿宋_GB2312" w:eastAsia="仿宋_GB2312"/>
                      <w:sz w:val="18"/>
                      <w:color w:val="000000"/>
                    </w:rPr>
                    <w:t xml:space="preserve">× </w:t>
                  </w:r>
                  <w:r>
                    <w:rPr>
                      <w:rFonts w:ascii="仿宋_GB2312" w:hAnsi="仿宋_GB2312" w:cs="仿宋_GB2312" w:eastAsia="仿宋_GB2312"/>
                      <w:sz w:val="18"/>
                      <w:color w:val="000000"/>
                    </w:rPr>
                    <w:t>1520</w:t>
                  </w:r>
                  <w:r>
                    <w:br/>
                  </w:r>
                  <w:r>
                    <w:rPr>
                      <w:rFonts w:ascii="仿宋_GB2312" w:hAnsi="仿宋_GB2312" w:cs="仿宋_GB2312" w:eastAsia="仿宋_GB2312"/>
                      <w:sz w:val="18"/>
                      <w:color w:val="000000"/>
                    </w:rPr>
                    <w:t xml:space="preserve">2. </w:t>
                  </w:r>
                  <w:r>
                    <w:rPr>
                      <w:rFonts w:ascii="仿宋_GB2312" w:hAnsi="仿宋_GB2312" w:cs="仿宋_GB2312" w:eastAsia="仿宋_GB2312"/>
                      <w:sz w:val="18"/>
                      <w:color w:val="000000"/>
                    </w:rPr>
                    <w:t>摄像机内置不少于</w:t>
                  </w:r>
                  <w:r>
                    <w:rPr>
                      <w:rFonts w:ascii="仿宋_GB2312" w:hAnsi="仿宋_GB2312" w:cs="仿宋_GB2312" w:eastAsia="仿宋_GB2312"/>
                      <w:sz w:val="18"/>
                      <w:color w:val="000000"/>
                    </w:rPr>
                    <w:t>3</w:t>
                  </w:r>
                  <w:r>
                    <w:rPr>
                      <w:rFonts w:ascii="仿宋_GB2312" w:hAnsi="仿宋_GB2312" w:cs="仿宋_GB2312" w:eastAsia="仿宋_GB2312"/>
                      <w:sz w:val="18"/>
                      <w:color w:val="000000"/>
                    </w:rPr>
                    <w:t>个镜头，可输出至少</w:t>
                  </w:r>
                  <w:r>
                    <w:rPr>
                      <w:rFonts w:ascii="仿宋_GB2312" w:hAnsi="仿宋_GB2312" w:cs="仿宋_GB2312" w:eastAsia="仿宋_GB2312"/>
                      <w:sz w:val="18"/>
                      <w:color w:val="000000"/>
                    </w:rPr>
                    <w:t>1</w:t>
                  </w:r>
                  <w:r>
                    <w:rPr>
                      <w:rFonts w:ascii="仿宋_GB2312" w:hAnsi="仿宋_GB2312" w:cs="仿宋_GB2312" w:eastAsia="仿宋_GB2312"/>
                      <w:sz w:val="18"/>
                      <w:color w:val="000000"/>
                    </w:rPr>
                    <w:t>路全景视频图像和</w:t>
                  </w:r>
                  <w:r>
                    <w:rPr>
                      <w:rFonts w:ascii="仿宋_GB2312" w:hAnsi="仿宋_GB2312" w:cs="仿宋_GB2312" w:eastAsia="仿宋_GB2312"/>
                      <w:sz w:val="18"/>
                      <w:color w:val="000000"/>
                    </w:rPr>
                    <w:t>1</w:t>
                  </w:r>
                  <w:r>
                    <w:rPr>
                      <w:rFonts w:ascii="仿宋_GB2312" w:hAnsi="仿宋_GB2312" w:cs="仿宋_GB2312" w:eastAsia="仿宋_GB2312"/>
                      <w:sz w:val="18"/>
                      <w:color w:val="000000"/>
                    </w:rPr>
                    <w:t>路细节视频图像，全景视频图像内置≥</w:t>
                  </w:r>
                  <w:r>
                    <w:rPr>
                      <w:rFonts w:ascii="仿宋_GB2312" w:hAnsi="仿宋_GB2312" w:cs="仿宋_GB2312" w:eastAsia="仿宋_GB2312"/>
                      <w:sz w:val="18"/>
                      <w:color w:val="000000"/>
                    </w:rPr>
                    <w:t>2</w:t>
                  </w:r>
                  <w:r>
                    <w:rPr>
                      <w:rFonts w:ascii="仿宋_GB2312" w:hAnsi="仿宋_GB2312" w:cs="仿宋_GB2312" w:eastAsia="仿宋_GB2312"/>
                      <w:sz w:val="18"/>
                      <w:color w:val="000000"/>
                    </w:rPr>
                    <w:t>个镜头，细节视频图像内置≥</w:t>
                  </w:r>
                  <w:r>
                    <w:rPr>
                      <w:rFonts w:ascii="仿宋_GB2312" w:hAnsi="仿宋_GB2312" w:cs="仿宋_GB2312" w:eastAsia="仿宋_GB2312"/>
                      <w:sz w:val="18"/>
                      <w:color w:val="000000"/>
                    </w:rPr>
                    <w:t>1</w:t>
                  </w:r>
                  <w:r>
                    <w:rPr>
                      <w:rFonts w:ascii="仿宋_GB2312" w:hAnsi="仿宋_GB2312" w:cs="仿宋_GB2312" w:eastAsia="仿宋_GB2312"/>
                      <w:sz w:val="18"/>
                      <w:color w:val="000000"/>
                    </w:rPr>
                    <w:t>个镜头</w:t>
                  </w:r>
                  <w:r>
                    <w:br/>
                  </w:r>
                  <w:r>
                    <w:rPr>
                      <w:rFonts w:ascii="仿宋_GB2312" w:hAnsi="仿宋_GB2312" w:cs="仿宋_GB2312" w:eastAsia="仿宋_GB2312"/>
                      <w:sz w:val="18"/>
                      <w:color w:val="000000"/>
                    </w:rPr>
                    <w:t xml:space="preserve">3. </w:t>
                  </w:r>
                  <w:r>
                    <w:rPr>
                      <w:rFonts w:ascii="仿宋_GB2312" w:hAnsi="仿宋_GB2312" w:cs="仿宋_GB2312" w:eastAsia="仿宋_GB2312"/>
                      <w:sz w:val="18"/>
                      <w:color w:val="000000"/>
                    </w:rPr>
                    <w:t>全景视频图像内置≥</w:t>
                  </w:r>
                  <w:r>
                    <w:rPr>
                      <w:rFonts w:ascii="仿宋_GB2312" w:hAnsi="仿宋_GB2312" w:cs="仿宋_GB2312" w:eastAsia="仿宋_GB2312"/>
                      <w:sz w:val="18"/>
                      <w:color w:val="000000"/>
                    </w:rPr>
                    <w:t>2</w:t>
                  </w:r>
                  <w:r>
                    <w:rPr>
                      <w:rFonts w:ascii="仿宋_GB2312" w:hAnsi="仿宋_GB2312" w:cs="仿宋_GB2312" w:eastAsia="仿宋_GB2312"/>
                      <w:sz w:val="18"/>
                      <w:color w:val="000000"/>
                    </w:rPr>
                    <w:t>个镜头，光圈不小于</w:t>
                  </w:r>
                  <w:r>
                    <w:rPr>
                      <w:rFonts w:ascii="仿宋_GB2312" w:hAnsi="仿宋_GB2312" w:cs="仿宋_GB2312" w:eastAsia="仿宋_GB2312"/>
                      <w:sz w:val="18"/>
                      <w:color w:val="000000"/>
                    </w:rPr>
                    <w:t>F1.0</w:t>
                  </w:r>
                  <w:r>
                    <w:rPr>
                      <w:rFonts w:ascii="仿宋_GB2312" w:hAnsi="仿宋_GB2312" w:cs="仿宋_GB2312" w:eastAsia="仿宋_GB2312"/>
                      <w:sz w:val="18"/>
                      <w:color w:val="000000"/>
                    </w:rPr>
                    <w:t>，具有不小于</w:t>
                  </w:r>
                  <w:r>
                    <w:rPr>
                      <w:rFonts w:ascii="仿宋_GB2312" w:hAnsi="仿宋_GB2312" w:cs="仿宋_GB2312" w:eastAsia="仿宋_GB2312"/>
                      <w:sz w:val="18"/>
                      <w:color w:val="000000"/>
                    </w:rPr>
                    <w:t>1/1.8</w:t>
                  </w:r>
                  <w:r>
                    <w:rPr>
                      <w:rFonts w:ascii="仿宋_GB2312" w:hAnsi="仿宋_GB2312" w:cs="仿宋_GB2312" w:eastAsia="仿宋_GB2312"/>
                      <w:sz w:val="18"/>
                      <w:color w:val="000000"/>
                    </w:rPr>
                    <w:t>靶面尺寸，内置≥</w:t>
                  </w:r>
                  <w:r>
                    <w:rPr>
                      <w:rFonts w:ascii="仿宋_GB2312" w:hAnsi="仿宋_GB2312" w:cs="仿宋_GB2312" w:eastAsia="仿宋_GB2312"/>
                      <w:sz w:val="18"/>
                      <w:color w:val="000000"/>
                    </w:rPr>
                    <w:t>4</w:t>
                  </w:r>
                  <w:r>
                    <w:rPr>
                      <w:rFonts w:ascii="仿宋_GB2312" w:hAnsi="仿宋_GB2312" w:cs="仿宋_GB2312" w:eastAsia="仿宋_GB2312"/>
                      <w:sz w:val="18"/>
                      <w:color w:val="000000"/>
                    </w:rPr>
                    <w:t>颗补光灯。细节视频图像内置</w:t>
                  </w:r>
                  <w:r>
                    <w:rPr>
                      <w:rFonts w:ascii="仿宋_GB2312" w:hAnsi="仿宋_GB2312" w:cs="仿宋_GB2312" w:eastAsia="仿宋_GB2312"/>
                      <w:sz w:val="18"/>
                      <w:color w:val="000000"/>
                    </w:rPr>
                    <w:t>1</w:t>
                  </w:r>
                  <w:r>
                    <w:rPr>
                      <w:rFonts w:ascii="仿宋_GB2312" w:hAnsi="仿宋_GB2312" w:cs="仿宋_GB2312" w:eastAsia="仿宋_GB2312"/>
                      <w:sz w:val="18"/>
                      <w:color w:val="000000"/>
                    </w:rPr>
                    <w:t>个镜头，具有不小于</w:t>
                  </w:r>
                  <w:r>
                    <w:rPr>
                      <w:rFonts w:ascii="仿宋_GB2312" w:hAnsi="仿宋_GB2312" w:cs="仿宋_GB2312" w:eastAsia="仿宋_GB2312"/>
                      <w:sz w:val="18"/>
                      <w:color w:val="000000"/>
                    </w:rPr>
                    <w:t>1/1.8</w:t>
                  </w:r>
                  <w:r>
                    <w:rPr>
                      <w:rFonts w:ascii="仿宋_GB2312" w:hAnsi="仿宋_GB2312" w:cs="仿宋_GB2312" w:eastAsia="仿宋_GB2312"/>
                      <w:sz w:val="18"/>
                      <w:color w:val="000000"/>
                    </w:rPr>
                    <w:t>靶面尺寸，内置≥</w:t>
                  </w:r>
                  <w:r>
                    <w:rPr>
                      <w:rFonts w:ascii="仿宋_GB2312" w:hAnsi="仿宋_GB2312" w:cs="仿宋_GB2312" w:eastAsia="仿宋_GB2312"/>
                      <w:sz w:val="18"/>
                      <w:color w:val="000000"/>
                    </w:rPr>
                    <w:t>10</w:t>
                  </w:r>
                  <w:r>
                    <w:rPr>
                      <w:rFonts w:ascii="仿宋_GB2312" w:hAnsi="仿宋_GB2312" w:cs="仿宋_GB2312" w:eastAsia="仿宋_GB2312"/>
                      <w:sz w:val="18"/>
                      <w:color w:val="000000"/>
                    </w:rPr>
                    <w:t>颗红外补光灯及≥</w:t>
                  </w:r>
                  <w:r>
                    <w:rPr>
                      <w:rFonts w:ascii="仿宋_GB2312" w:hAnsi="仿宋_GB2312" w:cs="仿宋_GB2312" w:eastAsia="仿宋_GB2312"/>
                      <w:sz w:val="18"/>
                      <w:color w:val="000000"/>
                    </w:rPr>
                    <w:t>1</w:t>
                  </w:r>
                  <w:r>
                    <w:rPr>
                      <w:rFonts w:ascii="仿宋_GB2312" w:hAnsi="仿宋_GB2312" w:cs="仿宋_GB2312" w:eastAsia="仿宋_GB2312"/>
                      <w:sz w:val="18"/>
                      <w:color w:val="000000"/>
                    </w:rPr>
                    <w:t>颗白光灯</w:t>
                  </w:r>
                  <w:r>
                    <w:br/>
                  </w:r>
                  <w:r>
                    <w:rPr>
                      <w:rFonts w:ascii="仿宋_GB2312" w:hAnsi="仿宋_GB2312" w:cs="仿宋_GB2312" w:eastAsia="仿宋_GB2312"/>
                      <w:sz w:val="18"/>
                      <w:color w:val="000000"/>
                    </w:rPr>
                    <w:t xml:space="preserve">4. </w:t>
                  </w:r>
                  <w:r>
                    <w:rPr>
                      <w:rFonts w:ascii="仿宋_GB2312" w:hAnsi="仿宋_GB2312" w:cs="仿宋_GB2312" w:eastAsia="仿宋_GB2312"/>
                      <w:sz w:val="18"/>
                      <w:color w:val="000000"/>
                    </w:rPr>
                    <w:t>细节通道镜头最低照度：彩色≤</w:t>
                  </w:r>
                  <w:r>
                    <w:rPr>
                      <w:rFonts w:ascii="仿宋_GB2312" w:hAnsi="仿宋_GB2312" w:cs="仿宋_GB2312" w:eastAsia="仿宋_GB2312"/>
                      <w:sz w:val="18"/>
                      <w:color w:val="000000"/>
                    </w:rPr>
                    <w:t>0.0002lx</w:t>
                  </w:r>
                  <w:r>
                    <w:rPr>
                      <w:rFonts w:ascii="仿宋_GB2312" w:hAnsi="仿宋_GB2312" w:cs="仿宋_GB2312" w:eastAsia="仿宋_GB2312"/>
                      <w:sz w:val="18"/>
                      <w:color w:val="000000"/>
                    </w:rPr>
                    <w:t>，黑白≤</w:t>
                  </w:r>
                  <w:r>
                    <w:rPr>
                      <w:rFonts w:ascii="仿宋_GB2312" w:hAnsi="仿宋_GB2312" w:cs="仿宋_GB2312" w:eastAsia="仿宋_GB2312"/>
                      <w:sz w:val="18"/>
                      <w:color w:val="000000"/>
                    </w:rPr>
                    <w:t>0.0001lx</w:t>
                  </w:r>
                  <w:r>
                    <w:br/>
                  </w:r>
                  <w:r>
                    <w:rPr>
                      <w:rFonts w:ascii="仿宋_GB2312" w:hAnsi="仿宋_GB2312" w:cs="仿宋_GB2312" w:eastAsia="仿宋_GB2312"/>
                      <w:sz w:val="18"/>
                      <w:color w:val="000000"/>
                    </w:rPr>
                    <w:t xml:space="preserve">5. </w:t>
                  </w:r>
                  <w:r>
                    <w:rPr>
                      <w:rFonts w:ascii="仿宋_GB2312" w:hAnsi="仿宋_GB2312" w:cs="仿宋_GB2312" w:eastAsia="仿宋_GB2312"/>
                      <w:sz w:val="21"/>
                      <w:b/>
                    </w:rPr>
                    <w:t>▲</w:t>
                  </w:r>
                  <w:r>
                    <w:rPr>
                      <w:rFonts w:ascii="仿宋_GB2312" w:hAnsi="仿宋_GB2312" w:cs="仿宋_GB2312" w:eastAsia="仿宋_GB2312"/>
                      <w:sz w:val="18"/>
                      <w:color w:val="000000"/>
                    </w:rPr>
                    <w:t>摄像机内置镜头，支持不小于</w:t>
                  </w:r>
                  <w:r>
                    <w:rPr>
                      <w:rFonts w:ascii="仿宋_GB2312" w:hAnsi="仿宋_GB2312" w:cs="仿宋_GB2312" w:eastAsia="仿宋_GB2312"/>
                      <w:sz w:val="18"/>
                      <w:color w:val="000000"/>
                    </w:rPr>
                    <w:t>40</w:t>
                  </w:r>
                  <w:r>
                    <w:rPr>
                      <w:rFonts w:ascii="仿宋_GB2312" w:hAnsi="仿宋_GB2312" w:cs="仿宋_GB2312" w:eastAsia="仿宋_GB2312"/>
                      <w:sz w:val="18"/>
                      <w:color w:val="000000"/>
                    </w:rPr>
                    <w:t>倍光学变倍，镜头最大焦距不小于</w:t>
                  </w:r>
                  <w:r>
                    <w:rPr>
                      <w:rFonts w:ascii="仿宋_GB2312" w:hAnsi="仿宋_GB2312" w:cs="仿宋_GB2312" w:eastAsia="仿宋_GB2312"/>
                      <w:sz w:val="18"/>
                      <w:color w:val="000000"/>
                    </w:rPr>
                    <w:t>240mm</w:t>
                  </w:r>
                  <w:r>
                    <w:br/>
                  </w:r>
                  <w:r>
                    <w:rPr>
                      <w:rFonts w:ascii="仿宋_GB2312" w:hAnsi="仿宋_GB2312" w:cs="仿宋_GB2312" w:eastAsia="仿宋_GB2312"/>
                      <w:sz w:val="18"/>
                      <w:color w:val="000000"/>
                    </w:rPr>
                    <w:t xml:space="preserve">6. </w:t>
                  </w:r>
                  <w:r>
                    <w:rPr>
                      <w:rFonts w:ascii="仿宋_GB2312" w:hAnsi="仿宋_GB2312" w:cs="仿宋_GB2312" w:eastAsia="仿宋_GB2312"/>
                      <w:sz w:val="18"/>
                      <w:color w:val="000000"/>
                    </w:rPr>
                    <w:t>支持水平旋转范围</w:t>
                  </w:r>
                  <w:r>
                    <w:rPr>
                      <w:rFonts w:ascii="仿宋_GB2312" w:hAnsi="仿宋_GB2312" w:cs="仿宋_GB2312" w:eastAsia="仿宋_GB2312"/>
                      <w:sz w:val="18"/>
                      <w:color w:val="000000"/>
                    </w:rPr>
                    <w:t>360</w:t>
                  </w:r>
                  <w:r>
                    <w:rPr>
                      <w:rFonts w:ascii="仿宋_GB2312" w:hAnsi="仿宋_GB2312" w:cs="仿宋_GB2312" w:eastAsia="仿宋_GB2312"/>
                      <w:sz w:val="18"/>
                      <w:color w:val="000000"/>
                    </w:rPr>
                    <w:t>°连续旋转，垂直旋转范围</w:t>
                  </w:r>
                  <w:r>
                    <w:rPr>
                      <w:rFonts w:ascii="仿宋_GB2312" w:hAnsi="仿宋_GB2312" w:cs="仿宋_GB2312" w:eastAsia="仿宋_GB2312"/>
                      <w:sz w:val="18"/>
                      <w:color w:val="000000"/>
                    </w:rPr>
                    <w:t>-20</w:t>
                  </w:r>
                  <w:r>
                    <w:rPr>
                      <w:rFonts w:ascii="仿宋_GB2312" w:hAnsi="仿宋_GB2312" w:cs="仿宋_GB2312" w:eastAsia="仿宋_GB2312"/>
                      <w:sz w:val="18"/>
                      <w:color w:val="000000"/>
                    </w:rPr>
                    <w:t>°</w:t>
                  </w:r>
                  <w:r>
                    <w:rPr>
                      <w:rFonts w:ascii="仿宋_GB2312" w:hAnsi="仿宋_GB2312" w:cs="仿宋_GB2312" w:eastAsia="仿宋_GB2312"/>
                      <w:sz w:val="18"/>
                      <w:color w:val="000000"/>
                    </w:rPr>
                    <w:t>~90</w:t>
                  </w:r>
                  <w:r>
                    <w:rPr>
                      <w:rFonts w:ascii="仿宋_GB2312" w:hAnsi="仿宋_GB2312" w:cs="仿宋_GB2312" w:eastAsia="仿宋_GB2312"/>
                      <w:sz w:val="18"/>
                      <w:color w:val="000000"/>
                    </w:rPr>
                    <w:t>°，全景通道可进行垂直旋转，旋转角度范围不低于</w:t>
                  </w:r>
                  <w:r>
                    <w:rPr>
                      <w:rFonts w:ascii="仿宋_GB2312" w:hAnsi="仿宋_GB2312" w:cs="仿宋_GB2312" w:eastAsia="仿宋_GB2312"/>
                      <w:sz w:val="18"/>
                      <w:color w:val="000000"/>
                    </w:rPr>
                    <w:t>12</w:t>
                  </w:r>
                  <w:r>
                    <w:rPr>
                      <w:rFonts w:ascii="仿宋_GB2312" w:hAnsi="仿宋_GB2312" w:cs="仿宋_GB2312" w:eastAsia="仿宋_GB2312"/>
                      <w:sz w:val="18"/>
                      <w:color w:val="000000"/>
                    </w:rPr>
                    <w:t>°，并可进行调节</w:t>
                  </w:r>
                  <w:r>
                    <w:br/>
                  </w:r>
                  <w:r>
                    <w:rPr>
                      <w:rFonts w:ascii="仿宋_GB2312" w:hAnsi="仿宋_GB2312" w:cs="仿宋_GB2312" w:eastAsia="仿宋_GB2312"/>
                      <w:sz w:val="18"/>
                      <w:color w:val="000000"/>
                    </w:rPr>
                    <w:t xml:space="preserve">7. </w:t>
                  </w:r>
                  <w:r>
                    <w:rPr>
                      <w:rFonts w:ascii="仿宋_GB2312" w:hAnsi="仿宋_GB2312" w:cs="仿宋_GB2312" w:eastAsia="仿宋_GB2312"/>
                      <w:sz w:val="18"/>
                      <w:color w:val="000000"/>
                    </w:rPr>
                    <w:t>可设置不少于</w:t>
                  </w:r>
                  <w:r>
                    <w:rPr>
                      <w:rFonts w:ascii="仿宋_GB2312" w:hAnsi="仿宋_GB2312" w:cs="仿宋_GB2312" w:eastAsia="仿宋_GB2312"/>
                      <w:sz w:val="18"/>
                      <w:color w:val="000000"/>
                    </w:rPr>
                    <w:t>300</w:t>
                  </w:r>
                  <w:r>
                    <w:rPr>
                      <w:rFonts w:ascii="仿宋_GB2312" w:hAnsi="仿宋_GB2312" w:cs="仿宋_GB2312" w:eastAsia="仿宋_GB2312"/>
                      <w:sz w:val="18"/>
                      <w:color w:val="000000"/>
                    </w:rPr>
                    <w:t>个预置位，</w:t>
                  </w:r>
                  <w:r>
                    <w:rPr>
                      <w:rFonts w:ascii="仿宋_GB2312" w:hAnsi="仿宋_GB2312" w:cs="仿宋_GB2312" w:eastAsia="仿宋_GB2312"/>
                      <w:sz w:val="18"/>
                      <w:color w:val="000000"/>
                    </w:rPr>
                    <w:t>8</w:t>
                  </w:r>
                  <w:r>
                    <w:rPr>
                      <w:rFonts w:ascii="仿宋_GB2312" w:hAnsi="仿宋_GB2312" w:cs="仿宋_GB2312" w:eastAsia="仿宋_GB2312"/>
                      <w:sz w:val="18"/>
                      <w:color w:val="000000"/>
                    </w:rPr>
                    <w:t>条巡航路径。支持预置位视频冻结功能</w:t>
                  </w:r>
                  <w:r>
                    <w:br/>
                  </w:r>
                  <w:r>
                    <w:rPr>
                      <w:rFonts w:ascii="仿宋_GB2312" w:hAnsi="仿宋_GB2312" w:cs="仿宋_GB2312" w:eastAsia="仿宋_GB2312"/>
                      <w:sz w:val="18"/>
                      <w:color w:val="000000"/>
                    </w:rPr>
                    <w:t xml:space="preserve">8. </w:t>
                  </w:r>
                  <w:r>
                    <w:rPr>
                      <w:rFonts w:ascii="仿宋_GB2312" w:hAnsi="仿宋_GB2312" w:cs="仿宋_GB2312" w:eastAsia="仿宋_GB2312"/>
                      <w:sz w:val="18"/>
                      <w:color w:val="000000"/>
                    </w:rPr>
                    <w:t xml:space="preserve">具有 </w:t>
                  </w:r>
                  <w:r>
                    <w:rPr>
                      <w:rFonts w:ascii="仿宋_GB2312" w:hAnsi="仿宋_GB2312" w:cs="仿宋_GB2312" w:eastAsia="仿宋_GB2312"/>
                      <w:sz w:val="18"/>
                      <w:color w:val="000000"/>
                    </w:rPr>
                    <w:t>H.265</w:t>
                  </w:r>
                  <w:r>
                    <w:rPr>
                      <w:rFonts w:ascii="仿宋_GB2312" w:hAnsi="仿宋_GB2312" w:cs="仿宋_GB2312" w:eastAsia="仿宋_GB2312"/>
                      <w:sz w:val="18"/>
                      <w:color w:val="000000"/>
                    </w:rPr>
                    <w:t>、</w:t>
                  </w:r>
                  <w:r>
                    <w:rPr>
                      <w:rFonts w:ascii="仿宋_GB2312" w:hAnsi="仿宋_GB2312" w:cs="仿宋_GB2312" w:eastAsia="仿宋_GB2312"/>
                      <w:sz w:val="18"/>
                      <w:color w:val="000000"/>
                    </w:rPr>
                    <w:t>H.264</w:t>
                  </w:r>
                  <w:r>
                    <w:rPr>
                      <w:rFonts w:ascii="仿宋_GB2312" w:hAnsi="仿宋_GB2312" w:cs="仿宋_GB2312" w:eastAsia="仿宋_GB2312"/>
                      <w:sz w:val="18"/>
                      <w:color w:val="000000"/>
                    </w:rPr>
                    <w:t>、</w:t>
                  </w:r>
                  <w:r>
                    <w:rPr>
                      <w:rFonts w:ascii="仿宋_GB2312" w:hAnsi="仿宋_GB2312" w:cs="仿宋_GB2312" w:eastAsia="仿宋_GB2312"/>
                      <w:sz w:val="18"/>
                      <w:color w:val="000000"/>
                    </w:rPr>
                    <w:t>MJPEG</w:t>
                  </w:r>
                  <w:r>
                    <w:rPr>
                      <w:rFonts w:ascii="仿宋_GB2312" w:hAnsi="仿宋_GB2312" w:cs="仿宋_GB2312" w:eastAsia="仿宋_GB2312"/>
                      <w:sz w:val="18"/>
                      <w:color w:val="000000"/>
                    </w:rPr>
                    <w:t>等设置选项</w:t>
                  </w:r>
                  <w:r>
                    <w:br/>
                  </w:r>
                  <w:r>
                    <w:rPr>
                      <w:rFonts w:ascii="仿宋_GB2312" w:hAnsi="仿宋_GB2312" w:cs="仿宋_GB2312" w:eastAsia="仿宋_GB2312"/>
                      <w:sz w:val="18"/>
                      <w:color w:val="000000"/>
                    </w:rPr>
                    <w:t xml:space="preserve">9. </w:t>
                  </w:r>
                  <w:r>
                    <w:rPr>
                      <w:rFonts w:ascii="仿宋_GB2312" w:hAnsi="仿宋_GB2312" w:cs="仿宋_GB2312" w:eastAsia="仿宋_GB2312"/>
                      <w:sz w:val="18"/>
                      <w:color w:val="000000"/>
                    </w:rPr>
                    <w:t>内置不少于</w:t>
                  </w:r>
                  <w:r>
                    <w:rPr>
                      <w:rFonts w:ascii="仿宋_GB2312" w:hAnsi="仿宋_GB2312" w:cs="仿宋_GB2312" w:eastAsia="仿宋_GB2312"/>
                      <w:sz w:val="18"/>
                      <w:color w:val="000000"/>
                    </w:rPr>
                    <w:t>2</w:t>
                  </w:r>
                  <w:r>
                    <w:rPr>
                      <w:rFonts w:ascii="仿宋_GB2312" w:hAnsi="仿宋_GB2312" w:cs="仿宋_GB2312" w:eastAsia="仿宋_GB2312"/>
                      <w:sz w:val="18"/>
                      <w:color w:val="000000"/>
                    </w:rPr>
                    <w:t>颗</w:t>
                  </w:r>
                  <w:r>
                    <w:rPr>
                      <w:rFonts w:ascii="仿宋_GB2312" w:hAnsi="仿宋_GB2312" w:cs="仿宋_GB2312" w:eastAsia="仿宋_GB2312"/>
                      <w:sz w:val="18"/>
                      <w:color w:val="000000"/>
                    </w:rPr>
                    <w:t>GPU</w:t>
                  </w:r>
                  <w:r>
                    <w:rPr>
                      <w:rFonts w:ascii="仿宋_GB2312" w:hAnsi="仿宋_GB2312" w:cs="仿宋_GB2312" w:eastAsia="仿宋_GB2312"/>
                      <w:sz w:val="18"/>
                      <w:color w:val="000000"/>
                    </w:rPr>
                    <w:t>芯片，全景通道可输出两个镜头无缝拼接的全景图像，纵向拼接偏差像素不大于</w:t>
                  </w:r>
                  <w:r>
                    <w:rPr>
                      <w:rFonts w:ascii="仿宋_GB2312" w:hAnsi="仿宋_GB2312" w:cs="仿宋_GB2312" w:eastAsia="仿宋_GB2312"/>
                      <w:sz w:val="18"/>
                      <w:color w:val="000000"/>
                    </w:rPr>
                    <w:t>4</w:t>
                  </w:r>
                  <w:r>
                    <w:rPr>
                      <w:rFonts w:ascii="仿宋_GB2312" w:hAnsi="仿宋_GB2312" w:cs="仿宋_GB2312" w:eastAsia="仿宋_GB2312"/>
                      <w:sz w:val="18"/>
                      <w:color w:val="000000"/>
                    </w:rPr>
                    <w:t>个像素，全景画面水平视场角不小于</w:t>
                  </w:r>
                  <w:r>
                    <w:rPr>
                      <w:rFonts w:ascii="仿宋_GB2312" w:hAnsi="仿宋_GB2312" w:cs="仿宋_GB2312" w:eastAsia="仿宋_GB2312"/>
                      <w:sz w:val="18"/>
                      <w:color w:val="000000"/>
                    </w:rPr>
                    <w:t>190</w:t>
                  </w:r>
                  <w:r>
                    <w:rPr>
                      <w:rFonts w:ascii="仿宋_GB2312" w:hAnsi="仿宋_GB2312" w:cs="仿宋_GB2312" w:eastAsia="仿宋_GB2312"/>
                      <w:sz w:val="18"/>
                      <w:color w:val="000000"/>
                    </w:rPr>
                    <w:t>°，垂直视场角不小于</w:t>
                  </w:r>
                  <w:r>
                    <w:rPr>
                      <w:rFonts w:ascii="仿宋_GB2312" w:hAnsi="仿宋_GB2312" w:cs="仿宋_GB2312" w:eastAsia="仿宋_GB2312"/>
                      <w:sz w:val="18"/>
                      <w:color w:val="000000"/>
                    </w:rPr>
                    <w:t>80</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 xml:space="preserve">10. </w:t>
                  </w:r>
                  <w:r>
                    <w:rPr>
                      <w:rFonts w:ascii="仿宋_GB2312" w:hAnsi="仿宋_GB2312" w:cs="仿宋_GB2312" w:eastAsia="仿宋_GB2312"/>
                      <w:sz w:val="18"/>
                      <w:color w:val="000000"/>
                    </w:rPr>
                    <w:t>设备全景通道支持拼接畸变矫正，可分别对全景拼接画面的畸变、姿态角、旋转角进行调节，优化拼接效果</w:t>
                  </w:r>
                  <w:r>
                    <w:br/>
                  </w:r>
                  <w:r>
                    <w:rPr>
                      <w:rFonts w:ascii="仿宋_GB2312" w:hAnsi="仿宋_GB2312" w:cs="仿宋_GB2312" w:eastAsia="仿宋_GB2312"/>
                      <w:sz w:val="18"/>
                      <w:color w:val="000000"/>
                    </w:rPr>
                    <w:t xml:space="preserve">11. </w:t>
                  </w:r>
                  <w:r>
                    <w:rPr>
                      <w:rFonts w:ascii="仿宋_GB2312" w:hAnsi="仿宋_GB2312" w:cs="仿宋_GB2312" w:eastAsia="仿宋_GB2312"/>
                      <w:sz w:val="18"/>
                      <w:color w:val="000000"/>
                    </w:rPr>
                    <w:t>当有停车、逆行、压线、变道、掉头、机动车占用非机动车道现象被触发时，设备可分别发出不同的语音提示</w:t>
                  </w:r>
                  <w:r>
                    <w:br/>
                  </w:r>
                  <w:r>
                    <w:rPr>
                      <w:rFonts w:ascii="仿宋_GB2312" w:hAnsi="仿宋_GB2312" w:cs="仿宋_GB2312" w:eastAsia="仿宋_GB2312"/>
                      <w:sz w:val="18"/>
                      <w:color w:val="000000"/>
                    </w:rPr>
                    <w:t xml:space="preserve">12. </w:t>
                  </w:r>
                  <w:r>
                    <w:rPr>
                      <w:rFonts w:ascii="仿宋_GB2312" w:hAnsi="仿宋_GB2312" w:cs="仿宋_GB2312" w:eastAsia="仿宋_GB2312"/>
                      <w:sz w:val="18"/>
                      <w:color w:val="000000"/>
                    </w:rPr>
                    <w:t>具备城市道路违章取证功能：细节路支持违停、逆行、压线、变道、机占非、掉头，违停。</w:t>
                  </w:r>
                  <w:r>
                    <w:br/>
                  </w:r>
                  <w:r>
                    <w:rPr>
                      <w:rFonts w:ascii="仿宋_GB2312" w:hAnsi="仿宋_GB2312" w:cs="仿宋_GB2312" w:eastAsia="仿宋_GB2312"/>
                      <w:sz w:val="18"/>
                      <w:color w:val="000000"/>
                    </w:rPr>
                    <w:t xml:space="preserve">13. </w:t>
                  </w:r>
                  <w:r>
                    <w:rPr>
                      <w:rFonts w:ascii="仿宋_GB2312" w:hAnsi="仿宋_GB2312" w:cs="仿宋_GB2312" w:eastAsia="仿宋_GB2312"/>
                      <w:sz w:val="18"/>
                      <w:color w:val="000000"/>
                    </w:rPr>
                    <w:t xml:space="preserve">具备道路事件检测功能：支持行人检测、拥堵检测、路障检测、施工检测。 </w:t>
                  </w:r>
                  <w:r>
                    <w:br/>
                  </w:r>
                  <w:r>
                    <w:rPr>
                      <w:rFonts w:ascii="仿宋_GB2312" w:hAnsi="仿宋_GB2312" w:cs="仿宋_GB2312" w:eastAsia="仿宋_GB2312"/>
                      <w:sz w:val="18"/>
                      <w:color w:val="000000"/>
                    </w:rPr>
                    <w:t xml:space="preserve">14. </w:t>
                  </w:r>
                  <w:r>
                    <w:rPr>
                      <w:rFonts w:ascii="仿宋_GB2312" w:hAnsi="仿宋_GB2312" w:cs="仿宋_GB2312" w:eastAsia="仿宋_GB2312"/>
                      <w:sz w:val="18"/>
                      <w:color w:val="000000"/>
                    </w:rPr>
                    <w:t>外壳防护等级不低于</w:t>
                  </w:r>
                  <w:r>
                    <w:rPr>
                      <w:rFonts w:ascii="仿宋_GB2312" w:hAnsi="仿宋_GB2312" w:cs="仿宋_GB2312" w:eastAsia="仿宋_GB2312"/>
                      <w:sz w:val="18"/>
                      <w:color w:val="000000"/>
                    </w:rPr>
                    <w:t>IP67</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台</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74</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利旧杆件</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113</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12</w:t>
                  </w:r>
                </w:p>
              </w:tc>
              <w:tc>
                <w:tcPr>
                  <w:tcW w:type="dxa" w:w="3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新建</w:t>
                  </w:r>
                  <w:r>
                    <w:rPr>
                      <w:rFonts w:ascii="仿宋_GB2312" w:hAnsi="仿宋_GB2312" w:cs="仿宋_GB2312" w:eastAsia="仿宋_GB2312"/>
                      <w:sz w:val="18"/>
                      <w:color w:val="000000"/>
                    </w:rPr>
                    <w:t>L</w:t>
                  </w:r>
                  <w:r>
                    <w:rPr>
                      <w:rFonts w:ascii="仿宋_GB2312" w:hAnsi="仿宋_GB2312" w:cs="仿宋_GB2312" w:eastAsia="仿宋_GB2312"/>
                      <w:sz w:val="18"/>
                      <w:color w:val="000000"/>
                    </w:rPr>
                    <w:t>型杆件（含地笼、基础）</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1.H=6.75m</w:t>
                  </w:r>
                  <w:r>
                    <w:rPr>
                      <w:rFonts w:ascii="仿宋_GB2312" w:hAnsi="仿宋_GB2312" w:cs="仿宋_GB2312" w:eastAsia="仿宋_GB2312"/>
                      <w:sz w:val="18"/>
                      <w:color w:val="000000"/>
                    </w:rPr>
                    <w:t>，</w:t>
                  </w:r>
                  <w:r>
                    <w:rPr>
                      <w:rFonts w:ascii="仿宋_GB2312" w:hAnsi="仿宋_GB2312" w:cs="仿宋_GB2312" w:eastAsia="仿宋_GB2312"/>
                      <w:sz w:val="18"/>
                      <w:color w:val="000000"/>
                    </w:rPr>
                    <w:t>L=6m,</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整体热镀锌喷塑后处理防腐工艺，含地笼</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立杆口径：大端口径对角 </w:t>
                  </w:r>
                  <w:r>
                    <w:rPr>
                      <w:rFonts w:ascii="仿宋_GB2312" w:hAnsi="仿宋_GB2312" w:cs="仿宋_GB2312" w:eastAsia="仿宋_GB2312"/>
                      <w:sz w:val="18"/>
                      <w:color w:val="000000"/>
                    </w:rPr>
                    <w:t xml:space="preserve">330mm </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270mm</w:t>
                  </w:r>
                  <w:r>
                    <w:rPr>
                      <w:rFonts w:ascii="仿宋_GB2312" w:hAnsi="仿宋_GB2312" w:cs="仿宋_GB2312" w:eastAsia="仿宋_GB2312"/>
                      <w:sz w:val="18"/>
                      <w:color w:val="000000"/>
                    </w:rPr>
                    <w:t>，厚度≥</w:t>
                  </w:r>
                  <w:r>
                    <w:rPr>
                      <w:rFonts w:ascii="仿宋_GB2312" w:hAnsi="仿宋_GB2312" w:cs="仿宋_GB2312" w:eastAsia="仿宋_GB2312"/>
                      <w:sz w:val="18"/>
                      <w:color w:val="000000"/>
                    </w:rPr>
                    <w:t>6mm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横杆口径：大端口径对角 </w:t>
                  </w:r>
                  <w:r>
                    <w:rPr>
                      <w:rFonts w:ascii="仿宋_GB2312" w:hAnsi="仿宋_GB2312" w:cs="仿宋_GB2312" w:eastAsia="仿宋_GB2312"/>
                      <w:sz w:val="18"/>
                      <w:color w:val="000000"/>
                    </w:rPr>
                    <w:t>260mm</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110mm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5mm</w:t>
                  </w:r>
                  <w:r>
                    <w:rPr>
                      <w:rFonts w:ascii="仿宋_GB2312" w:hAnsi="仿宋_GB2312" w:cs="仿宋_GB2312" w:eastAsia="仿宋_GB2312"/>
                      <w:sz w:val="18"/>
                      <w:color w:val="000000"/>
                    </w:rPr>
                    <w:t>；底法兰：φ</w:t>
                  </w:r>
                  <w:r>
                    <w:rPr>
                      <w:rFonts w:ascii="仿宋_GB2312" w:hAnsi="仿宋_GB2312" w:cs="仿宋_GB2312" w:eastAsia="仿宋_GB2312"/>
                      <w:sz w:val="18"/>
                      <w:color w:val="000000"/>
                    </w:rPr>
                    <w:t>550mm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；横杆连接法兰：</w:t>
                  </w:r>
                  <w:r>
                    <w:rPr>
                      <w:rFonts w:ascii="仿宋_GB2312" w:hAnsi="仿宋_GB2312" w:cs="仿宋_GB2312" w:eastAsia="仿宋_GB2312"/>
                      <w:sz w:val="18"/>
                      <w:color w:val="000000"/>
                    </w:rPr>
                    <w:t>450</w:t>
                  </w:r>
                  <w:r>
                    <w:rPr>
                      <w:rFonts w:ascii="仿宋_GB2312" w:hAnsi="仿宋_GB2312" w:cs="仿宋_GB2312" w:eastAsia="仿宋_GB2312"/>
                      <w:sz w:val="18"/>
                      <w:color w:val="000000"/>
                    </w:rPr>
                    <w:t>×</w:t>
                  </w:r>
                  <w:r>
                    <w:rPr>
                      <w:rFonts w:ascii="仿宋_GB2312" w:hAnsi="仿宋_GB2312" w:cs="仿宋_GB2312" w:eastAsia="仿宋_GB2312"/>
                      <w:sz w:val="18"/>
                      <w:color w:val="000000"/>
                    </w:rPr>
                    <w:t>450mm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地笼规格不小于：</w:t>
                  </w:r>
                  <w:r>
                    <w:rPr>
                      <w:rFonts w:ascii="仿宋_GB2312" w:hAnsi="仿宋_GB2312" w:cs="仿宋_GB2312" w:eastAsia="仿宋_GB2312"/>
                      <w:sz w:val="18"/>
                      <w:color w:val="000000"/>
                    </w:rPr>
                    <w:t>8-M27</w:t>
                  </w:r>
                  <w:r>
                    <w:rPr>
                      <w:rFonts w:ascii="仿宋_GB2312" w:hAnsi="仿宋_GB2312" w:cs="仿宋_GB2312" w:eastAsia="仿宋_GB2312"/>
                      <w:sz w:val="18"/>
                      <w:color w:val="000000"/>
                    </w:rPr>
                    <w:t>×</w:t>
                  </w:r>
                  <w:r>
                    <w:rPr>
                      <w:rFonts w:ascii="仿宋_GB2312" w:hAnsi="仿宋_GB2312" w:cs="仿宋_GB2312" w:eastAsia="仿宋_GB2312"/>
                      <w:sz w:val="18"/>
                      <w:color w:val="000000"/>
                    </w:rPr>
                    <w:t>1500mm</w:t>
                  </w:r>
                  <w:r>
                    <w:rPr>
                      <w:rFonts w:ascii="仿宋_GB2312" w:hAnsi="仿宋_GB2312" w:cs="仿宋_GB2312" w:eastAsia="仿宋_GB2312"/>
                      <w:sz w:val="18"/>
                      <w:color w:val="000000"/>
                    </w:rPr>
                    <w:t>，定位法兰：φ</w:t>
                  </w:r>
                  <w:r>
                    <w:rPr>
                      <w:rFonts w:ascii="仿宋_GB2312" w:hAnsi="仿宋_GB2312" w:cs="仿宋_GB2312" w:eastAsia="仿宋_GB2312"/>
                      <w:sz w:val="18"/>
                      <w:color w:val="000000"/>
                    </w:rPr>
                    <w:t>550</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基础大小不小于：</w:t>
                  </w:r>
                  <w:r>
                    <w:rPr>
                      <w:rFonts w:ascii="仿宋_GB2312" w:hAnsi="仿宋_GB2312" w:cs="仿宋_GB2312" w:eastAsia="仿宋_GB2312"/>
                      <w:sz w:val="18"/>
                      <w:color w:val="000000"/>
                    </w:rPr>
                    <w:t>1600mmX1600mmX1800mm</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c>
                <w:tcPr>
                  <w:tcW w:type="dxa" w:w="388"/>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1.H=6.75m</w:t>
                  </w:r>
                  <w:r>
                    <w:rPr>
                      <w:rFonts w:ascii="仿宋_GB2312" w:hAnsi="仿宋_GB2312" w:cs="仿宋_GB2312" w:eastAsia="仿宋_GB2312"/>
                      <w:sz w:val="18"/>
                      <w:color w:val="000000"/>
                    </w:rPr>
                    <w:t>，</w:t>
                  </w:r>
                  <w:r>
                    <w:rPr>
                      <w:rFonts w:ascii="仿宋_GB2312" w:hAnsi="仿宋_GB2312" w:cs="仿宋_GB2312" w:eastAsia="仿宋_GB2312"/>
                      <w:sz w:val="18"/>
                      <w:color w:val="000000"/>
                    </w:rPr>
                    <w:t>L=7m,</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整体热镀锌喷塑后处理防腐工艺，含地笼</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立杆口径：大端口径对角 </w:t>
                  </w:r>
                  <w:r>
                    <w:rPr>
                      <w:rFonts w:ascii="仿宋_GB2312" w:hAnsi="仿宋_GB2312" w:cs="仿宋_GB2312" w:eastAsia="仿宋_GB2312"/>
                      <w:sz w:val="18"/>
                      <w:color w:val="000000"/>
                    </w:rPr>
                    <w:t xml:space="preserve">330mm </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270mm</w:t>
                  </w:r>
                  <w:r>
                    <w:rPr>
                      <w:rFonts w:ascii="仿宋_GB2312" w:hAnsi="仿宋_GB2312" w:cs="仿宋_GB2312" w:eastAsia="仿宋_GB2312"/>
                      <w:sz w:val="18"/>
                      <w:color w:val="000000"/>
                    </w:rPr>
                    <w:t>，厚度≥</w:t>
                  </w:r>
                  <w:r>
                    <w:rPr>
                      <w:rFonts w:ascii="仿宋_GB2312" w:hAnsi="仿宋_GB2312" w:cs="仿宋_GB2312" w:eastAsia="仿宋_GB2312"/>
                      <w:sz w:val="18"/>
                      <w:color w:val="000000"/>
                    </w:rPr>
                    <w:t>6mm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横杆口径：大端口径对角 </w:t>
                  </w:r>
                  <w:r>
                    <w:rPr>
                      <w:rFonts w:ascii="仿宋_GB2312" w:hAnsi="仿宋_GB2312" w:cs="仿宋_GB2312" w:eastAsia="仿宋_GB2312"/>
                      <w:sz w:val="18"/>
                      <w:color w:val="000000"/>
                    </w:rPr>
                    <w:t>260mm</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110mm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5mm</w:t>
                  </w:r>
                  <w:r>
                    <w:rPr>
                      <w:rFonts w:ascii="仿宋_GB2312" w:hAnsi="仿宋_GB2312" w:cs="仿宋_GB2312" w:eastAsia="仿宋_GB2312"/>
                      <w:sz w:val="18"/>
                      <w:color w:val="000000"/>
                    </w:rPr>
                    <w:t>；底法兰：φ</w:t>
                  </w:r>
                  <w:r>
                    <w:rPr>
                      <w:rFonts w:ascii="仿宋_GB2312" w:hAnsi="仿宋_GB2312" w:cs="仿宋_GB2312" w:eastAsia="仿宋_GB2312"/>
                      <w:sz w:val="18"/>
                      <w:color w:val="000000"/>
                    </w:rPr>
                    <w:t>550mm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；横杆连接法兰：</w:t>
                  </w:r>
                  <w:r>
                    <w:rPr>
                      <w:rFonts w:ascii="仿宋_GB2312" w:hAnsi="仿宋_GB2312" w:cs="仿宋_GB2312" w:eastAsia="仿宋_GB2312"/>
                      <w:sz w:val="18"/>
                      <w:color w:val="000000"/>
                    </w:rPr>
                    <w:t>450</w:t>
                  </w:r>
                  <w:r>
                    <w:rPr>
                      <w:rFonts w:ascii="仿宋_GB2312" w:hAnsi="仿宋_GB2312" w:cs="仿宋_GB2312" w:eastAsia="仿宋_GB2312"/>
                      <w:sz w:val="18"/>
                      <w:color w:val="000000"/>
                    </w:rPr>
                    <w:t>×</w:t>
                  </w:r>
                  <w:r>
                    <w:rPr>
                      <w:rFonts w:ascii="仿宋_GB2312" w:hAnsi="仿宋_GB2312" w:cs="仿宋_GB2312" w:eastAsia="仿宋_GB2312"/>
                      <w:sz w:val="18"/>
                      <w:color w:val="000000"/>
                    </w:rPr>
                    <w:t>450mm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地笼规格不小于：</w:t>
                  </w:r>
                  <w:r>
                    <w:rPr>
                      <w:rFonts w:ascii="仿宋_GB2312" w:hAnsi="仿宋_GB2312" w:cs="仿宋_GB2312" w:eastAsia="仿宋_GB2312"/>
                      <w:sz w:val="18"/>
                      <w:color w:val="000000"/>
                    </w:rPr>
                    <w:t>8-M27</w:t>
                  </w:r>
                  <w:r>
                    <w:rPr>
                      <w:rFonts w:ascii="仿宋_GB2312" w:hAnsi="仿宋_GB2312" w:cs="仿宋_GB2312" w:eastAsia="仿宋_GB2312"/>
                      <w:sz w:val="18"/>
                      <w:color w:val="000000"/>
                    </w:rPr>
                    <w:t>×</w:t>
                  </w:r>
                  <w:r>
                    <w:rPr>
                      <w:rFonts w:ascii="仿宋_GB2312" w:hAnsi="仿宋_GB2312" w:cs="仿宋_GB2312" w:eastAsia="仿宋_GB2312"/>
                      <w:sz w:val="18"/>
                      <w:color w:val="000000"/>
                    </w:rPr>
                    <w:t>1500mm</w:t>
                  </w:r>
                  <w:r>
                    <w:rPr>
                      <w:rFonts w:ascii="仿宋_GB2312" w:hAnsi="仿宋_GB2312" w:cs="仿宋_GB2312" w:eastAsia="仿宋_GB2312"/>
                      <w:sz w:val="18"/>
                      <w:color w:val="000000"/>
                    </w:rPr>
                    <w:t>，定位法兰：φ</w:t>
                  </w:r>
                  <w:r>
                    <w:rPr>
                      <w:rFonts w:ascii="仿宋_GB2312" w:hAnsi="仿宋_GB2312" w:cs="仿宋_GB2312" w:eastAsia="仿宋_GB2312"/>
                      <w:sz w:val="18"/>
                      <w:color w:val="000000"/>
                    </w:rPr>
                    <w:t>550</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基础大小不小于：</w:t>
                  </w:r>
                  <w:r>
                    <w:rPr>
                      <w:rFonts w:ascii="仿宋_GB2312" w:hAnsi="仿宋_GB2312" w:cs="仿宋_GB2312" w:eastAsia="仿宋_GB2312"/>
                      <w:sz w:val="18"/>
                      <w:color w:val="000000"/>
                    </w:rPr>
                    <w:t>1600mmX1600mmX1800mm</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w:t>
                  </w:r>
                </w:p>
              </w:tc>
              <w:tc>
                <w:tcPr>
                  <w:tcW w:type="dxa" w:w="388"/>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1.H=6.75m</w:t>
                  </w:r>
                  <w:r>
                    <w:rPr>
                      <w:rFonts w:ascii="仿宋_GB2312" w:hAnsi="仿宋_GB2312" w:cs="仿宋_GB2312" w:eastAsia="仿宋_GB2312"/>
                      <w:sz w:val="18"/>
                      <w:color w:val="000000"/>
                    </w:rPr>
                    <w:t>，</w:t>
                  </w:r>
                  <w:r>
                    <w:rPr>
                      <w:rFonts w:ascii="仿宋_GB2312" w:hAnsi="仿宋_GB2312" w:cs="仿宋_GB2312" w:eastAsia="仿宋_GB2312"/>
                      <w:sz w:val="18"/>
                      <w:color w:val="000000"/>
                    </w:rPr>
                    <w:t>L=8m,</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整体热镀锌喷塑后处理防腐工艺，含地笼</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立杆口径：大端口径对角 </w:t>
                  </w:r>
                  <w:r>
                    <w:rPr>
                      <w:rFonts w:ascii="仿宋_GB2312" w:hAnsi="仿宋_GB2312" w:cs="仿宋_GB2312" w:eastAsia="仿宋_GB2312"/>
                      <w:sz w:val="18"/>
                      <w:color w:val="000000"/>
                    </w:rPr>
                    <w:t xml:space="preserve">330mm </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270mm</w:t>
                  </w:r>
                  <w:r>
                    <w:rPr>
                      <w:rFonts w:ascii="仿宋_GB2312" w:hAnsi="仿宋_GB2312" w:cs="仿宋_GB2312" w:eastAsia="仿宋_GB2312"/>
                      <w:sz w:val="18"/>
                      <w:color w:val="000000"/>
                    </w:rPr>
                    <w:t>，厚度≥</w:t>
                  </w:r>
                  <w:r>
                    <w:rPr>
                      <w:rFonts w:ascii="仿宋_GB2312" w:hAnsi="仿宋_GB2312" w:cs="仿宋_GB2312" w:eastAsia="仿宋_GB2312"/>
                      <w:sz w:val="18"/>
                      <w:color w:val="000000"/>
                    </w:rPr>
                    <w:t>8mm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横杆口径：大端口径对角 </w:t>
                  </w:r>
                  <w:r>
                    <w:rPr>
                      <w:rFonts w:ascii="仿宋_GB2312" w:hAnsi="仿宋_GB2312" w:cs="仿宋_GB2312" w:eastAsia="仿宋_GB2312"/>
                      <w:sz w:val="18"/>
                      <w:color w:val="000000"/>
                    </w:rPr>
                    <w:t>260mm</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110mm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6mm</w:t>
                  </w:r>
                  <w:r>
                    <w:rPr>
                      <w:rFonts w:ascii="仿宋_GB2312" w:hAnsi="仿宋_GB2312" w:cs="仿宋_GB2312" w:eastAsia="仿宋_GB2312"/>
                      <w:sz w:val="18"/>
                      <w:color w:val="000000"/>
                    </w:rPr>
                    <w:t>；底法兰：φ</w:t>
                  </w:r>
                  <w:r>
                    <w:rPr>
                      <w:rFonts w:ascii="仿宋_GB2312" w:hAnsi="仿宋_GB2312" w:cs="仿宋_GB2312" w:eastAsia="仿宋_GB2312"/>
                      <w:sz w:val="18"/>
                      <w:color w:val="000000"/>
                    </w:rPr>
                    <w:t>550mm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；横杆连接法兰：</w:t>
                  </w:r>
                  <w:r>
                    <w:rPr>
                      <w:rFonts w:ascii="仿宋_GB2312" w:hAnsi="仿宋_GB2312" w:cs="仿宋_GB2312" w:eastAsia="仿宋_GB2312"/>
                      <w:sz w:val="18"/>
                      <w:color w:val="000000"/>
                    </w:rPr>
                    <w:t>450</w:t>
                  </w:r>
                  <w:r>
                    <w:rPr>
                      <w:rFonts w:ascii="仿宋_GB2312" w:hAnsi="仿宋_GB2312" w:cs="仿宋_GB2312" w:eastAsia="仿宋_GB2312"/>
                      <w:sz w:val="18"/>
                      <w:color w:val="000000"/>
                    </w:rPr>
                    <w:t>×</w:t>
                  </w:r>
                  <w:r>
                    <w:rPr>
                      <w:rFonts w:ascii="仿宋_GB2312" w:hAnsi="仿宋_GB2312" w:cs="仿宋_GB2312" w:eastAsia="仿宋_GB2312"/>
                      <w:sz w:val="18"/>
                      <w:color w:val="000000"/>
                    </w:rPr>
                    <w:t>450mm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地笼规格不小于：</w:t>
                  </w:r>
                  <w:r>
                    <w:rPr>
                      <w:rFonts w:ascii="仿宋_GB2312" w:hAnsi="仿宋_GB2312" w:cs="仿宋_GB2312" w:eastAsia="仿宋_GB2312"/>
                      <w:sz w:val="18"/>
                      <w:color w:val="000000"/>
                    </w:rPr>
                    <w:t>8-M27</w:t>
                  </w:r>
                  <w:r>
                    <w:rPr>
                      <w:rFonts w:ascii="仿宋_GB2312" w:hAnsi="仿宋_GB2312" w:cs="仿宋_GB2312" w:eastAsia="仿宋_GB2312"/>
                      <w:sz w:val="18"/>
                      <w:color w:val="000000"/>
                    </w:rPr>
                    <w:t>×</w:t>
                  </w:r>
                  <w:r>
                    <w:rPr>
                      <w:rFonts w:ascii="仿宋_GB2312" w:hAnsi="仿宋_GB2312" w:cs="仿宋_GB2312" w:eastAsia="仿宋_GB2312"/>
                      <w:sz w:val="18"/>
                      <w:color w:val="000000"/>
                    </w:rPr>
                    <w:t>1500mm</w:t>
                  </w:r>
                  <w:r>
                    <w:rPr>
                      <w:rFonts w:ascii="仿宋_GB2312" w:hAnsi="仿宋_GB2312" w:cs="仿宋_GB2312" w:eastAsia="仿宋_GB2312"/>
                      <w:sz w:val="18"/>
                      <w:color w:val="000000"/>
                    </w:rPr>
                    <w:t>，定位法兰：φ</w:t>
                  </w:r>
                  <w:r>
                    <w:rPr>
                      <w:rFonts w:ascii="仿宋_GB2312" w:hAnsi="仿宋_GB2312" w:cs="仿宋_GB2312" w:eastAsia="仿宋_GB2312"/>
                      <w:sz w:val="18"/>
                      <w:color w:val="000000"/>
                    </w:rPr>
                    <w:t>550</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基础大小不小于：</w:t>
                  </w:r>
                  <w:r>
                    <w:rPr>
                      <w:rFonts w:ascii="仿宋_GB2312" w:hAnsi="仿宋_GB2312" w:cs="仿宋_GB2312" w:eastAsia="仿宋_GB2312"/>
                      <w:sz w:val="18"/>
                      <w:color w:val="000000"/>
                    </w:rPr>
                    <w:t>1600mmX1600mmX1800mm</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13</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15</w:t>
                  </w:r>
                </w:p>
              </w:tc>
              <w:tc>
                <w:tcPr>
                  <w:tcW w:type="dxa" w:w="388"/>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1.H=6.75m</w:t>
                  </w:r>
                  <w:r>
                    <w:rPr>
                      <w:rFonts w:ascii="仿宋_GB2312" w:hAnsi="仿宋_GB2312" w:cs="仿宋_GB2312" w:eastAsia="仿宋_GB2312"/>
                      <w:sz w:val="18"/>
                      <w:color w:val="000000"/>
                    </w:rPr>
                    <w:t>，</w:t>
                  </w:r>
                  <w:r>
                    <w:rPr>
                      <w:rFonts w:ascii="仿宋_GB2312" w:hAnsi="仿宋_GB2312" w:cs="仿宋_GB2312" w:eastAsia="仿宋_GB2312"/>
                      <w:sz w:val="18"/>
                      <w:color w:val="000000"/>
                    </w:rPr>
                    <w:t>L=9m,</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整体热镀锌喷塑后处理防腐工艺，含地笼</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立杆口径：大端口径对角 </w:t>
                  </w:r>
                  <w:r>
                    <w:rPr>
                      <w:rFonts w:ascii="仿宋_GB2312" w:hAnsi="仿宋_GB2312" w:cs="仿宋_GB2312" w:eastAsia="仿宋_GB2312"/>
                      <w:sz w:val="18"/>
                      <w:color w:val="000000"/>
                    </w:rPr>
                    <w:t xml:space="preserve">330mm </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270mm</w:t>
                  </w:r>
                  <w:r>
                    <w:rPr>
                      <w:rFonts w:ascii="仿宋_GB2312" w:hAnsi="仿宋_GB2312" w:cs="仿宋_GB2312" w:eastAsia="仿宋_GB2312"/>
                      <w:sz w:val="18"/>
                      <w:color w:val="000000"/>
                    </w:rPr>
                    <w:t>，厚度≥</w:t>
                  </w:r>
                  <w:r>
                    <w:rPr>
                      <w:rFonts w:ascii="仿宋_GB2312" w:hAnsi="仿宋_GB2312" w:cs="仿宋_GB2312" w:eastAsia="仿宋_GB2312"/>
                      <w:sz w:val="18"/>
                      <w:color w:val="000000"/>
                    </w:rPr>
                    <w:t>8mm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横杆口径：大端口径对角 </w:t>
                  </w:r>
                  <w:r>
                    <w:rPr>
                      <w:rFonts w:ascii="仿宋_GB2312" w:hAnsi="仿宋_GB2312" w:cs="仿宋_GB2312" w:eastAsia="仿宋_GB2312"/>
                      <w:sz w:val="18"/>
                      <w:color w:val="000000"/>
                    </w:rPr>
                    <w:t>260mm</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110mm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6mm</w:t>
                  </w:r>
                  <w:r>
                    <w:rPr>
                      <w:rFonts w:ascii="仿宋_GB2312" w:hAnsi="仿宋_GB2312" w:cs="仿宋_GB2312" w:eastAsia="仿宋_GB2312"/>
                      <w:sz w:val="18"/>
                      <w:color w:val="000000"/>
                    </w:rPr>
                    <w:t>；底法兰：φ</w:t>
                  </w:r>
                  <w:r>
                    <w:rPr>
                      <w:rFonts w:ascii="仿宋_GB2312" w:hAnsi="仿宋_GB2312" w:cs="仿宋_GB2312" w:eastAsia="仿宋_GB2312"/>
                      <w:sz w:val="18"/>
                      <w:color w:val="000000"/>
                    </w:rPr>
                    <w:t>550mm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；横杆连接法兰：</w:t>
                  </w:r>
                  <w:r>
                    <w:rPr>
                      <w:rFonts w:ascii="仿宋_GB2312" w:hAnsi="仿宋_GB2312" w:cs="仿宋_GB2312" w:eastAsia="仿宋_GB2312"/>
                      <w:sz w:val="18"/>
                      <w:color w:val="000000"/>
                    </w:rPr>
                    <w:t>450</w:t>
                  </w:r>
                  <w:r>
                    <w:rPr>
                      <w:rFonts w:ascii="仿宋_GB2312" w:hAnsi="仿宋_GB2312" w:cs="仿宋_GB2312" w:eastAsia="仿宋_GB2312"/>
                      <w:sz w:val="18"/>
                      <w:color w:val="000000"/>
                    </w:rPr>
                    <w:t>×</w:t>
                  </w:r>
                  <w:r>
                    <w:rPr>
                      <w:rFonts w:ascii="仿宋_GB2312" w:hAnsi="仿宋_GB2312" w:cs="仿宋_GB2312" w:eastAsia="仿宋_GB2312"/>
                      <w:sz w:val="18"/>
                      <w:color w:val="000000"/>
                    </w:rPr>
                    <w:t>450mm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地笼规格不小于：</w:t>
                  </w:r>
                  <w:r>
                    <w:rPr>
                      <w:rFonts w:ascii="仿宋_GB2312" w:hAnsi="仿宋_GB2312" w:cs="仿宋_GB2312" w:eastAsia="仿宋_GB2312"/>
                      <w:sz w:val="18"/>
                      <w:color w:val="000000"/>
                    </w:rPr>
                    <w:t>8-M27</w:t>
                  </w:r>
                  <w:r>
                    <w:rPr>
                      <w:rFonts w:ascii="仿宋_GB2312" w:hAnsi="仿宋_GB2312" w:cs="仿宋_GB2312" w:eastAsia="仿宋_GB2312"/>
                      <w:sz w:val="18"/>
                      <w:color w:val="000000"/>
                    </w:rPr>
                    <w:t>×</w:t>
                  </w:r>
                  <w:r>
                    <w:rPr>
                      <w:rFonts w:ascii="仿宋_GB2312" w:hAnsi="仿宋_GB2312" w:cs="仿宋_GB2312" w:eastAsia="仿宋_GB2312"/>
                      <w:sz w:val="18"/>
                      <w:color w:val="000000"/>
                    </w:rPr>
                    <w:t>1500mm</w:t>
                  </w:r>
                  <w:r>
                    <w:rPr>
                      <w:rFonts w:ascii="仿宋_GB2312" w:hAnsi="仿宋_GB2312" w:cs="仿宋_GB2312" w:eastAsia="仿宋_GB2312"/>
                      <w:sz w:val="18"/>
                      <w:color w:val="000000"/>
                    </w:rPr>
                    <w:t>，定位法兰：φ</w:t>
                  </w:r>
                  <w:r>
                    <w:rPr>
                      <w:rFonts w:ascii="仿宋_GB2312" w:hAnsi="仿宋_GB2312" w:cs="仿宋_GB2312" w:eastAsia="仿宋_GB2312"/>
                      <w:sz w:val="18"/>
                      <w:color w:val="000000"/>
                    </w:rPr>
                    <w:t>550</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基础大小不小于：</w:t>
                  </w:r>
                  <w:r>
                    <w:rPr>
                      <w:rFonts w:ascii="仿宋_GB2312" w:hAnsi="仿宋_GB2312" w:cs="仿宋_GB2312" w:eastAsia="仿宋_GB2312"/>
                      <w:sz w:val="18"/>
                      <w:color w:val="000000"/>
                    </w:rPr>
                    <w:t>1600mmX1600mmX1800mm</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10</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16</w:t>
                  </w:r>
                </w:p>
              </w:tc>
              <w:tc>
                <w:tcPr>
                  <w:tcW w:type="dxa" w:w="388"/>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1.H=6.75m</w:t>
                  </w:r>
                  <w:r>
                    <w:rPr>
                      <w:rFonts w:ascii="仿宋_GB2312" w:hAnsi="仿宋_GB2312" w:cs="仿宋_GB2312" w:eastAsia="仿宋_GB2312"/>
                      <w:sz w:val="18"/>
                      <w:color w:val="000000"/>
                    </w:rPr>
                    <w:t>，</w:t>
                  </w:r>
                  <w:r>
                    <w:rPr>
                      <w:rFonts w:ascii="仿宋_GB2312" w:hAnsi="仿宋_GB2312" w:cs="仿宋_GB2312" w:eastAsia="仿宋_GB2312"/>
                      <w:sz w:val="18"/>
                      <w:color w:val="000000"/>
                    </w:rPr>
                    <w:t>L=10m,</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整体热镀锌喷塑后处理防腐工艺，含地笼</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立杆口径：大端口径对角 </w:t>
                  </w:r>
                  <w:r>
                    <w:rPr>
                      <w:rFonts w:ascii="仿宋_GB2312" w:hAnsi="仿宋_GB2312" w:cs="仿宋_GB2312" w:eastAsia="仿宋_GB2312"/>
                      <w:sz w:val="18"/>
                      <w:color w:val="000000"/>
                    </w:rPr>
                    <w:t xml:space="preserve">330mm </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270mm</w:t>
                  </w:r>
                  <w:r>
                    <w:rPr>
                      <w:rFonts w:ascii="仿宋_GB2312" w:hAnsi="仿宋_GB2312" w:cs="仿宋_GB2312" w:eastAsia="仿宋_GB2312"/>
                      <w:sz w:val="18"/>
                      <w:color w:val="000000"/>
                    </w:rPr>
                    <w:t>，厚度≥</w:t>
                  </w:r>
                  <w:r>
                    <w:rPr>
                      <w:rFonts w:ascii="仿宋_GB2312" w:hAnsi="仿宋_GB2312" w:cs="仿宋_GB2312" w:eastAsia="仿宋_GB2312"/>
                      <w:sz w:val="18"/>
                      <w:color w:val="000000"/>
                    </w:rPr>
                    <w:t>8mm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横杆口径：大端口径对角 </w:t>
                  </w:r>
                  <w:r>
                    <w:rPr>
                      <w:rFonts w:ascii="仿宋_GB2312" w:hAnsi="仿宋_GB2312" w:cs="仿宋_GB2312" w:eastAsia="仿宋_GB2312"/>
                      <w:sz w:val="18"/>
                      <w:color w:val="000000"/>
                    </w:rPr>
                    <w:t>260mm</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110mm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6mm</w:t>
                  </w:r>
                  <w:r>
                    <w:rPr>
                      <w:rFonts w:ascii="仿宋_GB2312" w:hAnsi="仿宋_GB2312" w:cs="仿宋_GB2312" w:eastAsia="仿宋_GB2312"/>
                      <w:sz w:val="18"/>
                      <w:color w:val="000000"/>
                    </w:rPr>
                    <w:t>；底法兰：φ</w:t>
                  </w:r>
                  <w:r>
                    <w:rPr>
                      <w:rFonts w:ascii="仿宋_GB2312" w:hAnsi="仿宋_GB2312" w:cs="仿宋_GB2312" w:eastAsia="仿宋_GB2312"/>
                      <w:sz w:val="18"/>
                      <w:color w:val="000000"/>
                    </w:rPr>
                    <w:t>550mm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；横杆连接法兰：</w:t>
                  </w:r>
                  <w:r>
                    <w:rPr>
                      <w:rFonts w:ascii="仿宋_GB2312" w:hAnsi="仿宋_GB2312" w:cs="仿宋_GB2312" w:eastAsia="仿宋_GB2312"/>
                      <w:sz w:val="18"/>
                      <w:color w:val="000000"/>
                    </w:rPr>
                    <w:t>450</w:t>
                  </w:r>
                  <w:r>
                    <w:rPr>
                      <w:rFonts w:ascii="仿宋_GB2312" w:hAnsi="仿宋_GB2312" w:cs="仿宋_GB2312" w:eastAsia="仿宋_GB2312"/>
                      <w:sz w:val="18"/>
                      <w:color w:val="000000"/>
                    </w:rPr>
                    <w:t>×</w:t>
                  </w:r>
                  <w:r>
                    <w:rPr>
                      <w:rFonts w:ascii="仿宋_GB2312" w:hAnsi="仿宋_GB2312" w:cs="仿宋_GB2312" w:eastAsia="仿宋_GB2312"/>
                      <w:sz w:val="18"/>
                      <w:color w:val="000000"/>
                    </w:rPr>
                    <w:t>450mm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地笼规格不小于：</w:t>
                  </w:r>
                  <w:r>
                    <w:rPr>
                      <w:rFonts w:ascii="仿宋_GB2312" w:hAnsi="仿宋_GB2312" w:cs="仿宋_GB2312" w:eastAsia="仿宋_GB2312"/>
                      <w:sz w:val="18"/>
                      <w:color w:val="000000"/>
                    </w:rPr>
                    <w:t>8-M27</w:t>
                  </w:r>
                  <w:r>
                    <w:rPr>
                      <w:rFonts w:ascii="仿宋_GB2312" w:hAnsi="仿宋_GB2312" w:cs="仿宋_GB2312" w:eastAsia="仿宋_GB2312"/>
                      <w:sz w:val="18"/>
                      <w:color w:val="000000"/>
                    </w:rPr>
                    <w:t>×</w:t>
                  </w:r>
                  <w:r>
                    <w:rPr>
                      <w:rFonts w:ascii="仿宋_GB2312" w:hAnsi="仿宋_GB2312" w:cs="仿宋_GB2312" w:eastAsia="仿宋_GB2312"/>
                      <w:sz w:val="18"/>
                      <w:color w:val="000000"/>
                    </w:rPr>
                    <w:t>1500mm</w:t>
                  </w:r>
                  <w:r>
                    <w:rPr>
                      <w:rFonts w:ascii="仿宋_GB2312" w:hAnsi="仿宋_GB2312" w:cs="仿宋_GB2312" w:eastAsia="仿宋_GB2312"/>
                      <w:sz w:val="18"/>
                      <w:color w:val="000000"/>
                    </w:rPr>
                    <w:t>，定位法兰：φ</w:t>
                  </w:r>
                  <w:r>
                    <w:rPr>
                      <w:rFonts w:ascii="仿宋_GB2312" w:hAnsi="仿宋_GB2312" w:cs="仿宋_GB2312" w:eastAsia="仿宋_GB2312"/>
                      <w:sz w:val="18"/>
                      <w:color w:val="000000"/>
                    </w:rPr>
                    <w:t>550</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基础大小不小于：</w:t>
                  </w:r>
                  <w:r>
                    <w:rPr>
                      <w:rFonts w:ascii="仿宋_GB2312" w:hAnsi="仿宋_GB2312" w:cs="仿宋_GB2312" w:eastAsia="仿宋_GB2312"/>
                      <w:sz w:val="18"/>
                      <w:color w:val="000000"/>
                    </w:rPr>
                    <w:t>1800mmX1800mmX2000mm</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w:t>
                  </w:r>
                </w:p>
              </w:tc>
              <w:tc>
                <w:tcPr>
                  <w:tcW w:type="dxa" w:w="388"/>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1.H=6.75m</w:t>
                  </w:r>
                  <w:r>
                    <w:rPr>
                      <w:rFonts w:ascii="仿宋_GB2312" w:hAnsi="仿宋_GB2312" w:cs="仿宋_GB2312" w:eastAsia="仿宋_GB2312"/>
                      <w:sz w:val="18"/>
                      <w:color w:val="000000"/>
                    </w:rPr>
                    <w:t>，</w:t>
                  </w:r>
                  <w:r>
                    <w:rPr>
                      <w:rFonts w:ascii="仿宋_GB2312" w:hAnsi="仿宋_GB2312" w:cs="仿宋_GB2312" w:eastAsia="仿宋_GB2312"/>
                      <w:sz w:val="18"/>
                      <w:color w:val="000000"/>
                    </w:rPr>
                    <w:t>L=11m,</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整体热镀锌喷塑后处理防腐工艺，含地笼</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立杆口径：大端口径对角 </w:t>
                  </w:r>
                  <w:r>
                    <w:rPr>
                      <w:rFonts w:ascii="仿宋_GB2312" w:hAnsi="仿宋_GB2312" w:cs="仿宋_GB2312" w:eastAsia="仿宋_GB2312"/>
                      <w:sz w:val="18"/>
                      <w:color w:val="000000"/>
                    </w:rPr>
                    <w:t xml:space="preserve">330mm </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270mm</w:t>
                  </w:r>
                  <w:r>
                    <w:rPr>
                      <w:rFonts w:ascii="仿宋_GB2312" w:hAnsi="仿宋_GB2312" w:cs="仿宋_GB2312" w:eastAsia="仿宋_GB2312"/>
                      <w:sz w:val="18"/>
                      <w:color w:val="000000"/>
                    </w:rPr>
                    <w:t>，厚度≥</w:t>
                  </w:r>
                  <w:r>
                    <w:rPr>
                      <w:rFonts w:ascii="仿宋_GB2312" w:hAnsi="仿宋_GB2312" w:cs="仿宋_GB2312" w:eastAsia="仿宋_GB2312"/>
                      <w:sz w:val="18"/>
                      <w:color w:val="000000"/>
                    </w:rPr>
                    <w:t>8mm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横杆口径：大端口径对角 </w:t>
                  </w:r>
                  <w:r>
                    <w:rPr>
                      <w:rFonts w:ascii="仿宋_GB2312" w:hAnsi="仿宋_GB2312" w:cs="仿宋_GB2312" w:eastAsia="仿宋_GB2312"/>
                      <w:sz w:val="18"/>
                      <w:color w:val="000000"/>
                    </w:rPr>
                    <w:t>260mm</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110mm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6mm</w:t>
                  </w:r>
                  <w:r>
                    <w:rPr>
                      <w:rFonts w:ascii="仿宋_GB2312" w:hAnsi="仿宋_GB2312" w:cs="仿宋_GB2312" w:eastAsia="仿宋_GB2312"/>
                      <w:sz w:val="18"/>
                      <w:color w:val="000000"/>
                    </w:rPr>
                    <w:t>；底法兰：φ</w:t>
                  </w:r>
                  <w:r>
                    <w:rPr>
                      <w:rFonts w:ascii="仿宋_GB2312" w:hAnsi="仿宋_GB2312" w:cs="仿宋_GB2312" w:eastAsia="仿宋_GB2312"/>
                      <w:sz w:val="18"/>
                      <w:color w:val="000000"/>
                    </w:rPr>
                    <w:t>550mm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；横杆连接法兰：</w:t>
                  </w:r>
                  <w:r>
                    <w:rPr>
                      <w:rFonts w:ascii="仿宋_GB2312" w:hAnsi="仿宋_GB2312" w:cs="仿宋_GB2312" w:eastAsia="仿宋_GB2312"/>
                      <w:sz w:val="18"/>
                      <w:color w:val="000000"/>
                    </w:rPr>
                    <w:t>450</w:t>
                  </w:r>
                  <w:r>
                    <w:rPr>
                      <w:rFonts w:ascii="仿宋_GB2312" w:hAnsi="仿宋_GB2312" w:cs="仿宋_GB2312" w:eastAsia="仿宋_GB2312"/>
                      <w:sz w:val="18"/>
                      <w:color w:val="000000"/>
                    </w:rPr>
                    <w:t>×</w:t>
                  </w:r>
                  <w:r>
                    <w:rPr>
                      <w:rFonts w:ascii="仿宋_GB2312" w:hAnsi="仿宋_GB2312" w:cs="仿宋_GB2312" w:eastAsia="仿宋_GB2312"/>
                      <w:sz w:val="18"/>
                      <w:color w:val="000000"/>
                    </w:rPr>
                    <w:t>450mm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地笼规格不小于：</w:t>
                  </w:r>
                  <w:r>
                    <w:rPr>
                      <w:rFonts w:ascii="仿宋_GB2312" w:hAnsi="仿宋_GB2312" w:cs="仿宋_GB2312" w:eastAsia="仿宋_GB2312"/>
                      <w:sz w:val="18"/>
                      <w:color w:val="000000"/>
                    </w:rPr>
                    <w:t>8-M27</w:t>
                  </w:r>
                  <w:r>
                    <w:rPr>
                      <w:rFonts w:ascii="仿宋_GB2312" w:hAnsi="仿宋_GB2312" w:cs="仿宋_GB2312" w:eastAsia="仿宋_GB2312"/>
                      <w:sz w:val="18"/>
                      <w:color w:val="000000"/>
                    </w:rPr>
                    <w:t>×</w:t>
                  </w:r>
                  <w:r>
                    <w:rPr>
                      <w:rFonts w:ascii="仿宋_GB2312" w:hAnsi="仿宋_GB2312" w:cs="仿宋_GB2312" w:eastAsia="仿宋_GB2312"/>
                      <w:sz w:val="18"/>
                      <w:color w:val="000000"/>
                    </w:rPr>
                    <w:t>1500mm</w:t>
                  </w:r>
                  <w:r>
                    <w:rPr>
                      <w:rFonts w:ascii="仿宋_GB2312" w:hAnsi="仿宋_GB2312" w:cs="仿宋_GB2312" w:eastAsia="仿宋_GB2312"/>
                      <w:sz w:val="18"/>
                      <w:color w:val="000000"/>
                    </w:rPr>
                    <w:t>，定位法兰：φ</w:t>
                  </w:r>
                  <w:r>
                    <w:rPr>
                      <w:rFonts w:ascii="仿宋_GB2312" w:hAnsi="仿宋_GB2312" w:cs="仿宋_GB2312" w:eastAsia="仿宋_GB2312"/>
                      <w:sz w:val="18"/>
                      <w:color w:val="000000"/>
                    </w:rPr>
                    <w:t>550</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基础大小不小于：</w:t>
                  </w:r>
                  <w:r>
                    <w:rPr>
                      <w:rFonts w:ascii="仿宋_GB2312" w:hAnsi="仿宋_GB2312" w:cs="仿宋_GB2312" w:eastAsia="仿宋_GB2312"/>
                      <w:sz w:val="18"/>
                      <w:color w:val="000000"/>
                    </w:rPr>
                    <w:t>1800mmX1800mmX2000mm</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18</w:t>
                  </w:r>
                </w:p>
              </w:tc>
              <w:tc>
                <w:tcPr>
                  <w:tcW w:type="dxa" w:w="388"/>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1.H=6.75m</w:t>
                  </w:r>
                  <w:r>
                    <w:rPr>
                      <w:rFonts w:ascii="仿宋_GB2312" w:hAnsi="仿宋_GB2312" w:cs="仿宋_GB2312" w:eastAsia="仿宋_GB2312"/>
                      <w:sz w:val="18"/>
                      <w:color w:val="000000"/>
                    </w:rPr>
                    <w:t>，</w:t>
                  </w:r>
                  <w:r>
                    <w:rPr>
                      <w:rFonts w:ascii="仿宋_GB2312" w:hAnsi="仿宋_GB2312" w:cs="仿宋_GB2312" w:eastAsia="仿宋_GB2312"/>
                      <w:sz w:val="18"/>
                      <w:color w:val="000000"/>
                    </w:rPr>
                    <w:t>L=12m,</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整体热镀锌喷塑后处理防腐工艺，含地笼</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立杆口径：大端口径对角 </w:t>
                  </w:r>
                  <w:r>
                    <w:rPr>
                      <w:rFonts w:ascii="仿宋_GB2312" w:hAnsi="仿宋_GB2312" w:cs="仿宋_GB2312" w:eastAsia="仿宋_GB2312"/>
                      <w:sz w:val="18"/>
                      <w:color w:val="000000"/>
                    </w:rPr>
                    <w:t xml:space="preserve">330mm </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270mm</w:t>
                  </w:r>
                  <w:r>
                    <w:rPr>
                      <w:rFonts w:ascii="仿宋_GB2312" w:hAnsi="仿宋_GB2312" w:cs="仿宋_GB2312" w:eastAsia="仿宋_GB2312"/>
                      <w:sz w:val="18"/>
                      <w:color w:val="000000"/>
                    </w:rPr>
                    <w:t>，厚度≥</w:t>
                  </w:r>
                  <w:r>
                    <w:rPr>
                      <w:rFonts w:ascii="仿宋_GB2312" w:hAnsi="仿宋_GB2312" w:cs="仿宋_GB2312" w:eastAsia="仿宋_GB2312"/>
                      <w:sz w:val="18"/>
                      <w:color w:val="000000"/>
                    </w:rPr>
                    <w:t>8mm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横杆口径：大端口径对角 </w:t>
                  </w:r>
                  <w:r>
                    <w:rPr>
                      <w:rFonts w:ascii="仿宋_GB2312" w:hAnsi="仿宋_GB2312" w:cs="仿宋_GB2312" w:eastAsia="仿宋_GB2312"/>
                      <w:sz w:val="18"/>
                      <w:color w:val="000000"/>
                    </w:rPr>
                    <w:t>260mm</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110mm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6mm</w:t>
                  </w:r>
                  <w:r>
                    <w:rPr>
                      <w:rFonts w:ascii="仿宋_GB2312" w:hAnsi="仿宋_GB2312" w:cs="仿宋_GB2312" w:eastAsia="仿宋_GB2312"/>
                      <w:sz w:val="18"/>
                      <w:color w:val="000000"/>
                    </w:rPr>
                    <w:t>；底法兰：φ</w:t>
                  </w:r>
                  <w:r>
                    <w:rPr>
                      <w:rFonts w:ascii="仿宋_GB2312" w:hAnsi="仿宋_GB2312" w:cs="仿宋_GB2312" w:eastAsia="仿宋_GB2312"/>
                      <w:sz w:val="18"/>
                      <w:color w:val="000000"/>
                    </w:rPr>
                    <w:t>550mm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；横杆连接法兰：</w:t>
                  </w:r>
                  <w:r>
                    <w:rPr>
                      <w:rFonts w:ascii="仿宋_GB2312" w:hAnsi="仿宋_GB2312" w:cs="仿宋_GB2312" w:eastAsia="仿宋_GB2312"/>
                      <w:sz w:val="18"/>
                      <w:color w:val="000000"/>
                    </w:rPr>
                    <w:t>450</w:t>
                  </w:r>
                  <w:r>
                    <w:rPr>
                      <w:rFonts w:ascii="仿宋_GB2312" w:hAnsi="仿宋_GB2312" w:cs="仿宋_GB2312" w:eastAsia="仿宋_GB2312"/>
                      <w:sz w:val="18"/>
                      <w:color w:val="000000"/>
                    </w:rPr>
                    <w:t>×</w:t>
                  </w:r>
                  <w:r>
                    <w:rPr>
                      <w:rFonts w:ascii="仿宋_GB2312" w:hAnsi="仿宋_GB2312" w:cs="仿宋_GB2312" w:eastAsia="仿宋_GB2312"/>
                      <w:sz w:val="18"/>
                      <w:color w:val="000000"/>
                    </w:rPr>
                    <w:t>450mm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地笼规格不小于：</w:t>
                  </w:r>
                  <w:r>
                    <w:rPr>
                      <w:rFonts w:ascii="仿宋_GB2312" w:hAnsi="仿宋_GB2312" w:cs="仿宋_GB2312" w:eastAsia="仿宋_GB2312"/>
                      <w:sz w:val="18"/>
                      <w:color w:val="000000"/>
                    </w:rPr>
                    <w:t>8-M27</w:t>
                  </w:r>
                  <w:r>
                    <w:rPr>
                      <w:rFonts w:ascii="仿宋_GB2312" w:hAnsi="仿宋_GB2312" w:cs="仿宋_GB2312" w:eastAsia="仿宋_GB2312"/>
                      <w:sz w:val="18"/>
                      <w:color w:val="000000"/>
                    </w:rPr>
                    <w:t>×</w:t>
                  </w:r>
                  <w:r>
                    <w:rPr>
                      <w:rFonts w:ascii="仿宋_GB2312" w:hAnsi="仿宋_GB2312" w:cs="仿宋_GB2312" w:eastAsia="仿宋_GB2312"/>
                      <w:sz w:val="18"/>
                      <w:color w:val="000000"/>
                    </w:rPr>
                    <w:t>1500mm</w:t>
                  </w:r>
                  <w:r>
                    <w:rPr>
                      <w:rFonts w:ascii="仿宋_GB2312" w:hAnsi="仿宋_GB2312" w:cs="仿宋_GB2312" w:eastAsia="仿宋_GB2312"/>
                      <w:sz w:val="18"/>
                      <w:color w:val="000000"/>
                    </w:rPr>
                    <w:t>，定位法兰：φ</w:t>
                  </w:r>
                  <w:r>
                    <w:rPr>
                      <w:rFonts w:ascii="仿宋_GB2312" w:hAnsi="仿宋_GB2312" w:cs="仿宋_GB2312" w:eastAsia="仿宋_GB2312"/>
                      <w:sz w:val="18"/>
                      <w:color w:val="000000"/>
                    </w:rPr>
                    <w:t>550</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基础大小不小于：</w:t>
                  </w:r>
                  <w:r>
                    <w:rPr>
                      <w:rFonts w:ascii="仿宋_GB2312" w:hAnsi="仿宋_GB2312" w:cs="仿宋_GB2312" w:eastAsia="仿宋_GB2312"/>
                      <w:sz w:val="18"/>
                      <w:color w:val="000000"/>
                    </w:rPr>
                    <w:t>1800mmX1800mmX2000mm</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19</w:t>
                  </w:r>
                </w:p>
              </w:tc>
              <w:tc>
                <w:tcPr>
                  <w:tcW w:type="dxa" w:w="388"/>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1.H=6.75m</w:t>
                  </w:r>
                  <w:r>
                    <w:rPr>
                      <w:rFonts w:ascii="仿宋_GB2312" w:hAnsi="仿宋_GB2312" w:cs="仿宋_GB2312" w:eastAsia="仿宋_GB2312"/>
                      <w:sz w:val="18"/>
                      <w:color w:val="000000"/>
                    </w:rPr>
                    <w:t>，</w:t>
                  </w:r>
                  <w:r>
                    <w:rPr>
                      <w:rFonts w:ascii="仿宋_GB2312" w:hAnsi="仿宋_GB2312" w:cs="仿宋_GB2312" w:eastAsia="仿宋_GB2312"/>
                      <w:sz w:val="18"/>
                      <w:color w:val="000000"/>
                    </w:rPr>
                    <w:t>L=13m,</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整体热镀锌喷塑后处理防腐工艺，含地笼</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立杆口径：大端口径对角 </w:t>
                  </w:r>
                  <w:r>
                    <w:rPr>
                      <w:rFonts w:ascii="仿宋_GB2312" w:hAnsi="仿宋_GB2312" w:cs="仿宋_GB2312" w:eastAsia="仿宋_GB2312"/>
                      <w:sz w:val="18"/>
                      <w:color w:val="000000"/>
                    </w:rPr>
                    <w:t xml:space="preserve">330mm </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270mm</w:t>
                  </w:r>
                  <w:r>
                    <w:rPr>
                      <w:rFonts w:ascii="仿宋_GB2312" w:hAnsi="仿宋_GB2312" w:cs="仿宋_GB2312" w:eastAsia="仿宋_GB2312"/>
                      <w:sz w:val="18"/>
                      <w:color w:val="000000"/>
                    </w:rPr>
                    <w:t>，厚度≥</w:t>
                  </w:r>
                  <w:r>
                    <w:rPr>
                      <w:rFonts w:ascii="仿宋_GB2312" w:hAnsi="仿宋_GB2312" w:cs="仿宋_GB2312" w:eastAsia="仿宋_GB2312"/>
                      <w:sz w:val="18"/>
                      <w:color w:val="000000"/>
                    </w:rPr>
                    <w:t>8mm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横杆口径：大端口径对角 </w:t>
                  </w:r>
                  <w:r>
                    <w:rPr>
                      <w:rFonts w:ascii="仿宋_GB2312" w:hAnsi="仿宋_GB2312" w:cs="仿宋_GB2312" w:eastAsia="仿宋_GB2312"/>
                      <w:sz w:val="18"/>
                      <w:color w:val="000000"/>
                    </w:rPr>
                    <w:t>260mm</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110mm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6mm</w:t>
                  </w:r>
                  <w:r>
                    <w:rPr>
                      <w:rFonts w:ascii="仿宋_GB2312" w:hAnsi="仿宋_GB2312" w:cs="仿宋_GB2312" w:eastAsia="仿宋_GB2312"/>
                      <w:sz w:val="18"/>
                      <w:color w:val="000000"/>
                    </w:rPr>
                    <w:t>；底法兰：φ</w:t>
                  </w:r>
                  <w:r>
                    <w:rPr>
                      <w:rFonts w:ascii="仿宋_GB2312" w:hAnsi="仿宋_GB2312" w:cs="仿宋_GB2312" w:eastAsia="仿宋_GB2312"/>
                      <w:sz w:val="18"/>
                      <w:color w:val="000000"/>
                    </w:rPr>
                    <w:t>550mm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；横杆连接法兰：</w:t>
                  </w:r>
                  <w:r>
                    <w:rPr>
                      <w:rFonts w:ascii="仿宋_GB2312" w:hAnsi="仿宋_GB2312" w:cs="仿宋_GB2312" w:eastAsia="仿宋_GB2312"/>
                      <w:sz w:val="18"/>
                      <w:color w:val="000000"/>
                    </w:rPr>
                    <w:t>450</w:t>
                  </w:r>
                  <w:r>
                    <w:rPr>
                      <w:rFonts w:ascii="仿宋_GB2312" w:hAnsi="仿宋_GB2312" w:cs="仿宋_GB2312" w:eastAsia="仿宋_GB2312"/>
                      <w:sz w:val="18"/>
                      <w:color w:val="000000"/>
                    </w:rPr>
                    <w:t>×</w:t>
                  </w:r>
                  <w:r>
                    <w:rPr>
                      <w:rFonts w:ascii="仿宋_GB2312" w:hAnsi="仿宋_GB2312" w:cs="仿宋_GB2312" w:eastAsia="仿宋_GB2312"/>
                      <w:sz w:val="18"/>
                      <w:color w:val="000000"/>
                    </w:rPr>
                    <w:t>450mm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地笼规格不小于：</w:t>
                  </w:r>
                  <w:r>
                    <w:rPr>
                      <w:rFonts w:ascii="仿宋_GB2312" w:hAnsi="仿宋_GB2312" w:cs="仿宋_GB2312" w:eastAsia="仿宋_GB2312"/>
                      <w:sz w:val="18"/>
                      <w:color w:val="000000"/>
                    </w:rPr>
                    <w:t>8-M27</w:t>
                  </w:r>
                  <w:r>
                    <w:rPr>
                      <w:rFonts w:ascii="仿宋_GB2312" w:hAnsi="仿宋_GB2312" w:cs="仿宋_GB2312" w:eastAsia="仿宋_GB2312"/>
                      <w:sz w:val="18"/>
                      <w:color w:val="000000"/>
                    </w:rPr>
                    <w:t>×</w:t>
                  </w:r>
                  <w:r>
                    <w:rPr>
                      <w:rFonts w:ascii="仿宋_GB2312" w:hAnsi="仿宋_GB2312" w:cs="仿宋_GB2312" w:eastAsia="仿宋_GB2312"/>
                      <w:sz w:val="18"/>
                      <w:color w:val="000000"/>
                    </w:rPr>
                    <w:t>1500mm</w:t>
                  </w:r>
                  <w:r>
                    <w:rPr>
                      <w:rFonts w:ascii="仿宋_GB2312" w:hAnsi="仿宋_GB2312" w:cs="仿宋_GB2312" w:eastAsia="仿宋_GB2312"/>
                      <w:sz w:val="18"/>
                      <w:color w:val="000000"/>
                    </w:rPr>
                    <w:t>，定位法兰：φ</w:t>
                  </w:r>
                  <w:r>
                    <w:rPr>
                      <w:rFonts w:ascii="仿宋_GB2312" w:hAnsi="仿宋_GB2312" w:cs="仿宋_GB2312" w:eastAsia="仿宋_GB2312"/>
                      <w:sz w:val="18"/>
                      <w:color w:val="000000"/>
                    </w:rPr>
                    <w:t>550</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基础大小不小于：</w:t>
                  </w:r>
                  <w:r>
                    <w:rPr>
                      <w:rFonts w:ascii="仿宋_GB2312" w:hAnsi="仿宋_GB2312" w:cs="仿宋_GB2312" w:eastAsia="仿宋_GB2312"/>
                      <w:sz w:val="18"/>
                      <w:color w:val="000000"/>
                    </w:rPr>
                    <w:t>1800mmX1800mmX2000mm</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w:t>
                  </w:r>
                </w:p>
              </w:tc>
              <w:tc>
                <w:tcPr>
                  <w:tcW w:type="dxa" w:w="388"/>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1.H=6.75m</w:t>
                  </w:r>
                  <w:r>
                    <w:rPr>
                      <w:rFonts w:ascii="仿宋_GB2312" w:hAnsi="仿宋_GB2312" w:cs="仿宋_GB2312" w:eastAsia="仿宋_GB2312"/>
                      <w:sz w:val="18"/>
                      <w:color w:val="000000"/>
                    </w:rPr>
                    <w:t>，</w:t>
                  </w:r>
                  <w:r>
                    <w:rPr>
                      <w:rFonts w:ascii="仿宋_GB2312" w:hAnsi="仿宋_GB2312" w:cs="仿宋_GB2312" w:eastAsia="仿宋_GB2312"/>
                      <w:sz w:val="18"/>
                      <w:color w:val="000000"/>
                    </w:rPr>
                    <w:t>L=10+5m,</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整体热镀锌喷塑后处理防腐工艺，含地笼</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立杆口径：大端口径对角 </w:t>
                  </w:r>
                  <w:r>
                    <w:rPr>
                      <w:rFonts w:ascii="仿宋_GB2312" w:hAnsi="仿宋_GB2312" w:cs="仿宋_GB2312" w:eastAsia="仿宋_GB2312"/>
                      <w:sz w:val="18"/>
                      <w:color w:val="000000"/>
                    </w:rPr>
                    <w:t xml:space="preserve">330mm </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270mm</w:t>
                  </w:r>
                  <w:r>
                    <w:rPr>
                      <w:rFonts w:ascii="仿宋_GB2312" w:hAnsi="仿宋_GB2312" w:cs="仿宋_GB2312" w:eastAsia="仿宋_GB2312"/>
                      <w:sz w:val="18"/>
                      <w:color w:val="000000"/>
                    </w:rPr>
                    <w:t>，厚度≥</w:t>
                  </w:r>
                  <w:r>
                    <w:rPr>
                      <w:rFonts w:ascii="仿宋_GB2312" w:hAnsi="仿宋_GB2312" w:cs="仿宋_GB2312" w:eastAsia="仿宋_GB2312"/>
                      <w:sz w:val="18"/>
                      <w:color w:val="000000"/>
                    </w:rPr>
                    <w:t>8mm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横杆口径：大端口径对角 </w:t>
                  </w:r>
                  <w:r>
                    <w:rPr>
                      <w:rFonts w:ascii="仿宋_GB2312" w:hAnsi="仿宋_GB2312" w:cs="仿宋_GB2312" w:eastAsia="仿宋_GB2312"/>
                      <w:sz w:val="18"/>
                      <w:color w:val="000000"/>
                    </w:rPr>
                    <w:t>260mm</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110mm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6mm</w:t>
                  </w:r>
                  <w:r>
                    <w:rPr>
                      <w:rFonts w:ascii="仿宋_GB2312" w:hAnsi="仿宋_GB2312" w:cs="仿宋_GB2312" w:eastAsia="仿宋_GB2312"/>
                      <w:sz w:val="18"/>
                      <w:color w:val="000000"/>
                    </w:rPr>
                    <w:t>；底法兰：φ</w:t>
                  </w:r>
                  <w:r>
                    <w:rPr>
                      <w:rFonts w:ascii="仿宋_GB2312" w:hAnsi="仿宋_GB2312" w:cs="仿宋_GB2312" w:eastAsia="仿宋_GB2312"/>
                      <w:sz w:val="18"/>
                      <w:color w:val="000000"/>
                    </w:rPr>
                    <w:t>550mm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；横杆连接法兰：</w:t>
                  </w:r>
                  <w:r>
                    <w:rPr>
                      <w:rFonts w:ascii="仿宋_GB2312" w:hAnsi="仿宋_GB2312" w:cs="仿宋_GB2312" w:eastAsia="仿宋_GB2312"/>
                      <w:sz w:val="18"/>
                      <w:color w:val="000000"/>
                    </w:rPr>
                    <w:t>450</w:t>
                  </w:r>
                  <w:r>
                    <w:rPr>
                      <w:rFonts w:ascii="仿宋_GB2312" w:hAnsi="仿宋_GB2312" w:cs="仿宋_GB2312" w:eastAsia="仿宋_GB2312"/>
                      <w:sz w:val="18"/>
                      <w:color w:val="000000"/>
                    </w:rPr>
                    <w:t>×</w:t>
                  </w:r>
                  <w:r>
                    <w:rPr>
                      <w:rFonts w:ascii="仿宋_GB2312" w:hAnsi="仿宋_GB2312" w:cs="仿宋_GB2312" w:eastAsia="仿宋_GB2312"/>
                      <w:sz w:val="18"/>
                      <w:color w:val="000000"/>
                    </w:rPr>
                    <w:t>450mm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地笼规格不小于：</w:t>
                  </w:r>
                  <w:r>
                    <w:rPr>
                      <w:rFonts w:ascii="仿宋_GB2312" w:hAnsi="仿宋_GB2312" w:cs="仿宋_GB2312" w:eastAsia="仿宋_GB2312"/>
                      <w:sz w:val="18"/>
                      <w:color w:val="000000"/>
                    </w:rPr>
                    <w:t>8-M27</w:t>
                  </w:r>
                  <w:r>
                    <w:rPr>
                      <w:rFonts w:ascii="仿宋_GB2312" w:hAnsi="仿宋_GB2312" w:cs="仿宋_GB2312" w:eastAsia="仿宋_GB2312"/>
                      <w:sz w:val="18"/>
                      <w:color w:val="000000"/>
                    </w:rPr>
                    <w:t>×</w:t>
                  </w:r>
                  <w:r>
                    <w:rPr>
                      <w:rFonts w:ascii="仿宋_GB2312" w:hAnsi="仿宋_GB2312" w:cs="仿宋_GB2312" w:eastAsia="仿宋_GB2312"/>
                      <w:sz w:val="18"/>
                      <w:color w:val="000000"/>
                    </w:rPr>
                    <w:t>1500mm</w:t>
                  </w:r>
                  <w:r>
                    <w:rPr>
                      <w:rFonts w:ascii="仿宋_GB2312" w:hAnsi="仿宋_GB2312" w:cs="仿宋_GB2312" w:eastAsia="仿宋_GB2312"/>
                      <w:sz w:val="18"/>
                      <w:color w:val="000000"/>
                    </w:rPr>
                    <w:t>，定位法兰：φ</w:t>
                  </w:r>
                  <w:r>
                    <w:rPr>
                      <w:rFonts w:ascii="仿宋_GB2312" w:hAnsi="仿宋_GB2312" w:cs="仿宋_GB2312" w:eastAsia="仿宋_GB2312"/>
                      <w:sz w:val="18"/>
                      <w:color w:val="000000"/>
                    </w:rPr>
                    <w:t>550</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基础大小不小于：</w:t>
                  </w:r>
                  <w:r>
                    <w:rPr>
                      <w:rFonts w:ascii="仿宋_GB2312" w:hAnsi="仿宋_GB2312" w:cs="仿宋_GB2312" w:eastAsia="仿宋_GB2312"/>
                      <w:sz w:val="18"/>
                      <w:color w:val="000000"/>
                    </w:rPr>
                    <w:t>1800mmX1800mmX2000mm</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21</w:t>
                  </w:r>
                </w:p>
              </w:tc>
              <w:tc>
                <w:tcPr>
                  <w:tcW w:type="dxa" w:w="388"/>
                  <w:vMerge/>
                  <w:tcBorders>
                    <w:top w:val="none" w:color="000000" w:sz="4"/>
                    <w:left w:val="none" w:color="000000" w:sz="4"/>
                    <w:bottom w:val="single" w:color="000000" w:sz="4"/>
                    <w:right w:val="single" w:color="000000" w:sz="4"/>
                  </w:tcBorders>
                </w:tcP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1.H=6.75m</w:t>
                  </w:r>
                  <w:r>
                    <w:rPr>
                      <w:rFonts w:ascii="仿宋_GB2312" w:hAnsi="仿宋_GB2312" w:cs="仿宋_GB2312" w:eastAsia="仿宋_GB2312"/>
                      <w:sz w:val="18"/>
                      <w:color w:val="000000"/>
                    </w:rPr>
                    <w:t>，</w:t>
                  </w:r>
                  <w:r>
                    <w:rPr>
                      <w:rFonts w:ascii="仿宋_GB2312" w:hAnsi="仿宋_GB2312" w:cs="仿宋_GB2312" w:eastAsia="仿宋_GB2312"/>
                      <w:sz w:val="18"/>
                      <w:color w:val="000000"/>
                    </w:rPr>
                    <w:t>L=11+6m,</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整体热镀锌喷塑后处理防腐工艺，含地笼</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立杆口径：大端口径对角 </w:t>
                  </w:r>
                  <w:r>
                    <w:rPr>
                      <w:rFonts w:ascii="仿宋_GB2312" w:hAnsi="仿宋_GB2312" w:cs="仿宋_GB2312" w:eastAsia="仿宋_GB2312"/>
                      <w:sz w:val="18"/>
                      <w:color w:val="000000"/>
                    </w:rPr>
                    <w:t xml:space="preserve">330mm </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270mm</w:t>
                  </w:r>
                  <w:r>
                    <w:rPr>
                      <w:rFonts w:ascii="仿宋_GB2312" w:hAnsi="仿宋_GB2312" w:cs="仿宋_GB2312" w:eastAsia="仿宋_GB2312"/>
                      <w:sz w:val="18"/>
                      <w:color w:val="000000"/>
                    </w:rPr>
                    <w:t>，厚度≥</w:t>
                  </w:r>
                  <w:r>
                    <w:rPr>
                      <w:rFonts w:ascii="仿宋_GB2312" w:hAnsi="仿宋_GB2312" w:cs="仿宋_GB2312" w:eastAsia="仿宋_GB2312"/>
                      <w:sz w:val="18"/>
                      <w:color w:val="000000"/>
                    </w:rPr>
                    <w:t>8mm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横杆口径：大端口径对角 </w:t>
                  </w:r>
                  <w:r>
                    <w:rPr>
                      <w:rFonts w:ascii="仿宋_GB2312" w:hAnsi="仿宋_GB2312" w:cs="仿宋_GB2312" w:eastAsia="仿宋_GB2312"/>
                      <w:sz w:val="18"/>
                      <w:color w:val="000000"/>
                    </w:rPr>
                    <w:t>260mm</w:t>
                  </w:r>
                  <w:r>
                    <w:rPr>
                      <w:rFonts w:ascii="仿宋_GB2312" w:hAnsi="仿宋_GB2312" w:cs="仿宋_GB2312" w:eastAsia="仿宋_GB2312"/>
                      <w:sz w:val="18"/>
                      <w:color w:val="000000"/>
                    </w:rPr>
                    <w:t xml:space="preserve">小端口径对角 </w:t>
                  </w:r>
                  <w:r>
                    <w:rPr>
                      <w:rFonts w:ascii="仿宋_GB2312" w:hAnsi="仿宋_GB2312" w:cs="仿宋_GB2312" w:eastAsia="仿宋_GB2312"/>
                      <w:sz w:val="18"/>
                      <w:color w:val="000000"/>
                    </w:rPr>
                    <w:t>110mm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6mm</w:t>
                  </w:r>
                  <w:r>
                    <w:rPr>
                      <w:rFonts w:ascii="仿宋_GB2312" w:hAnsi="仿宋_GB2312" w:cs="仿宋_GB2312" w:eastAsia="仿宋_GB2312"/>
                      <w:sz w:val="18"/>
                      <w:color w:val="000000"/>
                    </w:rPr>
                    <w:t>；底法兰：φ</w:t>
                  </w:r>
                  <w:r>
                    <w:rPr>
                      <w:rFonts w:ascii="仿宋_GB2312" w:hAnsi="仿宋_GB2312" w:cs="仿宋_GB2312" w:eastAsia="仿宋_GB2312"/>
                      <w:sz w:val="18"/>
                      <w:color w:val="000000"/>
                    </w:rPr>
                    <w:t>550mm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；横杆连接法兰：</w:t>
                  </w:r>
                  <w:r>
                    <w:rPr>
                      <w:rFonts w:ascii="仿宋_GB2312" w:hAnsi="仿宋_GB2312" w:cs="仿宋_GB2312" w:eastAsia="仿宋_GB2312"/>
                      <w:sz w:val="18"/>
                      <w:color w:val="000000"/>
                    </w:rPr>
                    <w:t>450</w:t>
                  </w:r>
                  <w:r>
                    <w:rPr>
                      <w:rFonts w:ascii="仿宋_GB2312" w:hAnsi="仿宋_GB2312" w:cs="仿宋_GB2312" w:eastAsia="仿宋_GB2312"/>
                      <w:sz w:val="18"/>
                      <w:color w:val="000000"/>
                    </w:rPr>
                    <w:t>×</w:t>
                  </w:r>
                  <w:r>
                    <w:rPr>
                      <w:rFonts w:ascii="仿宋_GB2312" w:hAnsi="仿宋_GB2312" w:cs="仿宋_GB2312" w:eastAsia="仿宋_GB2312"/>
                      <w:sz w:val="18"/>
                      <w:color w:val="000000"/>
                    </w:rPr>
                    <w:t>450mm</w:t>
                  </w:r>
                  <w:r>
                    <w:rPr>
                      <w:rFonts w:ascii="仿宋_GB2312" w:hAnsi="仿宋_GB2312" w:cs="仿宋_GB2312" w:eastAsia="仿宋_GB2312"/>
                      <w:sz w:val="18"/>
                      <w:color w:val="000000"/>
                    </w:rPr>
                    <w:t xml:space="preserve">，厚度 </w:t>
                  </w:r>
                  <w:r>
                    <w:rPr>
                      <w:rFonts w:ascii="仿宋_GB2312" w:hAnsi="仿宋_GB2312" w:cs="仿宋_GB2312" w:eastAsia="仿宋_GB2312"/>
                      <w:sz w:val="18"/>
                      <w:color w:val="000000"/>
                    </w:rPr>
                    <w:t>20mm</w:t>
                  </w:r>
                  <w:r>
                    <w:rPr>
                      <w:rFonts w:ascii="仿宋_GB2312" w:hAnsi="仿宋_GB2312" w:cs="仿宋_GB2312" w:eastAsia="仿宋_GB2312"/>
                      <w:sz w:val="18"/>
                      <w:color w:val="000000"/>
                    </w:rPr>
                    <w:t>；</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地笼规格不小于：</w:t>
                  </w:r>
                  <w:r>
                    <w:rPr>
                      <w:rFonts w:ascii="仿宋_GB2312" w:hAnsi="仿宋_GB2312" w:cs="仿宋_GB2312" w:eastAsia="仿宋_GB2312"/>
                      <w:sz w:val="18"/>
                      <w:color w:val="000000"/>
                    </w:rPr>
                    <w:t>8-M27</w:t>
                  </w:r>
                  <w:r>
                    <w:rPr>
                      <w:rFonts w:ascii="仿宋_GB2312" w:hAnsi="仿宋_GB2312" w:cs="仿宋_GB2312" w:eastAsia="仿宋_GB2312"/>
                      <w:sz w:val="18"/>
                      <w:color w:val="000000"/>
                    </w:rPr>
                    <w:t>×</w:t>
                  </w:r>
                  <w:r>
                    <w:rPr>
                      <w:rFonts w:ascii="仿宋_GB2312" w:hAnsi="仿宋_GB2312" w:cs="仿宋_GB2312" w:eastAsia="仿宋_GB2312"/>
                      <w:sz w:val="18"/>
                      <w:color w:val="000000"/>
                    </w:rPr>
                    <w:t>1500mm</w:t>
                  </w:r>
                  <w:r>
                    <w:rPr>
                      <w:rFonts w:ascii="仿宋_GB2312" w:hAnsi="仿宋_GB2312" w:cs="仿宋_GB2312" w:eastAsia="仿宋_GB2312"/>
                      <w:sz w:val="18"/>
                      <w:color w:val="000000"/>
                    </w:rPr>
                    <w:t>，定位法兰：φ</w:t>
                  </w:r>
                  <w:r>
                    <w:rPr>
                      <w:rFonts w:ascii="仿宋_GB2312" w:hAnsi="仿宋_GB2312" w:cs="仿宋_GB2312" w:eastAsia="仿宋_GB2312"/>
                      <w:sz w:val="18"/>
                      <w:color w:val="000000"/>
                    </w:rPr>
                    <w:t>550</w:t>
                  </w:r>
                  <w:r>
                    <w:rPr>
                      <w:rFonts w:ascii="仿宋_GB2312" w:hAnsi="仿宋_GB2312" w:cs="仿宋_GB2312" w:eastAsia="仿宋_GB2312"/>
                      <w:sz w:val="18"/>
                      <w:color w:val="000000"/>
                    </w:rPr>
                    <w:t>×</w:t>
                  </w:r>
                  <w:r>
                    <w:rPr>
                      <w:rFonts w:ascii="仿宋_GB2312" w:hAnsi="仿宋_GB2312" w:cs="仿宋_GB2312" w:eastAsia="仿宋_GB2312"/>
                      <w:sz w:val="18"/>
                      <w:color w:val="000000"/>
                    </w:rPr>
                    <w:t>5mm</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基础大小不小于：</w:t>
                  </w:r>
                  <w:r>
                    <w:rPr>
                      <w:rFonts w:ascii="仿宋_GB2312" w:hAnsi="仿宋_GB2312" w:cs="仿宋_GB2312" w:eastAsia="仿宋_GB2312"/>
                      <w:sz w:val="18"/>
                      <w:color w:val="000000"/>
                    </w:rPr>
                    <w:t>1800mmX1800mmX2000mm</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违法提示牌</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1810mm*1450mm</w:t>
                  </w:r>
                  <w:r>
                    <w:rPr>
                      <w:rFonts w:ascii="仿宋_GB2312" w:hAnsi="仿宋_GB2312" w:cs="仿宋_GB2312" w:eastAsia="仿宋_GB2312"/>
                      <w:sz w:val="18"/>
                      <w:color w:val="000000"/>
                    </w:rPr>
                    <w:t>，铝板厚度≥</w:t>
                  </w:r>
                  <w:r>
                    <w:rPr>
                      <w:rFonts w:ascii="仿宋_GB2312" w:hAnsi="仿宋_GB2312" w:cs="仿宋_GB2312" w:eastAsia="仿宋_GB2312"/>
                      <w:sz w:val="18"/>
                      <w:color w:val="000000"/>
                    </w:rPr>
                    <w:t>2mm</w:t>
                  </w:r>
                  <w:r>
                    <w:rPr>
                      <w:rFonts w:ascii="仿宋_GB2312" w:hAnsi="仿宋_GB2312" w:cs="仿宋_GB2312" w:eastAsia="仿宋_GB2312"/>
                      <w:sz w:val="18"/>
                      <w:color w:val="000000"/>
                    </w:rPr>
                    <w:t>，图文反光膜，含抱箍。</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179</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限速提示牌及立杆（含基础）</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限速提示牌材质规格：直径为</w:t>
                  </w:r>
                  <w:r>
                    <w:rPr>
                      <w:rFonts w:ascii="仿宋_GB2312" w:hAnsi="仿宋_GB2312" w:cs="仿宋_GB2312" w:eastAsia="仿宋_GB2312"/>
                      <w:sz w:val="18"/>
                      <w:color w:val="000000"/>
                    </w:rPr>
                    <w:t>1000mm</w:t>
                  </w:r>
                  <w:r>
                    <w:rPr>
                      <w:rFonts w:ascii="仿宋_GB2312" w:hAnsi="仿宋_GB2312" w:cs="仿宋_GB2312" w:eastAsia="仿宋_GB2312"/>
                      <w:sz w:val="18"/>
                      <w:color w:val="000000"/>
                    </w:rPr>
                    <w:t>的圆形标牌，铝板厚度≥</w:t>
                  </w:r>
                  <w:r>
                    <w:rPr>
                      <w:rFonts w:ascii="仿宋_GB2312" w:hAnsi="仿宋_GB2312" w:cs="仿宋_GB2312" w:eastAsia="仿宋_GB2312"/>
                      <w:sz w:val="18"/>
                      <w:color w:val="000000"/>
                    </w:rPr>
                    <w:t>2mm</w:t>
                  </w:r>
                  <w:r>
                    <w:rPr>
                      <w:rFonts w:ascii="仿宋_GB2312" w:hAnsi="仿宋_GB2312" w:cs="仿宋_GB2312" w:eastAsia="仿宋_GB2312"/>
                      <w:sz w:val="18"/>
                      <w:color w:val="000000"/>
                    </w:rPr>
                    <w:t>，含抱箍；</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立杆：</w:t>
                  </w:r>
                  <w:r>
                    <w:rPr>
                      <w:rFonts w:ascii="仿宋_GB2312" w:hAnsi="仿宋_GB2312" w:cs="仿宋_GB2312" w:eastAsia="仿宋_GB2312"/>
                      <w:sz w:val="18"/>
                      <w:color w:val="000000"/>
                    </w:rPr>
                    <w:t>3m</w:t>
                  </w:r>
                  <w:r>
                    <w:rPr>
                      <w:rFonts w:ascii="仿宋_GB2312" w:hAnsi="仿宋_GB2312" w:cs="仿宋_GB2312" w:eastAsia="仿宋_GB2312"/>
                      <w:sz w:val="18"/>
                      <w:color w:val="000000"/>
                    </w:rPr>
                    <w:t>立杆；</w:t>
                  </w:r>
                  <w:r>
                    <w:rPr>
                      <w:rFonts w:ascii="仿宋_GB2312" w:hAnsi="仿宋_GB2312" w:cs="仿宋_GB2312" w:eastAsia="仿宋_GB2312"/>
                      <w:sz w:val="18"/>
                      <w:color w:val="000000"/>
                    </w:rPr>
                    <w:t>∅</w:t>
                  </w:r>
                  <w:r>
                    <w:rPr>
                      <w:rFonts w:ascii="仿宋_GB2312" w:hAnsi="仿宋_GB2312" w:cs="仿宋_GB2312" w:eastAsia="仿宋_GB2312"/>
                      <w:sz w:val="18"/>
                      <w:color w:val="000000"/>
                    </w:rPr>
                    <w:t>102mm*4mm</w:t>
                  </w:r>
                  <w:r>
                    <w:rPr>
                      <w:rFonts w:ascii="仿宋_GB2312" w:hAnsi="仿宋_GB2312" w:cs="仿宋_GB2312" w:eastAsia="仿宋_GB2312"/>
                      <w:sz w:val="18"/>
                      <w:color w:val="000000"/>
                    </w:rPr>
                    <w:t xml:space="preserve">镀锌管 </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基础不小于：</w:t>
                  </w:r>
                  <w:r>
                    <w:rPr>
                      <w:rFonts w:ascii="仿宋_GB2312" w:hAnsi="仿宋_GB2312" w:cs="仿宋_GB2312" w:eastAsia="仿宋_GB2312"/>
                      <w:sz w:val="18"/>
                      <w:color w:val="000000"/>
                    </w:rPr>
                    <w:t>500mm*500mm*500mm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C30</w:t>
                  </w:r>
                  <w:r>
                    <w:rPr>
                      <w:rFonts w:ascii="仿宋_GB2312" w:hAnsi="仿宋_GB2312" w:cs="仿宋_GB2312" w:eastAsia="仿宋_GB2312"/>
                      <w:sz w:val="18"/>
                      <w:color w:val="000000"/>
                    </w:rPr>
                    <w:t>无筋砼，含地笼路面恢复垃圾清运</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177</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限速提示牌</w:t>
                  </w:r>
                  <w:r>
                    <w:rPr>
                      <w:rFonts w:ascii="仿宋_GB2312" w:hAnsi="仿宋_GB2312" w:cs="仿宋_GB2312" w:eastAsia="仿宋_GB2312"/>
                      <w:sz w:val="18"/>
                      <w:color w:val="000000"/>
                    </w:rPr>
                    <w:t>+</w:t>
                  </w:r>
                  <w:r>
                    <w:rPr>
                      <w:rFonts w:ascii="仿宋_GB2312" w:hAnsi="仿宋_GB2312" w:cs="仿宋_GB2312" w:eastAsia="仿宋_GB2312"/>
                      <w:sz w:val="18"/>
                      <w:color w:val="000000"/>
                    </w:rPr>
                    <w:t>测速提示及立杆（含基础）</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1.</w:t>
                  </w:r>
                  <w:r>
                    <w:rPr>
                      <w:rFonts w:ascii="仿宋_GB2312" w:hAnsi="仿宋_GB2312" w:cs="仿宋_GB2312" w:eastAsia="仿宋_GB2312"/>
                      <w:sz w:val="18"/>
                      <w:color w:val="000000"/>
                    </w:rPr>
                    <w:t>限速提示牌：直径为</w:t>
                  </w:r>
                  <w:r>
                    <w:rPr>
                      <w:rFonts w:ascii="仿宋_GB2312" w:hAnsi="仿宋_GB2312" w:cs="仿宋_GB2312" w:eastAsia="仿宋_GB2312"/>
                      <w:sz w:val="18"/>
                      <w:color w:val="000000"/>
                    </w:rPr>
                    <w:t>1000mm</w:t>
                  </w:r>
                  <w:r>
                    <w:rPr>
                      <w:rFonts w:ascii="仿宋_GB2312" w:hAnsi="仿宋_GB2312" w:cs="仿宋_GB2312" w:eastAsia="仿宋_GB2312"/>
                      <w:sz w:val="18"/>
                      <w:color w:val="000000"/>
                    </w:rPr>
                    <w:t>的圆形标牌，铝板，含抱箍</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测速提示牌：</w:t>
                  </w:r>
                  <w:r>
                    <w:rPr>
                      <w:rFonts w:ascii="仿宋_GB2312" w:hAnsi="仿宋_GB2312" w:cs="仿宋_GB2312" w:eastAsia="仿宋_GB2312"/>
                      <w:sz w:val="18"/>
                      <w:color w:val="000000"/>
                    </w:rPr>
                    <w:t>1200mm*1600mm</w:t>
                  </w:r>
                  <w:r>
                    <w:rPr>
                      <w:rFonts w:ascii="仿宋_GB2312" w:hAnsi="仿宋_GB2312" w:cs="仿宋_GB2312" w:eastAsia="仿宋_GB2312"/>
                      <w:sz w:val="18"/>
                      <w:color w:val="000000"/>
                    </w:rPr>
                    <w:t>，铝板厚度≥</w:t>
                  </w:r>
                  <w:r>
                    <w:rPr>
                      <w:rFonts w:ascii="仿宋_GB2312" w:hAnsi="仿宋_GB2312" w:cs="仿宋_GB2312" w:eastAsia="仿宋_GB2312"/>
                      <w:sz w:val="18"/>
                      <w:color w:val="000000"/>
                    </w:rPr>
                    <w:t>2mm</w:t>
                  </w:r>
                  <w:r>
                    <w:rPr>
                      <w:rFonts w:ascii="仿宋_GB2312" w:hAnsi="仿宋_GB2312" w:cs="仿宋_GB2312" w:eastAsia="仿宋_GB2312"/>
                      <w:sz w:val="18"/>
                      <w:color w:val="000000"/>
                    </w:rPr>
                    <w:t>，图文反光膜，含抱箍</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立杆：</w:t>
                  </w:r>
                  <w:r>
                    <w:rPr>
                      <w:rFonts w:ascii="仿宋_GB2312" w:hAnsi="仿宋_GB2312" w:cs="仿宋_GB2312" w:eastAsia="仿宋_GB2312"/>
                      <w:sz w:val="18"/>
                      <w:color w:val="000000"/>
                    </w:rPr>
                    <w:t>5m</w:t>
                  </w:r>
                  <w:r>
                    <w:rPr>
                      <w:rFonts w:ascii="仿宋_GB2312" w:hAnsi="仿宋_GB2312" w:cs="仿宋_GB2312" w:eastAsia="仿宋_GB2312"/>
                      <w:sz w:val="18"/>
                      <w:color w:val="000000"/>
                    </w:rPr>
                    <w:t>立杆：</w:t>
                  </w:r>
                  <w:r>
                    <w:rPr>
                      <w:rFonts w:ascii="仿宋_GB2312" w:hAnsi="仿宋_GB2312" w:cs="仿宋_GB2312" w:eastAsia="仿宋_GB2312"/>
                      <w:sz w:val="18"/>
                      <w:color w:val="000000"/>
                    </w:rPr>
                    <w:t>∅</w:t>
                  </w:r>
                  <w:r>
                    <w:rPr>
                      <w:rFonts w:ascii="仿宋_GB2312" w:hAnsi="仿宋_GB2312" w:cs="仿宋_GB2312" w:eastAsia="仿宋_GB2312"/>
                      <w:sz w:val="18"/>
                      <w:color w:val="000000"/>
                    </w:rPr>
                    <w:t>140mm*4mm</w:t>
                  </w:r>
                  <w:r>
                    <w:rPr>
                      <w:rFonts w:ascii="仿宋_GB2312" w:hAnsi="仿宋_GB2312" w:cs="仿宋_GB2312" w:eastAsia="仿宋_GB2312"/>
                      <w:sz w:val="18"/>
                      <w:color w:val="000000"/>
                    </w:rPr>
                    <w:t>镀锌管</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基础不小于：</w:t>
                  </w:r>
                  <w:r>
                    <w:rPr>
                      <w:rFonts w:ascii="仿宋_GB2312" w:hAnsi="仿宋_GB2312" w:cs="仿宋_GB2312" w:eastAsia="仿宋_GB2312"/>
                      <w:sz w:val="18"/>
                      <w:color w:val="000000"/>
                    </w:rPr>
                    <w:t>600mm*600mm*800mm</w:t>
                  </w:r>
                  <w:r>
                    <w:rPr>
                      <w:rFonts w:ascii="仿宋_GB2312" w:hAnsi="仿宋_GB2312" w:cs="仿宋_GB2312" w:eastAsia="仿宋_GB2312"/>
                      <w:sz w:val="18"/>
                      <w:color w:val="000000"/>
                    </w:rPr>
                    <w:t>，</w:t>
                  </w:r>
                  <w:r>
                    <w:rPr>
                      <w:rFonts w:ascii="仿宋_GB2312" w:hAnsi="仿宋_GB2312" w:cs="仿宋_GB2312" w:eastAsia="仿宋_GB2312"/>
                      <w:sz w:val="18"/>
                      <w:color w:val="000000"/>
                    </w:rPr>
                    <w:t>C30</w:t>
                  </w:r>
                  <w:r>
                    <w:rPr>
                      <w:rFonts w:ascii="仿宋_GB2312" w:hAnsi="仿宋_GB2312" w:cs="仿宋_GB2312" w:eastAsia="仿宋_GB2312"/>
                      <w:sz w:val="18"/>
                      <w:color w:val="000000"/>
                    </w:rPr>
                    <w:t>无筋砼，含地笼路面恢复垃圾清运</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177</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交联电力电缆</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YJV-1KV-3*6mm</w:t>
                  </w:r>
                  <w:r>
                    <w:rPr>
                      <w:rFonts w:ascii="仿宋_GB2312" w:hAnsi="仿宋_GB2312" w:cs="仿宋_GB2312" w:eastAsia="仿宋_GB2312"/>
                      <w:sz w:val="18"/>
                      <w:color w:val="000000"/>
                    </w:rPr>
                    <w:t>²</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7835</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架空钢绞线</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架空钢绞线</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4180</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27</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开挖管沟</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300*500mm</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4461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28</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穿线管</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w:t>
                  </w:r>
                  <w:r>
                    <w:rPr>
                      <w:rFonts w:ascii="仿宋_GB2312" w:hAnsi="仿宋_GB2312" w:cs="仿宋_GB2312" w:eastAsia="仿宋_GB2312"/>
                      <w:sz w:val="18"/>
                      <w:color w:val="000000"/>
                    </w:rPr>
                    <w:t>32 PE32</w:t>
                  </w:r>
                  <w:r>
                    <w:rPr>
                      <w:rFonts w:ascii="仿宋_GB2312" w:hAnsi="仿宋_GB2312" w:cs="仿宋_GB2312" w:eastAsia="仿宋_GB2312"/>
                      <w:sz w:val="18"/>
                      <w:color w:val="000000"/>
                    </w:rPr>
                    <w:t>管</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4461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29</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交联电缆</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RVV3*1.5mm</w:t>
                  </w:r>
                  <w:r>
                    <w:rPr>
                      <w:rFonts w:ascii="仿宋_GB2312" w:hAnsi="仿宋_GB2312" w:cs="仿宋_GB2312" w:eastAsia="仿宋_GB2312"/>
                      <w:sz w:val="18"/>
                      <w:color w:val="000000"/>
                    </w:rPr>
                    <w:t>²</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4305</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30</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控制电缆</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RVVP 2*1.0mm</w:t>
                  </w:r>
                  <w:r>
                    <w:rPr>
                      <w:rFonts w:ascii="仿宋_GB2312" w:hAnsi="仿宋_GB2312" w:cs="仿宋_GB2312" w:eastAsia="仿宋_GB2312"/>
                      <w:sz w:val="18"/>
                      <w:color w:val="000000"/>
                    </w:rPr>
                    <w:t>²</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999</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超五类网线</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HSYV5e</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4355</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光纤</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国标</w:t>
                  </w:r>
                  <w:r>
                    <w:rPr>
                      <w:rFonts w:ascii="仿宋_GB2312" w:hAnsi="仿宋_GB2312" w:cs="仿宋_GB2312" w:eastAsia="仿宋_GB2312"/>
                      <w:sz w:val="18"/>
                      <w:color w:val="000000"/>
                    </w:rPr>
                    <w:t>4</w:t>
                  </w:r>
                  <w:r>
                    <w:rPr>
                      <w:rFonts w:ascii="仿宋_GB2312" w:hAnsi="仿宋_GB2312" w:cs="仿宋_GB2312" w:eastAsia="仿宋_GB2312"/>
                      <w:sz w:val="18"/>
                      <w:color w:val="000000"/>
                    </w:rPr>
                    <w:t>芯</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米</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2220</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电缆接线井</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600</w:t>
                  </w:r>
                  <w:r>
                    <w:rPr>
                      <w:rFonts w:ascii="仿宋_GB2312" w:hAnsi="仿宋_GB2312" w:cs="仿宋_GB2312" w:eastAsia="仿宋_GB2312"/>
                      <w:sz w:val="18"/>
                      <w:color w:val="000000"/>
                    </w:rPr>
                    <w:t>×</w:t>
                  </w:r>
                  <w:r>
                    <w:rPr>
                      <w:rFonts w:ascii="仿宋_GB2312" w:hAnsi="仿宋_GB2312" w:cs="仿宋_GB2312" w:eastAsia="仿宋_GB2312"/>
                      <w:sz w:val="18"/>
                      <w:color w:val="000000"/>
                    </w:rPr>
                    <w:t>600</w:t>
                  </w:r>
                  <w:r>
                    <w:rPr>
                      <w:rFonts w:ascii="仿宋_GB2312" w:hAnsi="仿宋_GB2312" w:cs="仿宋_GB2312" w:eastAsia="仿宋_GB2312"/>
                      <w:sz w:val="18"/>
                      <w:color w:val="000000"/>
                    </w:rPr>
                    <w:t>×</w:t>
                  </w:r>
                  <w:r>
                    <w:rPr>
                      <w:rFonts w:ascii="仿宋_GB2312" w:hAnsi="仿宋_GB2312" w:cs="仿宋_GB2312" w:eastAsia="仿宋_GB2312"/>
                      <w:sz w:val="18"/>
                      <w:color w:val="000000"/>
                    </w:rPr>
                    <w:t>800</w:t>
                  </w:r>
                  <w:r>
                    <w:rPr>
                      <w:rFonts w:ascii="仿宋_GB2312" w:hAnsi="仿宋_GB2312" w:cs="仿宋_GB2312" w:eastAsia="仿宋_GB2312"/>
                      <w:sz w:val="18"/>
                      <w:color w:val="000000"/>
                    </w:rPr>
                    <w:t>，含铸铁防盗井盖</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座</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206</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接地装置</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接地极：</w:t>
                  </w:r>
                  <w:r>
                    <w:rPr>
                      <w:rFonts w:ascii="仿宋_GB2312" w:hAnsi="仿宋_GB2312" w:cs="仿宋_GB2312" w:eastAsia="仿宋_GB2312"/>
                      <w:sz w:val="18"/>
                      <w:color w:val="000000"/>
                    </w:rPr>
                    <w:t>40*40*4</w:t>
                  </w:r>
                  <w:r>
                    <w:rPr>
                      <w:rFonts w:ascii="仿宋_GB2312" w:hAnsi="仿宋_GB2312" w:cs="仿宋_GB2312" w:eastAsia="仿宋_GB2312"/>
                      <w:sz w:val="18"/>
                      <w:color w:val="000000"/>
                    </w:rPr>
                    <w:t>镀锌角钢，长度</w:t>
                  </w:r>
                  <w:r>
                    <w:rPr>
                      <w:rFonts w:ascii="仿宋_GB2312" w:hAnsi="仿宋_GB2312" w:cs="仿宋_GB2312" w:eastAsia="仿宋_GB2312"/>
                      <w:sz w:val="18"/>
                      <w:color w:val="000000"/>
                    </w:rPr>
                    <w:t>2.5</w:t>
                  </w:r>
                  <w:r>
                    <w:rPr>
                      <w:rFonts w:ascii="仿宋_GB2312" w:hAnsi="仿宋_GB2312" w:cs="仿宋_GB2312" w:eastAsia="仿宋_GB2312"/>
                      <w:sz w:val="18"/>
                      <w:color w:val="000000"/>
                    </w:rPr>
                    <w:t>米，垂直打入底下 接地连接件：</w:t>
                  </w:r>
                  <w:r>
                    <w:rPr>
                      <w:rFonts w:ascii="仿宋_GB2312" w:hAnsi="仿宋_GB2312" w:cs="仿宋_GB2312" w:eastAsia="仿宋_GB2312"/>
                      <w:sz w:val="18"/>
                      <w:color w:val="000000"/>
                    </w:rPr>
                    <w:t>40*4</w:t>
                  </w:r>
                  <w:r>
                    <w:rPr>
                      <w:rFonts w:ascii="仿宋_GB2312" w:hAnsi="仿宋_GB2312" w:cs="仿宋_GB2312" w:eastAsia="仿宋_GB2312"/>
                      <w:sz w:val="18"/>
                      <w:color w:val="000000"/>
                    </w:rPr>
                    <w:t>热镀锌扁钢 接地极与接地连接件连接方式：接地极顶端与接地连接件焊接</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座</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63</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取电费用</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取电费用（含国家电网电表、开户等费用）</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项</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62</w:t>
                  </w:r>
                </w:p>
              </w:tc>
            </w:tr>
            <w:tr>
              <w:tc>
                <w:tcPr>
                  <w:tcW w:type="dxa" w:w="207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二、网络链路费用</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网络链路（</w:t>
                  </w:r>
                  <w:r>
                    <w:rPr>
                      <w:rFonts w:ascii="仿宋_GB2312" w:hAnsi="仿宋_GB2312" w:cs="仿宋_GB2312" w:eastAsia="仿宋_GB2312"/>
                      <w:sz w:val="18"/>
                      <w:color w:val="000000"/>
                    </w:rPr>
                    <w:t>10M</w:t>
                  </w:r>
                  <w:r>
                    <w:rPr>
                      <w:rFonts w:ascii="仿宋_GB2312" w:hAnsi="仿宋_GB2312" w:cs="仿宋_GB2312" w:eastAsia="仿宋_GB2312"/>
                      <w:sz w:val="18"/>
                      <w:color w:val="000000"/>
                    </w:rPr>
                    <w:t>）</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一年</w:t>
                  </w:r>
                  <w:r>
                    <w:rPr>
                      <w:rFonts w:ascii="仿宋_GB2312" w:hAnsi="仿宋_GB2312" w:cs="仿宋_GB2312" w:eastAsia="仿宋_GB2312"/>
                      <w:sz w:val="18"/>
                      <w:color w:val="000000"/>
                    </w:rPr>
                    <w:t>10M</w:t>
                  </w:r>
                  <w:r>
                    <w:rPr>
                      <w:rFonts w:ascii="仿宋_GB2312" w:hAnsi="仿宋_GB2312" w:cs="仿宋_GB2312" w:eastAsia="仿宋_GB2312"/>
                      <w:sz w:val="18"/>
                      <w:color w:val="000000"/>
                    </w:rPr>
                    <w:t>网络链路费用</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117</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网络链路（</w:t>
                  </w:r>
                  <w:r>
                    <w:rPr>
                      <w:rFonts w:ascii="仿宋_GB2312" w:hAnsi="仿宋_GB2312" w:cs="仿宋_GB2312" w:eastAsia="仿宋_GB2312"/>
                      <w:sz w:val="18"/>
                      <w:color w:val="000000"/>
                    </w:rPr>
                    <w:t>20M</w:t>
                  </w:r>
                  <w:r>
                    <w:rPr>
                      <w:rFonts w:ascii="仿宋_GB2312" w:hAnsi="仿宋_GB2312" w:cs="仿宋_GB2312" w:eastAsia="仿宋_GB2312"/>
                      <w:sz w:val="18"/>
                      <w:color w:val="000000"/>
                    </w:rPr>
                    <w:t>）</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一年</w:t>
                  </w:r>
                  <w:r>
                    <w:rPr>
                      <w:rFonts w:ascii="仿宋_GB2312" w:hAnsi="仿宋_GB2312" w:cs="仿宋_GB2312" w:eastAsia="仿宋_GB2312"/>
                      <w:sz w:val="18"/>
                      <w:color w:val="000000"/>
                    </w:rPr>
                    <w:t>20M</w:t>
                  </w:r>
                  <w:r>
                    <w:rPr>
                      <w:rFonts w:ascii="仿宋_GB2312" w:hAnsi="仿宋_GB2312" w:cs="仿宋_GB2312" w:eastAsia="仿宋_GB2312"/>
                      <w:sz w:val="18"/>
                      <w:color w:val="000000"/>
                    </w:rPr>
                    <w:t>网络链路费用</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条</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26</w:t>
                  </w:r>
                </w:p>
              </w:tc>
            </w:tr>
            <w:tr>
              <w:tc>
                <w:tcPr>
                  <w:tcW w:type="dxa" w:w="207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三、中心硬件扩容</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卡口管理一体机</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一、硬件规格：</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w:t>
                  </w:r>
                  <w:r>
                    <w:rPr>
                      <w:rFonts w:ascii="仿宋_GB2312" w:hAnsi="仿宋_GB2312" w:cs="仿宋_GB2312" w:eastAsia="仿宋_GB2312"/>
                      <w:sz w:val="18"/>
                      <w:color w:val="000000"/>
                    </w:rPr>
                    <w:t>CPU</w:t>
                  </w:r>
                  <w:r>
                    <w:rPr>
                      <w:rFonts w:ascii="仿宋_GB2312" w:hAnsi="仿宋_GB2312" w:cs="仿宋_GB2312" w:eastAsia="仿宋_GB2312"/>
                      <w:sz w:val="18"/>
                      <w:color w:val="000000"/>
                    </w:rPr>
                    <w:t>：不少于</w:t>
                  </w:r>
                  <w:r>
                    <w:rPr>
                      <w:rFonts w:ascii="仿宋_GB2312" w:hAnsi="仿宋_GB2312" w:cs="仿宋_GB2312" w:eastAsia="仿宋_GB2312"/>
                      <w:sz w:val="18"/>
                      <w:color w:val="000000"/>
                    </w:rPr>
                    <w:t>2</w:t>
                  </w:r>
                  <w:r>
                    <w:rPr>
                      <w:rFonts w:ascii="仿宋_GB2312" w:hAnsi="仿宋_GB2312" w:cs="仿宋_GB2312" w:eastAsia="仿宋_GB2312"/>
                      <w:sz w:val="18"/>
                      <w:color w:val="000000"/>
                    </w:rPr>
                    <w:t>颗国产化</w:t>
                  </w:r>
                  <w:r>
                    <w:rPr>
                      <w:rFonts w:ascii="仿宋_GB2312" w:hAnsi="仿宋_GB2312" w:cs="仿宋_GB2312" w:eastAsia="仿宋_GB2312"/>
                      <w:sz w:val="18"/>
                      <w:color w:val="000000"/>
                    </w:rPr>
                    <w:t>CPU</w:t>
                  </w:r>
                  <w:r>
                    <w:rPr>
                      <w:rFonts w:ascii="仿宋_GB2312" w:hAnsi="仿宋_GB2312" w:cs="仿宋_GB2312" w:eastAsia="仿宋_GB2312"/>
                      <w:sz w:val="18"/>
                      <w:color w:val="000000"/>
                    </w:rPr>
                    <w:t>，单颗处理器核数≥</w:t>
                  </w:r>
                  <w:r>
                    <w:rPr>
                      <w:rFonts w:ascii="仿宋_GB2312" w:hAnsi="仿宋_GB2312" w:cs="仿宋_GB2312" w:eastAsia="仿宋_GB2312"/>
                      <w:sz w:val="18"/>
                      <w:color w:val="000000"/>
                    </w:rPr>
                    <w:t>32</w:t>
                  </w:r>
                  <w:r>
                    <w:rPr>
                      <w:rFonts w:ascii="仿宋_GB2312" w:hAnsi="仿宋_GB2312" w:cs="仿宋_GB2312" w:eastAsia="仿宋_GB2312"/>
                      <w:sz w:val="18"/>
                      <w:color w:val="000000"/>
                    </w:rPr>
                    <w:t>核，主频≥</w:t>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18"/>
                      <w:color w:val="000000"/>
                    </w:rPr>
                    <w:t>6GHz</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128G</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、阵列卡：配置阵列卡，支持</w:t>
                  </w:r>
                  <w:r>
                    <w:rPr>
                      <w:rFonts w:ascii="仿宋_GB2312" w:hAnsi="仿宋_GB2312" w:cs="仿宋_GB2312" w:eastAsia="仿宋_GB2312"/>
                      <w:sz w:val="18"/>
                      <w:color w:val="000000"/>
                    </w:rPr>
                    <w:t>RAID 0/1/10</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、硬盘：不低于</w:t>
                  </w:r>
                  <w:r>
                    <w:rPr>
                      <w:rFonts w:ascii="仿宋_GB2312" w:hAnsi="仿宋_GB2312" w:cs="仿宋_GB2312" w:eastAsia="仿宋_GB2312"/>
                      <w:sz w:val="18"/>
                      <w:color w:val="000000"/>
                    </w:rPr>
                    <w:t>2</w:t>
                  </w:r>
                  <w:r>
                    <w:rPr>
                      <w:rFonts w:ascii="仿宋_GB2312" w:hAnsi="仿宋_GB2312" w:cs="仿宋_GB2312" w:eastAsia="仿宋_GB2312"/>
                      <w:sz w:val="18"/>
                      <w:color w:val="000000"/>
                    </w:rPr>
                    <w:t>个</w:t>
                  </w:r>
                  <w:r>
                    <w:rPr>
                      <w:rFonts w:ascii="仿宋_GB2312" w:hAnsi="仿宋_GB2312" w:cs="仿宋_GB2312" w:eastAsia="仿宋_GB2312"/>
                      <w:sz w:val="18"/>
                      <w:color w:val="000000"/>
                    </w:rPr>
                    <w:t>480G SSD</w:t>
                  </w:r>
                  <w:r>
                    <w:rPr>
                      <w:rFonts w:ascii="仿宋_GB2312" w:hAnsi="仿宋_GB2312" w:cs="仿宋_GB2312" w:eastAsia="仿宋_GB2312"/>
                      <w:sz w:val="18"/>
                      <w:color w:val="000000"/>
                    </w:rPr>
                    <w:t>硬盘，</w:t>
                  </w:r>
                  <w:r>
                    <w:rPr>
                      <w:rFonts w:ascii="仿宋_GB2312" w:hAnsi="仿宋_GB2312" w:cs="仿宋_GB2312" w:eastAsia="仿宋_GB2312"/>
                      <w:sz w:val="18"/>
                      <w:color w:val="000000"/>
                    </w:rPr>
                    <w:t>2</w:t>
                  </w:r>
                  <w:r>
                    <w:rPr>
                      <w:rFonts w:ascii="仿宋_GB2312" w:hAnsi="仿宋_GB2312" w:cs="仿宋_GB2312" w:eastAsia="仿宋_GB2312"/>
                      <w:sz w:val="18"/>
                      <w:color w:val="000000"/>
                    </w:rPr>
                    <w:t>个</w:t>
                  </w:r>
                  <w:r>
                    <w:rPr>
                      <w:rFonts w:ascii="仿宋_GB2312" w:hAnsi="仿宋_GB2312" w:cs="仿宋_GB2312" w:eastAsia="仿宋_GB2312"/>
                      <w:sz w:val="18"/>
                      <w:color w:val="000000"/>
                    </w:rPr>
                    <w:t>4T SATA</w:t>
                  </w:r>
                  <w:r>
                    <w:rPr>
                      <w:rFonts w:ascii="仿宋_GB2312" w:hAnsi="仿宋_GB2312" w:cs="仿宋_GB2312" w:eastAsia="仿宋_GB2312"/>
                      <w:sz w:val="18"/>
                      <w:color w:val="000000"/>
                    </w:rPr>
                    <w:t>硬盘。支持热插拔</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、网口：≥</w:t>
                  </w:r>
                  <w:r>
                    <w:rPr>
                      <w:rFonts w:ascii="仿宋_GB2312" w:hAnsi="仿宋_GB2312" w:cs="仿宋_GB2312" w:eastAsia="仿宋_GB2312"/>
                      <w:sz w:val="18"/>
                      <w:color w:val="000000"/>
                    </w:rPr>
                    <w:t>4</w:t>
                  </w:r>
                  <w:r>
                    <w:rPr>
                      <w:rFonts w:ascii="仿宋_GB2312" w:hAnsi="仿宋_GB2312" w:cs="仿宋_GB2312" w:eastAsia="仿宋_GB2312"/>
                      <w:sz w:val="18"/>
                      <w:color w:val="000000"/>
                    </w:rPr>
                    <w:t>个千兆自适应网络接口，≥</w:t>
                  </w:r>
                  <w:r>
                    <w:rPr>
                      <w:rFonts w:ascii="仿宋_GB2312" w:hAnsi="仿宋_GB2312" w:cs="仿宋_GB2312" w:eastAsia="仿宋_GB2312"/>
                      <w:sz w:val="18"/>
                      <w:color w:val="000000"/>
                    </w:rPr>
                    <w:t>4</w:t>
                  </w:r>
                  <w:r>
                    <w:rPr>
                      <w:rFonts w:ascii="仿宋_GB2312" w:hAnsi="仿宋_GB2312" w:cs="仿宋_GB2312" w:eastAsia="仿宋_GB2312"/>
                      <w:sz w:val="18"/>
                      <w:color w:val="000000"/>
                    </w:rPr>
                    <w:t>个万兆光口。</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、电源：热拔插冗余电源</w:t>
                  </w:r>
                  <w:r>
                    <w:br/>
                  </w:r>
                  <w:r>
                    <w:rPr>
                      <w:rFonts w:ascii="仿宋_GB2312" w:hAnsi="仿宋_GB2312" w:cs="仿宋_GB2312" w:eastAsia="仿宋_GB2312"/>
                      <w:sz w:val="18"/>
                      <w:color w:val="000000"/>
                    </w:rPr>
                    <w:t>二、设备功能要求：</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、可对接各地市平台，满足日增不小于</w:t>
                  </w:r>
                  <w:r>
                    <w:rPr>
                      <w:rFonts w:ascii="仿宋_GB2312" w:hAnsi="仿宋_GB2312" w:cs="仿宋_GB2312" w:eastAsia="仿宋_GB2312"/>
                      <w:sz w:val="18"/>
                      <w:color w:val="000000"/>
                    </w:rPr>
                    <w:t>2000</w:t>
                  </w:r>
                  <w:r>
                    <w:rPr>
                      <w:rFonts w:ascii="仿宋_GB2312" w:hAnsi="仿宋_GB2312" w:cs="仿宋_GB2312" w:eastAsia="仿宋_GB2312"/>
                      <w:sz w:val="18"/>
                      <w:color w:val="000000"/>
                    </w:rPr>
                    <w:t>万数据的接入。</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、车辆属性查询：支持根据过车类型、车辆颜色、车辆类型等属性查询匹配的过车数据。</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、车辆数据统计：支持按卡口、时间、归属地、车型、品牌、区域分析某个卡口某段时间的车流量数据，并可以以日报表，月报表的形式提供分析结果。</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、支持查询某一车辆某一时间段的轨迹信息或者多辆车不同时间段的轨迹信息，分析结果地图展示，并可进行轨迹回放。</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2</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数据管理一体机</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一、硬件规格：</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、处理器：配置不少于</w:t>
                  </w:r>
                  <w:r>
                    <w:rPr>
                      <w:rFonts w:ascii="仿宋_GB2312" w:hAnsi="仿宋_GB2312" w:cs="仿宋_GB2312" w:eastAsia="仿宋_GB2312"/>
                      <w:sz w:val="18"/>
                      <w:color w:val="000000"/>
                    </w:rPr>
                    <w:t>2</w:t>
                  </w:r>
                  <w:r>
                    <w:rPr>
                      <w:rFonts w:ascii="仿宋_GB2312" w:hAnsi="仿宋_GB2312" w:cs="仿宋_GB2312" w:eastAsia="仿宋_GB2312"/>
                      <w:sz w:val="18"/>
                      <w:color w:val="000000"/>
                    </w:rPr>
                    <w:t>颗国产化处理器，单颗核数≥</w:t>
                  </w:r>
                  <w:r>
                    <w:rPr>
                      <w:rFonts w:ascii="仿宋_GB2312" w:hAnsi="仿宋_GB2312" w:cs="仿宋_GB2312" w:eastAsia="仿宋_GB2312"/>
                      <w:sz w:val="18"/>
                      <w:color w:val="000000"/>
                    </w:rPr>
                    <w:t>32</w:t>
                  </w:r>
                  <w:r>
                    <w:rPr>
                      <w:rFonts w:ascii="仿宋_GB2312" w:hAnsi="仿宋_GB2312" w:cs="仿宋_GB2312" w:eastAsia="仿宋_GB2312"/>
                      <w:sz w:val="18"/>
                      <w:color w:val="000000"/>
                    </w:rPr>
                    <w:t>核，主频≥</w:t>
                  </w:r>
                  <w:r>
                    <w:rPr>
                      <w:rFonts w:ascii="仿宋_GB2312" w:hAnsi="仿宋_GB2312" w:cs="仿宋_GB2312" w:eastAsia="仿宋_GB2312"/>
                      <w:sz w:val="18"/>
                      <w:color w:val="000000"/>
                    </w:rPr>
                    <w:t>2.6 GHz</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 xml:space="preserve">256G </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、硬盘：不低于</w:t>
                  </w:r>
                  <w:r>
                    <w:rPr>
                      <w:rFonts w:ascii="仿宋_GB2312" w:hAnsi="仿宋_GB2312" w:cs="仿宋_GB2312" w:eastAsia="仿宋_GB2312"/>
                      <w:sz w:val="18"/>
                      <w:color w:val="000000"/>
                    </w:rPr>
                    <w:t>600G SAS*2+480G SSD*1+960G SSD*6+8T SATA*6</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、阵列卡：配置</w:t>
                  </w:r>
                  <w:r>
                    <w:rPr>
                      <w:rFonts w:ascii="仿宋_GB2312" w:hAnsi="仿宋_GB2312" w:cs="仿宋_GB2312" w:eastAsia="仿宋_GB2312"/>
                      <w:sz w:val="18"/>
                      <w:color w:val="000000"/>
                    </w:rPr>
                    <w:t>RAID</w:t>
                  </w:r>
                  <w:r>
                    <w:rPr>
                      <w:rFonts w:ascii="仿宋_GB2312" w:hAnsi="仿宋_GB2312" w:cs="仿宋_GB2312" w:eastAsia="仿宋_GB2312"/>
                      <w:sz w:val="18"/>
                      <w:color w:val="000000"/>
                    </w:rPr>
                    <w:t>卡（带电池）</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、网口：≥</w:t>
                  </w:r>
                  <w:r>
                    <w:rPr>
                      <w:rFonts w:ascii="仿宋_GB2312" w:hAnsi="仿宋_GB2312" w:cs="仿宋_GB2312" w:eastAsia="仿宋_GB2312"/>
                      <w:sz w:val="18"/>
                      <w:color w:val="000000"/>
                    </w:rPr>
                    <w:t>2</w:t>
                  </w:r>
                  <w:r>
                    <w:rPr>
                      <w:rFonts w:ascii="仿宋_GB2312" w:hAnsi="仿宋_GB2312" w:cs="仿宋_GB2312" w:eastAsia="仿宋_GB2312"/>
                      <w:sz w:val="18"/>
                      <w:color w:val="000000"/>
                    </w:rPr>
                    <w:t>个千兆电口，≥</w:t>
                  </w:r>
                  <w:r>
                    <w:rPr>
                      <w:rFonts w:ascii="仿宋_GB2312" w:hAnsi="仿宋_GB2312" w:cs="仿宋_GB2312" w:eastAsia="仿宋_GB2312"/>
                      <w:sz w:val="18"/>
                      <w:color w:val="000000"/>
                    </w:rPr>
                    <w:t>2</w:t>
                  </w:r>
                  <w:r>
                    <w:rPr>
                      <w:rFonts w:ascii="仿宋_GB2312" w:hAnsi="仿宋_GB2312" w:cs="仿宋_GB2312" w:eastAsia="仿宋_GB2312"/>
                      <w:sz w:val="18"/>
                      <w:color w:val="000000"/>
                    </w:rPr>
                    <w:t>个万兆光口</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、电源：冗余电源</w:t>
                  </w:r>
                  <w:r>
                    <w:br/>
                  </w:r>
                  <w:r>
                    <w:rPr>
                      <w:rFonts w:ascii="仿宋_GB2312" w:hAnsi="仿宋_GB2312" w:cs="仿宋_GB2312" w:eastAsia="仿宋_GB2312"/>
                      <w:sz w:val="18"/>
                      <w:color w:val="000000"/>
                    </w:rPr>
                    <w:t>二、应用功能：</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、部署大数据基础平台：提供消息发布订阅系统、分布式文件系统、资源调度、数据库、全文检索、内存计算框架、分布式协调、分布式流计算引擎、工作流、列式存储系统等大数据基础组件；</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、部署大数据运维管理平台：具备自动安装部署、集群管理、服务管理、日志审计、租户管理、用户管理、系统配置等运维管理功能；</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、精细化监控和告警：支持查看集群监控信息概览；支持查看具体单个组件的监控信息；支持查看磁盘和网络专题监控信息；支持查看集群的实时告警信息和历史告警信息，告警信息支持告警级别；</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、大数据集群支持横向扩展：可同时扩展计算量和存储量，集群支持在线扩容、减容；</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、可视化的服务组件控制：服务启</w:t>
                  </w:r>
                  <w:r>
                    <w:rPr>
                      <w:rFonts w:ascii="仿宋_GB2312" w:hAnsi="仿宋_GB2312" w:cs="仿宋_GB2312" w:eastAsia="仿宋_GB2312"/>
                      <w:sz w:val="18"/>
                      <w:color w:val="000000"/>
                    </w:rPr>
                    <w:t>/</w:t>
                  </w:r>
                  <w:r>
                    <w:rPr>
                      <w:rFonts w:ascii="仿宋_GB2312" w:hAnsi="仿宋_GB2312" w:cs="仿宋_GB2312" w:eastAsia="仿宋_GB2312"/>
                      <w:sz w:val="18"/>
                      <w:color w:val="000000"/>
                    </w:rPr>
                    <w:t>停、平滑升级，支持升级失败服务回滚；</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、支持通用流处理引擎：提供企业级流处理引擎，支持流计算应用的创建、监控、管理；</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、数据存储支持多副本写入：支持多副本，具有分布式容错机制，支持自动副本重建；</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、支持名单库管理、名单管理、名单标签管理等功能。</w:t>
                  </w:r>
                  <w:r>
                    <w:br/>
                  </w:r>
                  <w:r>
                    <w:rPr>
                      <w:rFonts w:ascii="仿宋_GB2312" w:hAnsi="仿宋_GB2312" w:cs="仿宋_GB2312" w:eastAsia="仿宋_GB2312"/>
                      <w:sz w:val="18"/>
                      <w:color w:val="000000"/>
                    </w:rPr>
                    <w:t>9</w:t>
                  </w:r>
                  <w:r>
                    <w:rPr>
                      <w:rFonts w:ascii="仿宋_GB2312" w:hAnsi="仿宋_GB2312" w:cs="仿宋_GB2312" w:eastAsia="仿宋_GB2312"/>
                      <w:sz w:val="18"/>
                      <w:color w:val="000000"/>
                    </w:rPr>
                    <w:t>、支持统一建表服务。支持原始数据、计算结果等数据表统一创建。</w:t>
                  </w:r>
                  <w:r>
                    <w:br/>
                  </w:r>
                  <w:r>
                    <w:rPr>
                      <w:rFonts w:ascii="仿宋_GB2312" w:hAnsi="仿宋_GB2312" w:cs="仿宋_GB2312" w:eastAsia="仿宋_GB2312"/>
                      <w:sz w:val="18"/>
                      <w:color w:val="000000"/>
                    </w:rPr>
                    <w:t>10</w:t>
                  </w:r>
                  <w:r>
                    <w:rPr>
                      <w:rFonts w:ascii="仿宋_GB2312" w:hAnsi="仿宋_GB2312" w:cs="仿宋_GB2312" w:eastAsia="仿宋_GB2312"/>
                      <w:sz w:val="18"/>
                      <w:color w:val="000000"/>
                    </w:rPr>
                    <w:t>、支持数据生命周期管理。支持用户自定义数据的存储周期，自动按照配置信息保留指定时间范围内的数据。</w:t>
                  </w:r>
                  <w:r>
                    <w:br/>
                  </w:r>
                  <w:r>
                    <w:rPr>
                      <w:rFonts w:ascii="仿宋_GB2312" w:hAnsi="仿宋_GB2312" w:cs="仿宋_GB2312" w:eastAsia="仿宋_GB2312"/>
                      <w:sz w:val="18"/>
                      <w:color w:val="000000"/>
                    </w:rPr>
                    <w:t>11</w:t>
                  </w:r>
                  <w:r>
                    <w:rPr>
                      <w:rFonts w:ascii="仿宋_GB2312" w:hAnsi="仿宋_GB2312" w:cs="仿宋_GB2312" w:eastAsia="仿宋_GB2312"/>
                      <w:sz w:val="18"/>
                      <w:color w:val="000000"/>
                    </w:rPr>
                    <w:t>、支持感知数据服务总览。支持数据总量统计，支持查看数据接入趋势。</w:t>
                  </w:r>
                  <w:r>
                    <w:br/>
                  </w:r>
                  <w:r>
                    <w:rPr>
                      <w:rFonts w:ascii="仿宋_GB2312" w:hAnsi="仿宋_GB2312" w:cs="仿宋_GB2312" w:eastAsia="仿宋_GB2312"/>
                      <w:sz w:val="18"/>
                      <w:color w:val="000000"/>
                    </w:rPr>
                    <w:t>12</w:t>
                  </w:r>
                  <w:r>
                    <w:rPr>
                      <w:rFonts w:ascii="仿宋_GB2312" w:hAnsi="仿宋_GB2312" w:cs="仿宋_GB2312" w:eastAsia="仿宋_GB2312"/>
                      <w:sz w:val="18"/>
                      <w:color w:val="000000"/>
                    </w:rPr>
                    <w:t>、支持人脸特征等感知数据接入、存储、生命周期管理和查询统计服务。支持人员档案数据服务。支持有抓拍实名档案和陌生人档案总数统计、按设备分组统计、按时间分组统计、近</w:t>
                  </w:r>
                  <w:r>
                    <w:rPr>
                      <w:rFonts w:ascii="仿宋_GB2312" w:hAnsi="仿宋_GB2312" w:cs="仿宋_GB2312" w:eastAsia="仿宋_GB2312"/>
                      <w:sz w:val="18"/>
                      <w:color w:val="000000"/>
                    </w:rPr>
                    <w:t>N</w:t>
                  </w:r>
                  <w:r>
                    <w:rPr>
                      <w:rFonts w:ascii="仿宋_GB2312" w:hAnsi="仿宋_GB2312" w:cs="仿宋_GB2312" w:eastAsia="仿宋_GB2312"/>
                      <w:sz w:val="18"/>
                      <w:color w:val="000000"/>
                    </w:rPr>
                    <w:t>天最早</w:t>
                  </w:r>
                  <w:r>
                    <w:rPr>
                      <w:rFonts w:ascii="仿宋_GB2312" w:hAnsi="仿宋_GB2312" w:cs="仿宋_GB2312" w:eastAsia="仿宋_GB2312"/>
                      <w:sz w:val="18"/>
                      <w:color w:val="000000"/>
                    </w:rPr>
                    <w:t>/</w:t>
                  </w:r>
                  <w:r>
                    <w:rPr>
                      <w:rFonts w:ascii="仿宋_GB2312" w:hAnsi="仿宋_GB2312" w:cs="仿宋_GB2312" w:eastAsia="仿宋_GB2312"/>
                      <w:sz w:val="18"/>
                      <w:color w:val="000000"/>
                    </w:rPr>
                    <w:t>最晚出没设备查询、人车关联统计等服务接口。支持人像数据查询。支持按照抓拍时间、地点范围、人像属性信息查询人脸数据；支持按照抓拍时间、地点范围、人体属性信息查询人体数据。</w:t>
                  </w:r>
                  <w:r>
                    <w:br/>
                  </w:r>
                  <w:r>
                    <w:rPr>
                      <w:rFonts w:ascii="仿宋_GB2312" w:hAnsi="仿宋_GB2312" w:cs="仿宋_GB2312" w:eastAsia="仿宋_GB2312"/>
                      <w:sz w:val="18"/>
                      <w:color w:val="000000"/>
                    </w:rPr>
                    <w:t>13</w:t>
                  </w:r>
                  <w:r>
                    <w:rPr>
                      <w:rFonts w:ascii="仿宋_GB2312" w:hAnsi="仿宋_GB2312" w:cs="仿宋_GB2312" w:eastAsia="仿宋_GB2312"/>
                      <w:sz w:val="18"/>
                      <w:color w:val="000000"/>
                    </w:rPr>
                    <w:t>、支持车辆抓拍、区间测速、车辆违法数据接入、存储、生命周期管理和查询统计服务。支持供车辆档案数据服务。支持车辆档案多维度统计、抓拍时段统计、抓拍点位统计、驾乘人员统计、车辆档案生命周期变化等服务接口。支持车辆数据查询。支持按照抓拍时间、地点范围、车辆属性信息查询车辆数据；支持按照抓拍时间、地点范围、车辆属性、违法类型查询车辆违法数据。</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视图云存储一体机</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一、</w:t>
                  </w:r>
                  <w:r>
                    <w:rPr>
                      <w:rFonts w:ascii="仿宋_GB2312" w:hAnsi="仿宋_GB2312" w:cs="仿宋_GB2312" w:eastAsia="仿宋_GB2312"/>
                      <w:sz w:val="18"/>
                      <w:color w:val="000000"/>
                    </w:rPr>
                    <w:t>硬件规格：</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、处理器：不低于</w:t>
                  </w:r>
                  <w:r>
                    <w:rPr>
                      <w:rFonts w:ascii="仿宋_GB2312" w:hAnsi="仿宋_GB2312" w:cs="仿宋_GB2312" w:eastAsia="仿宋_GB2312"/>
                      <w:sz w:val="18"/>
                      <w:color w:val="000000"/>
                    </w:rPr>
                    <w:t>2</w:t>
                  </w:r>
                  <w:r>
                    <w:rPr>
                      <w:rFonts w:ascii="仿宋_GB2312" w:hAnsi="仿宋_GB2312" w:cs="仿宋_GB2312" w:eastAsia="仿宋_GB2312"/>
                      <w:sz w:val="18"/>
                      <w:color w:val="000000"/>
                    </w:rPr>
                    <w:t>颗处理器</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、系统盘：≥</w:t>
                  </w:r>
                  <w:r>
                    <w:rPr>
                      <w:rFonts w:ascii="仿宋_GB2312" w:hAnsi="仿宋_GB2312" w:cs="仿宋_GB2312" w:eastAsia="仿宋_GB2312"/>
                      <w:sz w:val="18"/>
                      <w:color w:val="000000"/>
                    </w:rPr>
                    <w:t>240GB SSD</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、数据盘：≥</w:t>
                  </w:r>
                  <w:r>
                    <w:rPr>
                      <w:rFonts w:ascii="仿宋_GB2312" w:hAnsi="仿宋_GB2312" w:cs="仿宋_GB2312" w:eastAsia="仿宋_GB2312"/>
                      <w:sz w:val="18"/>
                      <w:color w:val="000000"/>
                    </w:rPr>
                    <w:t>2</w:t>
                  </w:r>
                  <w:r>
                    <w:rPr>
                      <w:rFonts w:ascii="仿宋_GB2312" w:hAnsi="仿宋_GB2312" w:cs="仿宋_GB2312" w:eastAsia="仿宋_GB2312"/>
                      <w:sz w:val="18"/>
                      <w:color w:val="000000"/>
                    </w:rPr>
                    <w:t>个</w:t>
                  </w:r>
                  <w:r>
                    <w:rPr>
                      <w:rFonts w:ascii="仿宋_GB2312" w:hAnsi="仿宋_GB2312" w:cs="仿宋_GB2312" w:eastAsia="仿宋_GB2312"/>
                      <w:sz w:val="18"/>
                      <w:color w:val="000000"/>
                    </w:rPr>
                    <w:t>960GB SSD</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、系统内存：≥</w:t>
                  </w:r>
                  <w:r>
                    <w:rPr>
                      <w:rFonts w:ascii="仿宋_GB2312" w:hAnsi="仿宋_GB2312" w:cs="仿宋_GB2312" w:eastAsia="仿宋_GB2312"/>
                      <w:sz w:val="18"/>
                      <w:color w:val="000000"/>
                    </w:rPr>
                    <w:t>32GB</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、磁盘接口：≥</w:t>
                  </w:r>
                  <w:r>
                    <w:rPr>
                      <w:rFonts w:ascii="仿宋_GB2312" w:hAnsi="仿宋_GB2312" w:cs="仿宋_GB2312" w:eastAsia="仿宋_GB2312"/>
                      <w:sz w:val="18"/>
                      <w:color w:val="000000"/>
                    </w:rPr>
                    <w:t>48</w:t>
                  </w:r>
                  <w:r>
                    <w:rPr>
                      <w:rFonts w:ascii="仿宋_GB2312" w:hAnsi="仿宋_GB2312" w:cs="仿宋_GB2312" w:eastAsia="仿宋_GB2312"/>
                      <w:sz w:val="18"/>
                      <w:color w:val="000000"/>
                    </w:rPr>
                    <w:t>个</w:t>
                  </w:r>
                  <w:r>
                    <w:rPr>
                      <w:rFonts w:ascii="仿宋_GB2312" w:hAnsi="仿宋_GB2312" w:cs="仿宋_GB2312" w:eastAsia="仿宋_GB2312"/>
                      <w:sz w:val="18"/>
                      <w:color w:val="000000"/>
                    </w:rPr>
                    <w:t>SATA</w:t>
                  </w:r>
                  <w:r>
                    <w:rPr>
                      <w:rFonts w:ascii="仿宋_GB2312" w:hAnsi="仿宋_GB2312" w:cs="仿宋_GB2312" w:eastAsia="仿宋_GB2312"/>
                      <w:sz w:val="18"/>
                      <w:color w:val="000000"/>
                    </w:rPr>
                    <w:t>接口，支持硬盘热插拔</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、网络接口：≥</w:t>
                  </w:r>
                  <w:r>
                    <w:rPr>
                      <w:rFonts w:ascii="仿宋_GB2312" w:hAnsi="仿宋_GB2312" w:cs="仿宋_GB2312" w:eastAsia="仿宋_GB2312"/>
                      <w:sz w:val="18"/>
                      <w:color w:val="000000"/>
                    </w:rPr>
                    <w:t>6</w:t>
                  </w:r>
                  <w:r>
                    <w:rPr>
                      <w:rFonts w:ascii="仿宋_GB2312" w:hAnsi="仿宋_GB2312" w:cs="仿宋_GB2312" w:eastAsia="仿宋_GB2312"/>
                      <w:sz w:val="18"/>
                      <w:color w:val="000000"/>
                    </w:rPr>
                    <w:t xml:space="preserve">个千兆数据网口， </w:t>
                  </w:r>
                  <w:r>
                    <w:rPr>
                      <w:rFonts w:ascii="仿宋_GB2312" w:hAnsi="仿宋_GB2312" w:cs="仿宋_GB2312" w:eastAsia="仿宋_GB2312"/>
                      <w:sz w:val="18"/>
                      <w:color w:val="000000"/>
                    </w:rPr>
                    <w:t>1</w:t>
                  </w:r>
                  <w:r>
                    <w:rPr>
                      <w:rFonts w:ascii="仿宋_GB2312" w:hAnsi="仿宋_GB2312" w:cs="仿宋_GB2312" w:eastAsia="仿宋_GB2312"/>
                      <w:sz w:val="18"/>
                      <w:color w:val="000000"/>
                    </w:rPr>
                    <w:t>个千兆管理口</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、电源：冗余电源</w:t>
                  </w:r>
                  <w:r>
                    <w:br/>
                  </w:r>
                  <w:r>
                    <w:rPr>
                      <w:rFonts w:ascii="仿宋_GB2312" w:hAnsi="仿宋_GB2312" w:cs="仿宋_GB2312" w:eastAsia="仿宋_GB2312"/>
                      <w:sz w:val="18"/>
                      <w:color w:val="000000"/>
                    </w:rPr>
                    <w:t>二、</w:t>
                  </w:r>
                  <w:r>
                    <w:rPr>
                      <w:rFonts w:ascii="仿宋_GB2312" w:hAnsi="仿宋_GB2312" w:cs="仿宋_GB2312" w:eastAsia="仿宋_GB2312"/>
                      <w:sz w:val="18"/>
                      <w:color w:val="000000"/>
                    </w:rPr>
                    <w:t>设备功能要求：</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、包含视图云存储管理软件</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w:t>
                  </w:r>
                  <w:r>
                    <w:rPr>
                      <w:rFonts w:ascii="仿宋_GB2312" w:hAnsi="仿宋_GB2312" w:cs="仿宋_GB2312" w:eastAsia="仿宋_GB2312"/>
                      <w:sz w:val="21"/>
                      <w:b/>
                    </w:rPr>
                    <w:t>▲</w:t>
                  </w:r>
                  <w:r>
                    <w:rPr>
                      <w:rFonts w:ascii="仿宋_GB2312" w:hAnsi="仿宋_GB2312" w:cs="仿宋_GB2312" w:eastAsia="仿宋_GB2312"/>
                      <w:sz w:val="18"/>
                      <w:color w:val="000000"/>
                    </w:rPr>
                    <w:t>存储系统支持全对称架构，无独立的元数据管理节点。集群支持在线无缝扩容，系统性能线性增长。集群（</w:t>
                  </w:r>
                  <w:r>
                    <w:rPr>
                      <w:rFonts w:ascii="仿宋_GB2312" w:hAnsi="仿宋_GB2312" w:cs="仿宋_GB2312" w:eastAsia="仿宋_GB2312"/>
                      <w:sz w:val="18"/>
                      <w:color w:val="000000"/>
                    </w:rPr>
                    <w:t>3</w:t>
                  </w:r>
                  <w:r>
                    <w:rPr>
                      <w:rFonts w:ascii="仿宋_GB2312" w:hAnsi="仿宋_GB2312" w:cs="仿宋_GB2312" w:eastAsia="仿宋_GB2312"/>
                      <w:sz w:val="18"/>
                      <w:color w:val="000000"/>
                    </w:rPr>
                    <w:t>台及以上）任意节点宕机仅剩</w:t>
                  </w:r>
                  <w:r>
                    <w:rPr>
                      <w:rFonts w:ascii="仿宋_GB2312" w:hAnsi="仿宋_GB2312" w:cs="仿宋_GB2312" w:eastAsia="仿宋_GB2312"/>
                      <w:sz w:val="18"/>
                      <w:color w:val="000000"/>
                    </w:rPr>
                    <w:t>1</w:t>
                  </w:r>
                  <w:r>
                    <w:rPr>
                      <w:rFonts w:ascii="仿宋_GB2312" w:hAnsi="仿宋_GB2312" w:cs="仿宋_GB2312" w:eastAsia="仿宋_GB2312"/>
                      <w:sz w:val="18"/>
                      <w:color w:val="000000"/>
                    </w:rPr>
                    <w:t>台时，系统通过唯一入口</w:t>
                  </w:r>
                  <w:r>
                    <w:rPr>
                      <w:rFonts w:ascii="仿宋_GB2312" w:hAnsi="仿宋_GB2312" w:cs="仿宋_GB2312" w:eastAsia="仿宋_GB2312"/>
                      <w:sz w:val="18"/>
                      <w:color w:val="000000"/>
                    </w:rPr>
                    <w:t>IP</w:t>
                  </w:r>
                  <w:r>
                    <w:rPr>
                      <w:rFonts w:ascii="仿宋_GB2312" w:hAnsi="仿宋_GB2312" w:cs="仿宋_GB2312" w:eastAsia="仿宋_GB2312"/>
                      <w:sz w:val="18"/>
                      <w:color w:val="000000"/>
                    </w:rPr>
                    <w:t>可访问管理平台，以及数据存储服务</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、支持存储实时视频、视频片段、图片及伴生的智能结构化数据，支持根据结构化数据的类型检索视频，检索条件包括前端点位</w:t>
                  </w:r>
                  <w:r>
                    <w:rPr>
                      <w:rFonts w:ascii="仿宋_GB2312" w:hAnsi="仿宋_GB2312" w:cs="仿宋_GB2312" w:eastAsia="仿宋_GB2312"/>
                      <w:sz w:val="18"/>
                      <w:color w:val="000000"/>
                    </w:rPr>
                    <w:t>ID</w:t>
                  </w:r>
                  <w:r>
                    <w:rPr>
                      <w:rFonts w:ascii="仿宋_GB2312" w:hAnsi="仿宋_GB2312" w:cs="仿宋_GB2312" w:eastAsia="仿宋_GB2312"/>
                      <w:sz w:val="18"/>
                      <w:color w:val="000000"/>
                    </w:rPr>
                    <w:t>、时间段、视频目标类型（包含人、机动车、非机动车等）</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21"/>
                      <w:b/>
                    </w:rPr>
                    <w:t>▲</w:t>
                  </w:r>
                  <w:r>
                    <w:rPr>
                      <w:rFonts w:ascii="仿宋_GB2312" w:hAnsi="仿宋_GB2312" w:cs="仿宋_GB2312" w:eastAsia="仿宋_GB2312"/>
                      <w:sz w:val="18"/>
                      <w:color w:val="000000"/>
                    </w:rPr>
                    <w:t>云存储系统同时支持按照资源池为单位进行点位的生命周期批量管理策略和单独对每个点位通道设置生命周期管理策略，支持两种策略之间互相切换，支持周期策略调整后历史数据也即时生效</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系统支持手动、自动对智能事件关联的多个录像片段设置录像标签。支持标签与其关联的录像片段同生命周期管理；支持通过按标签内容查询、回放、下载录像片段数据；支持对标签关联的录像片段进行锁定、备份</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、支持图形化页面对图片数据进行处理，包括图片预览、压缩、裁剪、旋转、缩放、格式转换、马赛克、归一化及打文字水印，并支持通过图形化页面下载处理成功的图片数据</w:t>
                  </w:r>
                  <w:r>
                    <w:br/>
                  </w:r>
                  <w:r>
                    <w:rPr>
                      <w:rFonts w:ascii="仿宋_GB2312" w:hAnsi="仿宋_GB2312" w:cs="仿宋_GB2312" w:eastAsia="仿宋_GB2312"/>
                      <w:sz w:val="18"/>
                      <w:color w:val="000000"/>
                    </w:rPr>
                    <w:t>7</w:t>
                  </w:r>
                  <w:r>
                    <w:rPr>
                      <w:rFonts w:ascii="仿宋_GB2312" w:hAnsi="仿宋_GB2312" w:cs="仿宋_GB2312" w:eastAsia="仿宋_GB2312"/>
                      <w:sz w:val="18"/>
                      <w:color w:val="000000"/>
                    </w:rPr>
                    <w:t>、系统同时提供多副本、</w:t>
                  </w:r>
                  <w:r>
                    <w:rPr>
                      <w:rFonts w:ascii="仿宋_GB2312" w:hAnsi="仿宋_GB2312" w:cs="仿宋_GB2312" w:eastAsia="仿宋_GB2312"/>
                      <w:sz w:val="18"/>
                      <w:color w:val="000000"/>
                    </w:rPr>
                    <w:t>Erasure Code</w:t>
                  </w:r>
                  <w:r>
                    <w:rPr>
                      <w:rFonts w:ascii="仿宋_GB2312" w:hAnsi="仿宋_GB2312" w:cs="仿宋_GB2312" w:eastAsia="仿宋_GB2312"/>
                      <w:sz w:val="18"/>
                      <w:color w:val="000000"/>
                    </w:rPr>
                    <w:t>数据保护机制，其中</w:t>
                  </w:r>
                  <w:r>
                    <w:rPr>
                      <w:rFonts w:ascii="仿宋_GB2312" w:hAnsi="仿宋_GB2312" w:cs="仿宋_GB2312" w:eastAsia="仿宋_GB2312"/>
                      <w:sz w:val="18"/>
                      <w:color w:val="000000"/>
                    </w:rPr>
                    <w:t>Erasure Code</w:t>
                  </w:r>
                  <w:r>
                    <w:rPr>
                      <w:rFonts w:ascii="仿宋_GB2312" w:hAnsi="仿宋_GB2312" w:cs="仿宋_GB2312" w:eastAsia="仿宋_GB2312"/>
                      <w:sz w:val="18"/>
                      <w:color w:val="000000"/>
                    </w:rPr>
                    <w:t>安全级别可支持设置</w:t>
                  </w:r>
                  <w:r>
                    <w:rPr>
                      <w:rFonts w:ascii="仿宋_GB2312" w:hAnsi="仿宋_GB2312" w:cs="仿宋_GB2312" w:eastAsia="仿宋_GB2312"/>
                      <w:sz w:val="18"/>
                      <w:color w:val="000000"/>
                    </w:rPr>
                    <w:t>44+4</w:t>
                  </w:r>
                  <w:r>
                    <w:rPr>
                      <w:rFonts w:ascii="仿宋_GB2312" w:hAnsi="仿宋_GB2312" w:cs="仿宋_GB2312" w:eastAsia="仿宋_GB2312"/>
                      <w:sz w:val="18"/>
                      <w:color w:val="000000"/>
                    </w:rPr>
                    <w:t>，安全级别可在线动态修改，系统根据当前节点状态使用相应的容错算法。支持数据冗余</w:t>
                  </w:r>
                  <w:r>
                    <w:rPr>
                      <w:rFonts w:ascii="仿宋_GB2312" w:hAnsi="仿宋_GB2312" w:cs="仿宋_GB2312" w:eastAsia="仿宋_GB2312"/>
                      <w:sz w:val="18"/>
                      <w:color w:val="000000"/>
                    </w:rPr>
                    <w:t>N+M</w:t>
                  </w:r>
                  <w:r>
                    <w:rPr>
                      <w:rFonts w:ascii="仿宋_GB2312" w:hAnsi="仿宋_GB2312" w:cs="仿宋_GB2312" w:eastAsia="仿宋_GB2312"/>
                      <w:sz w:val="18"/>
                      <w:color w:val="000000"/>
                    </w:rPr>
                    <w:t>模式下，当损坏节点数量超过</w:t>
                  </w:r>
                  <w:r>
                    <w:rPr>
                      <w:rFonts w:ascii="仿宋_GB2312" w:hAnsi="仿宋_GB2312" w:cs="仿宋_GB2312" w:eastAsia="仿宋_GB2312"/>
                      <w:sz w:val="18"/>
                      <w:color w:val="000000"/>
                    </w:rPr>
                    <w:t>M</w:t>
                  </w:r>
                  <w:r>
                    <w:rPr>
                      <w:rFonts w:ascii="仿宋_GB2312" w:hAnsi="仿宋_GB2312" w:cs="仿宋_GB2312" w:eastAsia="仿宋_GB2312"/>
                      <w:sz w:val="18"/>
                      <w:color w:val="000000"/>
                    </w:rPr>
                    <w:t>台（或数据块超过</w:t>
                  </w:r>
                  <w:r>
                    <w:rPr>
                      <w:rFonts w:ascii="仿宋_GB2312" w:hAnsi="仿宋_GB2312" w:cs="仿宋_GB2312" w:eastAsia="仿宋_GB2312"/>
                      <w:sz w:val="18"/>
                      <w:color w:val="000000"/>
                    </w:rPr>
                    <w:t>M</w:t>
                  </w:r>
                  <w:r>
                    <w:rPr>
                      <w:rFonts w:ascii="仿宋_GB2312" w:hAnsi="仿宋_GB2312" w:cs="仿宋_GB2312" w:eastAsia="仿宋_GB2312"/>
                      <w:sz w:val="18"/>
                      <w:color w:val="000000"/>
                    </w:rPr>
                    <w:t>）时，系统内的正常存储节点不少于</w:t>
                  </w:r>
                  <w:r>
                    <w:rPr>
                      <w:rFonts w:ascii="仿宋_GB2312" w:hAnsi="仿宋_GB2312" w:cs="仿宋_GB2312" w:eastAsia="仿宋_GB2312"/>
                      <w:sz w:val="18"/>
                      <w:color w:val="000000"/>
                    </w:rPr>
                    <w:t>1</w:t>
                  </w:r>
                  <w:r>
                    <w:rPr>
                      <w:rFonts w:ascii="仿宋_GB2312" w:hAnsi="仿宋_GB2312" w:cs="仿宋_GB2312" w:eastAsia="仿宋_GB2312"/>
                      <w:sz w:val="18"/>
                      <w:color w:val="000000"/>
                    </w:rPr>
                    <w:t>台，业务仍可持续写入，且存留的视频数据仍可进行回放，回放数据无马赛克。当故障存储或者硬盘上线后，损坏数据可自动恢复</w:t>
                  </w:r>
                  <w:r>
                    <w:br/>
                  </w:r>
                  <w:r>
                    <w:rPr>
                      <w:rFonts w:ascii="仿宋_GB2312" w:hAnsi="仿宋_GB2312" w:cs="仿宋_GB2312" w:eastAsia="仿宋_GB2312"/>
                      <w:sz w:val="18"/>
                      <w:color w:val="000000"/>
                    </w:rPr>
                    <w:t>8</w:t>
                  </w:r>
                  <w:r>
                    <w:rPr>
                      <w:rFonts w:ascii="仿宋_GB2312" w:hAnsi="仿宋_GB2312" w:cs="仿宋_GB2312" w:eastAsia="仿宋_GB2312"/>
                      <w:sz w:val="18"/>
                      <w:color w:val="000000"/>
                    </w:rPr>
                    <w:t>、采用分布式云架构对多区域、多套云存储系统资源进行统一接入、管理和监控告警运维</w:t>
                  </w:r>
                  <w:r>
                    <w:rPr>
                      <w:rFonts w:ascii="仿宋_GB2312" w:hAnsi="仿宋_GB2312" w:cs="仿宋_GB2312" w:eastAsia="仿宋_GB2312"/>
                      <w:sz w:val="18"/>
                      <w:color w:val="000000"/>
                    </w:rPr>
                    <w:t>(</w:t>
                  </w:r>
                  <w:r>
                    <w:rPr>
                      <w:rFonts w:ascii="仿宋_GB2312" w:hAnsi="仿宋_GB2312" w:cs="仿宋_GB2312" w:eastAsia="仿宋_GB2312"/>
                      <w:sz w:val="18"/>
                      <w:color w:val="000000"/>
                    </w:rPr>
                    <w:t>监控、远程升级、远程部署</w:t>
                  </w:r>
                  <w:r>
                    <w:rPr>
                      <w:rFonts w:ascii="仿宋_GB2312" w:hAnsi="仿宋_GB2312" w:cs="仿宋_GB2312" w:eastAsia="仿宋_GB2312"/>
                      <w:sz w:val="18"/>
                      <w:color w:val="000000"/>
                    </w:rPr>
                    <w:t>)</w:t>
                  </w:r>
                  <w:r>
                    <w:rPr>
                      <w:rFonts w:ascii="仿宋_GB2312" w:hAnsi="仿宋_GB2312" w:cs="仿宋_GB2312" w:eastAsia="仿宋_GB2312"/>
                      <w:sz w:val="18"/>
                      <w:color w:val="000000"/>
                    </w:rPr>
                    <w:t>，全局的唯一入口访问模式，统一的用户权限管控、存储资源虚拟化管理、业务管理与调度；支持云系统间视频业务和图片业务的故障容灾，系统间容灾策略包含主备、互备、一主多备模式。视频业务容灾可按前端点位设置容灾策略、回迁策略，支持对故障期间的视频数据按照策略进行自动回迁，包含指定监控点点位，指定回迁时间段，按自动回迁、手动回迁，指定回迁任务的优先级；图片业务支持按资源池设置容灾策略，自动调度到备云进行数据存储</w:t>
                  </w:r>
                  <w:r>
                    <w:br/>
                  </w:r>
                  <w:r>
                    <w:rPr>
                      <w:rFonts w:ascii="仿宋_GB2312" w:hAnsi="仿宋_GB2312" w:cs="仿宋_GB2312" w:eastAsia="仿宋_GB2312"/>
                      <w:sz w:val="18"/>
                      <w:color w:val="000000"/>
                    </w:rPr>
                    <w:t>9</w:t>
                  </w:r>
                  <w:r>
                    <w:rPr>
                      <w:rFonts w:ascii="仿宋_GB2312" w:hAnsi="仿宋_GB2312" w:cs="仿宋_GB2312" w:eastAsia="仿宋_GB2312"/>
                      <w:sz w:val="18"/>
                      <w:color w:val="000000"/>
                    </w:rPr>
                    <w:t>、系统以流直存模式进行录像、图片数据存储。系统中的实时视频流、抓拍图片无需经过任何转发服务器</w:t>
                  </w:r>
                  <w:r>
                    <w:rPr>
                      <w:rFonts w:ascii="仿宋_GB2312" w:hAnsi="仿宋_GB2312" w:cs="仿宋_GB2312" w:eastAsia="仿宋_GB2312"/>
                      <w:sz w:val="18"/>
                      <w:color w:val="000000"/>
                    </w:rPr>
                    <w:t>/</w:t>
                  </w:r>
                  <w:r>
                    <w:rPr>
                      <w:rFonts w:ascii="仿宋_GB2312" w:hAnsi="仿宋_GB2312" w:cs="仿宋_GB2312" w:eastAsia="仿宋_GB2312"/>
                      <w:sz w:val="18"/>
                      <w:color w:val="000000"/>
                    </w:rPr>
                    <w:t>虚拟机即可实现数据流直存，视频与图片数据直存后可即存即取</w:t>
                  </w:r>
                  <w:r>
                    <w:br/>
                  </w:r>
                  <w:r>
                    <w:rPr>
                      <w:rFonts w:ascii="仿宋_GB2312" w:hAnsi="仿宋_GB2312" w:cs="仿宋_GB2312" w:eastAsia="仿宋_GB2312"/>
                      <w:sz w:val="18"/>
                      <w:color w:val="000000"/>
                    </w:rPr>
                    <w:t>支持集群管理功能，包括集群单元弹性扩容、负载均衡、故障迁移等；支持集群节点生命周期管理，支持集群节点服务组建、扩展、删除</w:t>
                  </w:r>
                  <w:r>
                    <w:br/>
                  </w:r>
                  <w:r>
                    <w:rPr>
                      <w:rFonts w:ascii="仿宋_GB2312" w:hAnsi="仿宋_GB2312" w:cs="仿宋_GB2312" w:eastAsia="仿宋_GB2312"/>
                      <w:sz w:val="18"/>
                      <w:color w:val="000000"/>
                    </w:rPr>
                    <w:t>10</w:t>
                  </w:r>
                  <w:r>
                    <w:rPr>
                      <w:rFonts w:ascii="仿宋_GB2312" w:hAnsi="仿宋_GB2312" w:cs="仿宋_GB2312" w:eastAsia="仿宋_GB2312"/>
                      <w:sz w:val="18"/>
                      <w:color w:val="000000"/>
                    </w:rPr>
                    <w:t>、云系统支持虚拟化存储空间，可以按需分配，分配的存储空间支持在线扩大和缩小；系统支持资源池空间弹性伸缩，不影响读写业务；系统支持周期在线动态扩大或缩小，存储周期内的业务数据不丢失，业务不受影响；支持在线扩大或缩小存储容量时，同时调整存储周期，业务不受影响。</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3</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4</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企业级硬盘</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企业级硬盘</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12TB</w:t>
                  </w:r>
                  <w:r>
                    <w:rPr>
                      <w:rFonts w:ascii="仿宋_GB2312" w:hAnsi="仿宋_GB2312" w:cs="仿宋_GB2312" w:eastAsia="仿宋_GB2312"/>
                      <w:sz w:val="18"/>
                      <w:color w:val="000000"/>
                    </w:rPr>
                    <w:t xml:space="preserve">容量， </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7200RPM</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不低于</w:t>
                  </w:r>
                  <w:r>
                    <w:rPr>
                      <w:rFonts w:ascii="仿宋_GB2312" w:hAnsi="仿宋_GB2312" w:cs="仿宋_GB2312" w:eastAsia="仿宋_GB2312"/>
                      <w:sz w:val="18"/>
                      <w:color w:val="000000"/>
                    </w:rPr>
                    <w:t>256MB</w:t>
                  </w:r>
                  <w:r>
                    <w:rPr>
                      <w:rFonts w:ascii="仿宋_GB2312" w:hAnsi="仿宋_GB2312" w:cs="仿宋_GB2312" w:eastAsia="仿宋_GB2312"/>
                      <w:sz w:val="18"/>
                      <w:color w:val="000000"/>
                    </w:rPr>
                    <w:t xml:space="preserve">高速缓存， </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支持≥</w:t>
                  </w:r>
                  <w:r>
                    <w:rPr>
                      <w:rFonts w:ascii="仿宋_GB2312" w:hAnsi="仿宋_GB2312" w:cs="仿宋_GB2312" w:eastAsia="仿宋_GB2312"/>
                      <w:sz w:val="18"/>
                      <w:color w:val="000000"/>
                    </w:rPr>
                    <w:t>5</w:t>
                  </w:r>
                  <w:r>
                    <w:rPr>
                      <w:rFonts w:ascii="仿宋_GB2312" w:hAnsi="仿宋_GB2312" w:cs="仿宋_GB2312" w:eastAsia="仿宋_GB2312"/>
                      <w:sz w:val="18"/>
                      <w:color w:val="000000"/>
                    </w:rPr>
                    <w:t>年有限质保服务</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144</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5</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视图云存储运维一体机</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一、硬件规格：</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、处理器：不少于</w:t>
                  </w:r>
                  <w:r>
                    <w:rPr>
                      <w:rFonts w:ascii="仿宋_GB2312" w:hAnsi="仿宋_GB2312" w:cs="仿宋_GB2312" w:eastAsia="仿宋_GB2312"/>
                      <w:sz w:val="18"/>
                      <w:color w:val="000000"/>
                    </w:rPr>
                    <w:t>2</w:t>
                  </w:r>
                  <w:r>
                    <w:rPr>
                      <w:rFonts w:ascii="仿宋_GB2312" w:hAnsi="仿宋_GB2312" w:cs="仿宋_GB2312" w:eastAsia="仿宋_GB2312"/>
                      <w:sz w:val="18"/>
                      <w:color w:val="000000"/>
                    </w:rPr>
                    <w:t>颗国产化处理器，单颗处理器核数≥</w:t>
                  </w:r>
                  <w:r>
                    <w:rPr>
                      <w:rFonts w:ascii="仿宋_GB2312" w:hAnsi="仿宋_GB2312" w:cs="仿宋_GB2312" w:eastAsia="仿宋_GB2312"/>
                      <w:sz w:val="18"/>
                      <w:color w:val="000000"/>
                    </w:rPr>
                    <w:t>8</w:t>
                  </w:r>
                  <w:r>
                    <w:rPr>
                      <w:rFonts w:ascii="仿宋_GB2312" w:hAnsi="仿宋_GB2312" w:cs="仿宋_GB2312" w:eastAsia="仿宋_GB2312"/>
                      <w:sz w:val="18"/>
                      <w:color w:val="000000"/>
                    </w:rPr>
                    <w:t>核，主频≥</w:t>
                  </w:r>
                  <w:r>
                    <w:rPr>
                      <w:rFonts w:ascii="仿宋_GB2312" w:hAnsi="仿宋_GB2312" w:cs="仿宋_GB2312" w:eastAsia="仿宋_GB2312"/>
                      <w:sz w:val="18"/>
                      <w:color w:val="000000"/>
                    </w:rPr>
                    <w:t>3</w:t>
                  </w:r>
                  <w:r>
                    <w:rPr>
                      <w:rFonts w:ascii="仿宋_GB2312" w:hAnsi="仿宋_GB2312" w:cs="仿宋_GB2312" w:eastAsia="仿宋_GB2312"/>
                      <w:sz w:val="18"/>
                      <w:color w:val="000000"/>
                    </w:rPr>
                    <w:t>.</w:t>
                  </w:r>
                  <w:r>
                    <w:rPr>
                      <w:rFonts w:ascii="仿宋_GB2312" w:hAnsi="仿宋_GB2312" w:cs="仿宋_GB2312" w:eastAsia="仿宋_GB2312"/>
                      <w:sz w:val="18"/>
                      <w:color w:val="000000"/>
                    </w:rPr>
                    <w:t>0GHz</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16GB</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 xml:space="preserve">、硬盘：不小于 </w:t>
                  </w:r>
                  <w:r>
                    <w:rPr>
                      <w:rFonts w:ascii="仿宋_GB2312" w:hAnsi="仿宋_GB2312" w:cs="仿宋_GB2312" w:eastAsia="仿宋_GB2312"/>
                      <w:sz w:val="18"/>
                      <w:color w:val="000000"/>
                    </w:rPr>
                    <w:t xml:space="preserve">480GB SSD </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、接口：≥两个千兆电口</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、电源：配置冗余电源</w:t>
                  </w:r>
                  <w:r>
                    <w:br/>
                  </w:r>
                  <w:r>
                    <w:rPr>
                      <w:rFonts w:ascii="仿宋_GB2312" w:hAnsi="仿宋_GB2312" w:cs="仿宋_GB2312" w:eastAsia="仿宋_GB2312"/>
                      <w:sz w:val="18"/>
                      <w:color w:val="000000"/>
                    </w:rPr>
                    <w:t>二、设备功能要求：</w:t>
                  </w:r>
                  <w:r>
                    <w:br/>
                  </w:r>
                  <w:r>
                    <w:rPr>
                      <w:rFonts w:ascii="仿宋_GB2312" w:hAnsi="仿宋_GB2312" w:cs="仿宋_GB2312" w:eastAsia="仿宋_GB2312"/>
                      <w:sz w:val="18"/>
                      <w:color w:val="000000"/>
                    </w:rPr>
                    <w:t>融合专业的视频云存储运维软件，实现对项目云存储硬件、软件、业务数据、网络质量等全系统运维，主动识别云存储系统故障和风险，助力业务持续稳定运行。</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 运维人员一图值守：云存储硬件</w:t>
                  </w:r>
                  <w:r>
                    <w:rPr>
                      <w:rFonts w:ascii="仿宋_GB2312" w:hAnsi="仿宋_GB2312" w:cs="仿宋_GB2312" w:eastAsia="仿宋_GB2312"/>
                      <w:sz w:val="18"/>
                      <w:color w:val="000000"/>
                    </w:rPr>
                    <w:t>/</w:t>
                  </w:r>
                  <w:r>
                    <w:rPr>
                      <w:rFonts w:ascii="仿宋_GB2312" w:hAnsi="仿宋_GB2312" w:cs="仿宋_GB2312" w:eastAsia="仿宋_GB2312"/>
                      <w:sz w:val="18"/>
                      <w:color w:val="000000"/>
                    </w:rPr>
                    <w:t>软件</w:t>
                  </w:r>
                  <w:r>
                    <w:rPr>
                      <w:rFonts w:ascii="仿宋_GB2312" w:hAnsi="仿宋_GB2312" w:cs="仿宋_GB2312" w:eastAsia="仿宋_GB2312"/>
                      <w:sz w:val="18"/>
                      <w:color w:val="000000"/>
                    </w:rPr>
                    <w:t>/</w:t>
                  </w:r>
                  <w:r>
                    <w:rPr>
                      <w:rFonts w:ascii="仿宋_GB2312" w:hAnsi="仿宋_GB2312" w:cs="仿宋_GB2312" w:eastAsia="仿宋_GB2312"/>
                      <w:sz w:val="18"/>
                      <w:color w:val="000000"/>
                    </w:rPr>
                    <w:t>网络</w:t>
                  </w:r>
                  <w:r>
                    <w:rPr>
                      <w:rFonts w:ascii="仿宋_GB2312" w:hAnsi="仿宋_GB2312" w:cs="仿宋_GB2312" w:eastAsia="仿宋_GB2312"/>
                      <w:sz w:val="18"/>
                      <w:color w:val="000000"/>
                    </w:rPr>
                    <w:t>/</w:t>
                  </w:r>
                  <w:r>
                    <w:rPr>
                      <w:rFonts w:ascii="仿宋_GB2312" w:hAnsi="仿宋_GB2312" w:cs="仿宋_GB2312" w:eastAsia="仿宋_GB2312"/>
                      <w:sz w:val="18"/>
                      <w:color w:val="000000"/>
                    </w:rPr>
                    <w:t>业务全维度可视化，可视化管理和运维效率提升；</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 系统态势智能预警：容量趋势预警、性能态势可视、提醒提前扩容或维保避免业务中断</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 业务数据诊断考核：录像断点</w:t>
                  </w:r>
                  <w:r>
                    <w:rPr>
                      <w:rFonts w:ascii="仿宋_GB2312" w:hAnsi="仿宋_GB2312" w:cs="仿宋_GB2312" w:eastAsia="仿宋_GB2312"/>
                      <w:sz w:val="18"/>
                      <w:color w:val="000000"/>
                    </w:rPr>
                    <w:t>/</w:t>
                  </w:r>
                  <w:r>
                    <w:rPr>
                      <w:rFonts w:ascii="仿宋_GB2312" w:hAnsi="仿宋_GB2312" w:cs="仿宋_GB2312" w:eastAsia="仿宋_GB2312"/>
                      <w:sz w:val="18"/>
                      <w:color w:val="000000"/>
                    </w:rPr>
                    <w:t>周期</w:t>
                  </w:r>
                  <w:r>
                    <w:rPr>
                      <w:rFonts w:ascii="仿宋_GB2312" w:hAnsi="仿宋_GB2312" w:cs="仿宋_GB2312" w:eastAsia="仿宋_GB2312"/>
                      <w:sz w:val="18"/>
                      <w:color w:val="000000"/>
                    </w:rPr>
                    <w:t>/</w:t>
                  </w:r>
                  <w:r>
                    <w:rPr>
                      <w:rFonts w:ascii="仿宋_GB2312" w:hAnsi="仿宋_GB2312" w:cs="仿宋_GB2312" w:eastAsia="仿宋_GB2312"/>
                      <w:sz w:val="18"/>
                      <w:color w:val="000000"/>
                    </w:rPr>
                    <w:t>质量诊断，每类业务数量和容量统计，保障业主资产完整性</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 智能告警降噪机制</w:t>
                  </w:r>
                  <w:r>
                    <w:rPr>
                      <w:rFonts w:ascii="仿宋_GB2312" w:hAnsi="仿宋_GB2312" w:cs="仿宋_GB2312" w:eastAsia="仿宋_GB2312"/>
                      <w:sz w:val="18"/>
                      <w:color w:val="000000"/>
                    </w:rPr>
                    <w:t>:</w:t>
                  </w:r>
                  <w:r>
                    <w:rPr>
                      <w:rFonts w:ascii="仿宋_GB2312" w:hAnsi="仿宋_GB2312" w:cs="仿宋_GB2312" w:eastAsia="仿宋_GB2312"/>
                      <w:sz w:val="18"/>
                      <w:color w:val="000000"/>
                    </w:rPr>
                    <w:t>支持事件去重</w:t>
                  </w:r>
                  <w:r>
                    <w:rPr>
                      <w:rFonts w:ascii="仿宋_GB2312" w:hAnsi="仿宋_GB2312" w:cs="仿宋_GB2312" w:eastAsia="仿宋_GB2312"/>
                      <w:sz w:val="18"/>
                      <w:color w:val="000000"/>
                    </w:rPr>
                    <w:t>/</w:t>
                  </w:r>
                  <w:r>
                    <w:rPr>
                      <w:rFonts w:ascii="仿宋_GB2312" w:hAnsi="仿宋_GB2312" w:cs="仿宋_GB2312" w:eastAsia="仿宋_GB2312"/>
                      <w:sz w:val="18"/>
                      <w:color w:val="000000"/>
                    </w:rPr>
                    <w:t>告警合并</w:t>
                  </w:r>
                  <w:r>
                    <w:rPr>
                      <w:rFonts w:ascii="仿宋_GB2312" w:hAnsi="仿宋_GB2312" w:cs="仿宋_GB2312" w:eastAsia="仿宋_GB2312"/>
                      <w:sz w:val="18"/>
                      <w:color w:val="000000"/>
                    </w:rPr>
                    <w:t>/</w:t>
                  </w:r>
                  <w:r>
                    <w:rPr>
                      <w:rFonts w:ascii="仿宋_GB2312" w:hAnsi="仿宋_GB2312" w:cs="仿宋_GB2312" w:eastAsia="仿宋_GB2312"/>
                      <w:sz w:val="18"/>
                      <w:color w:val="000000"/>
                    </w:rPr>
                    <w:t>告警屏蔽</w:t>
                  </w:r>
                  <w:r>
                    <w:rPr>
                      <w:rFonts w:ascii="仿宋_GB2312" w:hAnsi="仿宋_GB2312" w:cs="仿宋_GB2312" w:eastAsia="仿宋_GB2312"/>
                      <w:sz w:val="18"/>
                      <w:color w:val="000000"/>
                    </w:rPr>
                    <w:t>/</w:t>
                  </w:r>
                  <w:r>
                    <w:rPr>
                      <w:rFonts w:ascii="仿宋_GB2312" w:hAnsi="仿宋_GB2312" w:cs="仿宋_GB2312" w:eastAsia="仿宋_GB2312"/>
                      <w:sz w:val="18"/>
                      <w:color w:val="000000"/>
                    </w:rPr>
                    <w:t>告警分类降噪机制，告警统计分析，告别告警风暴</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 系统不良盘更换：槽位异常可视化，槽位一键远程点灯，故障槽位物理位置一键导出，批量更换不良盘</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6</w:t>
                  </w:r>
                </w:p>
              </w:tc>
              <w:tc>
                <w:tcPr>
                  <w:tcW w:type="dxa" w:w="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比对一体机</w:t>
                  </w:r>
                </w:p>
              </w:tc>
              <w:tc>
                <w:tcPr>
                  <w:tcW w:type="dxa" w:w="14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color w:val="000000"/>
                    </w:rPr>
                    <w:t>一、硬件规格：</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、处理器：不少于</w:t>
                  </w:r>
                  <w:r>
                    <w:rPr>
                      <w:rFonts w:ascii="仿宋_GB2312" w:hAnsi="仿宋_GB2312" w:cs="仿宋_GB2312" w:eastAsia="仿宋_GB2312"/>
                      <w:sz w:val="18"/>
                      <w:color w:val="000000"/>
                    </w:rPr>
                    <w:t>2</w:t>
                  </w:r>
                  <w:r>
                    <w:rPr>
                      <w:rFonts w:ascii="仿宋_GB2312" w:hAnsi="仿宋_GB2312" w:cs="仿宋_GB2312" w:eastAsia="仿宋_GB2312"/>
                      <w:sz w:val="18"/>
                      <w:color w:val="000000"/>
                    </w:rPr>
                    <w:t>颗国产化处理器，单颗处理器核数≥</w:t>
                  </w:r>
                  <w:r>
                    <w:rPr>
                      <w:rFonts w:ascii="仿宋_GB2312" w:hAnsi="仿宋_GB2312" w:cs="仿宋_GB2312" w:eastAsia="仿宋_GB2312"/>
                      <w:sz w:val="18"/>
                      <w:color w:val="000000"/>
                    </w:rPr>
                    <w:t>32</w:t>
                  </w:r>
                  <w:r>
                    <w:rPr>
                      <w:rFonts w:ascii="仿宋_GB2312" w:hAnsi="仿宋_GB2312" w:cs="仿宋_GB2312" w:eastAsia="仿宋_GB2312"/>
                      <w:sz w:val="18"/>
                      <w:color w:val="000000"/>
                    </w:rPr>
                    <w:t>核，主频≥</w:t>
                  </w:r>
                  <w:r>
                    <w:rPr>
                      <w:rFonts w:ascii="仿宋_GB2312" w:hAnsi="仿宋_GB2312" w:cs="仿宋_GB2312" w:eastAsia="仿宋_GB2312"/>
                      <w:sz w:val="18"/>
                      <w:color w:val="000000"/>
                    </w:rPr>
                    <w:t>2.6GHz</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、内存：≥</w:t>
                  </w:r>
                  <w:r>
                    <w:rPr>
                      <w:rFonts w:ascii="仿宋_GB2312" w:hAnsi="仿宋_GB2312" w:cs="仿宋_GB2312" w:eastAsia="仿宋_GB2312"/>
                      <w:sz w:val="18"/>
                      <w:color w:val="000000"/>
                    </w:rPr>
                    <w:t>512GB</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、硬盘：不小于</w:t>
                  </w:r>
                  <w:r>
                    <w:rPr>
                      <w:rFonts w:ascii="仿宋_GB2312" w:hAnsi="仿宋_GB2312" w:cs="仿宋_GB2312" w:eastAsia="仿宋_GB2312"/>
                      <w:sz w:val="18"/>
                      <w:color w:val="000000"/>
                    </w:rPr>
                    <w:t>2</w:t>
                  </w:r>
                  <w:r>
                    <w:rPr>
                      <w:rFonts w:ascii="仿宋_GB2312" w:hAnsi="仿宋_GB2312" w:cs="仿宋_GB2312" w:eastAsia="仿宋_GB2312"/>
                      <w:sz w:val="18"/>
                      <w:color w:val="000000"/>
                    </w:rPr>
                    <w:t>块</w:t>
                  </w:r>
                  <w:r>
                    <w:rPr>
                      <w:rFonts w:ascii="仿宋_GB2312" w:hAnsi="仿宋_GB2312" w:cs="仿宋_GB2312" w:eastAsia="仿宋_GB2312"/>
                      <w:sz w:val="18"/>
                      <w:color w:val="000000"/>
                    </w:rPr>
                    <w:t>960G SSD +8</w:t>
                  </w:r>
                  <w:r>
                    <w:rPr>
                      <w:rFonts w:ascii="仿宋_GB2312" w:hAnsi="仿宋_GB2312" w:cs="仿宋_GB2312" w:eastAsia="仿宋_GB2312"/>
                      <w:sz w:val="18"/>
                      <w:color w:val="000000"/>
                    </w:rPr>
                    <w:t>块</w:t>
                  </w:r>
                  <w:r>
                    <w:rPr>
                      <w:rFonts w:ascii="仿宋_GB2312" w:hAnsi="仿宋_GB2312" w:cs="仿宋_GB2312" w:eastAsia="仿宋_GB2312"/>
                      <w:sz w:val="18"/>
                      <w:color w:val="000000"/>
                    </w:rPr>
                    <w:t>1.92T SSD</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w:t>
                  </w:r>
                  <w:r>
                    <w:rPr>
                      <w:rFonts w:ascii="仿宋_GB2312" w:hAnsi="仿宋_GB2312" w:cs="仿宋_GB2312" w:eastAsia="仿宋_GB2312"/>
                      <w:sz w:val="18"/>
                      <w:color w:val="000000"/>
                    </w:rPr>
                    <w:t>GPU</w:t>
                  </w:r>
                  <w:r>
                    <w:rPr>
                      <w:rFonts w:ascii="仿宋_GB2312" w:hAnsi="仿宋_GB2312" w:cs="仿宋_GB2312" w:eastAsia="仿宋_GB2312"/>
                      <w:sz w:val="18"/>
                      <w:color w:val="000000"/>
                    </w:rPr>
                    <w:t>：配置不少于</w:t>
                  </w:r>
                  <w:r>
                    <w:rPr>
                      <w:rFonts w:ascii="仿宋_GB2312" w:hAnsi="仿宋_GB2312" w:cs="仿宋_GB2312" w:eastAsia="仿宋_GB2312"/>
                      <w:sz w:val="18"/>
                      <w:color w:val="000000"/>
                    </w:rPr>
                    <w:t>4</w:t>
                  </w:r>
                  <w:r>
                    <w:rPr>
                      <w:rFonts w:ascii="仿宋_GB2312" w:hAnsi="仿宋_GB2312" w:cs="仿宋_GB2312" w:eastAsia="仿宋_GB2312"/>
                      <w:sz w:val="18"/>
                      <w:color w:val="000000"/>
                    </w:rPr>
                    <w:t>块国产</w:t>
                  </w:r>
                  <w:r>
                    <w:rPr>
                      <w:rFonts w:ascii="仿宋_GB2312" w:hAnsi="仿宋_GB2312" w:cs="仿宋_GB2312" w:eastAsia="仿宋_GB2312"/>
                      <w:sz w:val="18"/>
                      <w:color w:val="000000"/>
                    </w:rPr>
                    <w:t>GPU</w:t>
                  </w:r>
                  <w:r>
                    <w:rPr>
                      <w:rFonts w:ascii="仿宋_GB2312" w:hAnsi="仿宋_GB2312" w:cs="仿宋_GB2312" w:eastAsia="仿宋_GB2312"/>
                      <w:sz w:val="18"/>
                      <w:color w:val="000000"/>
                    </w:rPr>
                    <w:t>卡</w:t>
                  </w:r>
                  <w:r>
                    <w:br/>
                  </w:r>
                  <w:r>
                    <w:rPr>
                      <w:rFonts w:ascii="仿宋_GB2312" w:hAnsi="仿宋_GB2312" w:cs="仿宋_GB2312" w:eastAsia="仿宋_GB2312"/>
                      <w:sz w:val="18"/>
                      <w:color w:val="000000"/>
                    </w:rPr>
                    <w:t>5</w:t>
                  </w:r>
                  <w:r>
                    <w:rPr>
                      <w:rFonts w:ascii="仿宋_GB2312" w:hAnsi="仿宋_GB2312" w:cs="仿宋_GB2312" w:eastAsia="仿宋_GB2312"/>
                      <w:sz w:val="18"/>
                      <w:color w:val="000000"/>
                    </w:rPr>
                    <w:t>、接口：≥两个万兆光口（含光模块）</w:t>
                  </w:r>
                  <w:r>
                    <w:br/>
                  </w:r>
                  <w:r>
                    <w:rPr>
                      <w:rFonts w:ascii="仿宋_GB2312" w:hAnsi="仿宋_GB2312" w:cs="仿宋_GB2312" w:eastAsia="仿宋_GB2312"/>
                      <w:sz w:val="18"/>
                      <w:color w:val="000000"/>
                    </w:rPr>
                    <w:t>6</w:t>
                  </w:r>
                  <w:r>
                    <w:rPr>
                      <w:rFonts w:ascii="仿宋_GB2312" w:hAnsi="仿宋_GB2312" w:cs="仿宋_GB2312" w:eastAsia="仿宋_GB2312"/>
                      <w:sz w:val="18"/>
                      <w:color w:val="000000"/>
                    </w:rPr>
                    <w:t>、电源：配置冗余电源</w:t>
                  </w:r>
                  <w:r>
                    <w:br/>
                  </w:r>
                  <w:r>
                    <w:rPr>
                      <w:rFonts w:ascii="仿宋_GB2312" w:hAnsi="仿宋_GB2312" w:cs="仿宋_GB2312" w:eastAsia="仿宋_GB2312"/>
                      <w:sz w:val="18"/>
                      <w:color w:val="000000"/>
                    </w:rPr>
                    <w:t>二、设备功能要求：</w:t>
                  </w:r>
                  <w:r>
                    <w:br/>
                  </w:r>
                  <w:r>
                    <w:rPr>
                      <w:rFonts w:ascii="仿宋_GB2312" w:hAnsi="仿宋_GB2312" w:cs="仿宋_GB2312" w:eastAsia="仿宋_GB2312"/>
                      <w:sz w:val="18"/>
                      <w:color w:val="000000"/>
                    </w:rPr>
                    <w:t>1</w:t>
                  </w:r>
                  <w:r>
                    <w:rPr>
                      <w:rFonts w:ascii="仿宋_GB2312" w:hAnsi="仿宋_GB2312" w:cs="仿宋_GB2312" w:eastAsia="仿宋_GB2312"/>
                      <w:sz w:val="18"/>
                      <w:color w:val="000000"/>
                    </w:rPr>
                    <w:t>、人脸算法升级，与实战指挥、数据中台对接、视频网人脸卡口和人脸小图对接。</w:t>
                  </w:r>
                  <w:r>
                    <w:br/>
                  </w:r>
                  <w:r>
                    <w:rPr>
                      <w:rFonts w:ascii="仿宋_GB2312" w:hAnsi="仿宋_GB2312" w:cs="仿宋_GB2312" w:eastAsia="仿宋_GB2312"/>
                      <w:sz w:val="18"/>
                      <w:color w:val="000000"/>
                    </w:rPr>
                    <w:t>2</w:t>
                  </w:r>
                  <w:r>
                    <w:rPr>
                      <w:rFonts w:ascii="仿宋_GB2312" w:hAnsi="仿宋_GB2312" w:cs="仿宋_GB2312" w:eastAsia="仿宋_GB2312"/>
                      <w:sz w:val="18"/>
                      <w:color w:val="000000"/>
                    </w:rPr>
                    <w:t>、实现</w:t>
                  </w:r>
                  <w:r>
                    <w:rPr>
                      <w:rFonts w:ascii="仿宋_GB2312" w:hAnsi="仿宋_GB2312" w:cs="仿宋_GB2312" w:eastAsia="仿宋_GB2312"/>
                      <w:sz w:val="18"/>
                      <w:color w:val="000000"/>
                    </w:rPr>
                    <w:t>300</w:t>
                  </w:r>
                  <w:r>
                    <w:rPr>
                      <w:rFonts w:ascii="仿宋_GB2312" w:hAnsi="仿宋_GB2312" w:cs="仿宋_GB2312" w:eastAsia="仿宋_GB2312"/>
                      <w:sz w:val="18"/>
                      <w:color w:val="000000"/>
                    </w:rPr>
                    <w:t>张</w:t>
                  </w:r>
                  <w:r>
                    <w:rPr>
                      <w:rFonts w:ascii="仿宋_GB2312" w:hAnsi="仿宋_GB2312" w:cs="仿宋_GB2312" w:eastAsia="仿宋_GB2312"/>
                      <w:sz w:val="18"/>
                      <w:color w:val="000000"/>
                    </w:rPr>
                    <w:t>/</w:t>
                  </w:r>
                  <w:r>
                    <w:rPr>
                      <w:rFonts w:ascii="仿宋_GB2312" w:hAnsi="仿宋_GB2312" w:cs="仿宋_GB2312" w:eastAsia="仿宋_GB2312"/>
                      <w:sz w:val="18"/>
                      <w:color w:val="000000"/>
                    </w:rPr>
                    <w:t>秒的建模算法扩容</w:t>
                  </w:r>
                  <w:r>
                    <w:br/>
                  </w:r>
                  <w:r>
                    <w:rPr>
                      <w:rFonts w:ascii="仿宋_GB2312" w:hAnsi="仿宋_GB2312" w:cs="仿宋_GB2312" w:eastAsia="仿宋_GB2312"/>
                      <w:sz w:val="18"/>
                      <w:color w:val="000000"/>
                    </w:rPr>
                    <w:t>3</w:t>
                  </w:r>
                  <w:r>
                    <w:rPr>
                      <w:rFonts w:ascii="仿宋_GB2312" w:hAnsi="仿宋_GB2312" w:cs="仿宋_GB2312" w:eastAsia="仿宋_GB2312"/>
                      <w:sz w:val="18"/>
                      <w:color w:val="000000"/>
                    </w:rPr>
                    <w:t>、支持图文检索，支持 聚类、布控、名单搜图</w:t>
                  </w:r>
                  <w:r>
                    <w:br/>
                  </w:r>
                  <w:r>
                    <w:rPr>
                      <w:rFonts w:ascii="仿宋_GB2312" w:hAnsi="仿宋_GB2312" w:cs="仿宋_GB2312" w:eastAsia="仿宋_GB2312"/>
                      <w:sz w:val="18"/>
                      <w:color w:val="000000"/>
                    </w:rPr>
                    <w:t>4</w:t>
                  </w:r>
                  <w:r>
                    <w:rPr>
                      <w:rFonts w:ascii="仿宋_GB2312" w:hAnsi="仿宋_GB2312" w:cs="仿宋_GB2312" w:eastAsia="仿宋_GB2312"/>
                      <w:sz w:val="18"/>
                      <w:color w:val="000000"/>
                    </w:rPr>
                    <w:t xml:space="preserve">、 支持名单库比对： </w:t>
                  </w:r>
                  <w:r>
                    <w:br/>
                  </w:r>
                  <w:r>
                    <w:rPr>
                      <w:rFonts w:ascii="仿宋_GB2312" w:hAnsi="仿宋_GB2312" w:cs="仿宋_GB2312" w:eastAsia="仿宋_GB2312"/>
                      <w:sz w:val="18"/>
                      <w:color w:val="000000"/>
                    </w:rPr>
                    <w:t xml:space="preserve">a) </w:t>
                  </w:r>
                  <w:r>
                    <w:rPr>
                      <w:rFonts w:ascii="仿宋_GB2312" w:hAnsi="仿宋_GB2312" w:cs="仿宋_GB2312" w:eastAsia="仿宋_GB2312"/>
                      <w:sz w:val="18"/>
                      <w:color w:val="000000"/>
                    </w:rPr>
                    <w:t>人像打标签应用：基于人脸模型批量比对，对抓拍人脸实时标记身份</w:t>
                  </w:r>
                  <w:r>
                    <w:rPr>
                      <w:rFonts w:ascii="仿宋_GB2312" w:hAnsi="仿宋_GB2312" w:cs="仿宋_GB2312" w:eastAsia="仿宋_GB2312"/>
                      <w:sz w:val="18"/>
                      <w:color w:val="000000"/>
                    </w:rPr>
                    <w:t>ID</w:t>
                  </w:r>
                  <w:r>
                    <w:rPr>
                      <w:rFonts w:ascii="仿宋_GB2312" w:hAnsi="仿宋_GB2312" w:cs="仿宋_GB2312" w:eastAsia="仿宋_GB2312"/>
                      <w:sz w:val="18"/>
                      <w:color w:val="000000"/>
                    </w:rPr>
                    <w:t>，利用</w:t>
                  </w:r>
                  <w:r>
                    <w:rPr>
                      <w:rFonts w:ascii="仿宋_GB2312" w:hAnsi="仿宋_GB2312" w:cs="仿宋_GB2312" w:eastAsia="仿宋_GB2312"/>
                      <w:sz w:val="18"/>
                      <w:color w:val="000000"/>
                    </w:rPr>
                    <w:t>ID</w:t>
                  </w:r>
                  <w:r>
                    <w:rPr>
                      <w:rFonts w:ascii="仿宋_GB2312" w:hAnsi="仿宋_GB2312" w:cs="仿宋_GB2312" w:eastAsia="仿宋_GB2312"/>
                      <w:sz w:val="18"/>
                      <w:color w:val="000000"/>
                    </w:rPr>
                    <w:t xml:space="preserve">可实现人脸大数据业务应用； </w:t>
                  </w:r>
                  <w:r>
                    <w:br/>
                  </w:r>
                  <w:r>
                    <w:rPr>
                      <w:rFonts w:ascii="仿宋_GB2312" w:hAnsi="仿宋_GB2312" w:cs="仿宋_GB2312" w:eastAsia="仿宋_GB2312"/>
                      <w:sz w:val="18"/>
                      <w:color w:val="000000"/>
                    </w:rPr>
                    <w:t xml:space="preserve">b) </w:t>
                  </w:r>
                  <w:r>
                    <w:rPr>
                      <w:rFonts w:ascii="仿宋_GB2312" w:hAnsi="仿宋_GB2312" w:cs="仿宋_GB2312" w:eastAsia="仿宋_GB2312"/>
                      <w:sz w:val="18"/>
                      <w:color w:val="000000"/>
                    </w:rPr>
                    <w:t xml:space="preserve">身份确认应用：支持抓拍人脸、人体与人口库进行比对，快速确定目标人员身份； </w:t>
                  </w:r>
                  <w:r>
                    <w:br/>
                  </w:r>
                  <w:r>
                    <w:rPr>
                      <w:rFonts w:ascii="仿宋_GB2312" w:hAnsi="仿宋_GB2312" w:cs="仿宋_GB2312" w:eastAsia="仿宋_GB2312"/>
                      <w:sz w:val="18"/>
                      <w:color w:val="000000"/>
                    </w:rPr>
                    <w:t xml:space="preserve">c) </w:t>
                  </w:r>
                  <w:r>
                    <w:rPr>
                      <w:rFonts w:ascii="仿宋_GB2312" w:hAnsi="仿宋_GB2312" w:cs="仿宋_GB2312" w:eastAsia="仿宋_GB2312"/>
                      <w:sz w:val="18"/>
                      <w:color w:val="000000"/>
                    </w:rPr>
                    <w:t xml:space="preserve">自定应名单库应用：支持千万级别人脸实时布控预警； </w:t>
                  </w:r>
                  <w:r>
                    <w:br/>
                  </w:r>
                  <w:r>
                    <w:rPr>
                      <w:rFonts w:ascii="仿宋_GB2312" w:hAnsi="仿宋_GB2312" w:cs="仿宋_GB2312" w:eastAsia="仿宋_GB2312"/>
                      <w:sz w:val="18"/>
                      <w:color w:val="000000"/>
                    </w:rPr>
                    <w:t xml:space="preserve">d) </w:t>
                  </w:r>
                  <w:r>
                    <w:rPr>
                      <w:rFonts w:ascii="仿宋_GB2312" w:hAnsi="仿宋_GB2312" w:cs="仿宋_GB2312" w:eastAsia="仿宋_GB2312"/>
                      <w:sz w:val="18"/>
                      <w:color w:val="000000"/>
                    </w:rPr>
                    <w:t>单卡最大支持加载</w:t>
                  </w:r>
                  <w:r>
                    <w:rPr>
                      <w:rFonts w:ascii="仿宋_GB2312" w:hAnsi="仿宋_GB2312" w:cs="仿宋_GB2312" w:eastAsia="仿宋_GB2312"/>
                      <w:sz w:val="18"/>
                      <w:color w:val="000000"/>
                    </w:rPr>
                    <w:t>4000</w:t>
                  </w:r>
                  <w:r>
                    <w:rPr>
                      <w:rFonts w:ascii="仿宋_GB2312" w:hAnsi="仿宋_GB2312" w:cs="仿宋_GB2312" w:eastAsia="仿宋_GB2312"/>
                      <w:sz w:val="18"/>
                      <w:color w:val="000000"/>
                    </w:rPr>
                    <w:t>万名单库，包含</w:t>
                  </w:r>
                  <w:r>
                    <w:rPr>
                      <w:rFonts w:ascii="仿宋_GB2312" w:hAnsi="仿宋_GB2312" w:cs="仿宋_GB2312" w:eastAsia="仿宋_GB2312"/>
                      <w:sz w:val="18"/>
                      <w:color w:val="000000"/>
                    </w:rPr>
                    <w:t>2</w:t>
                  </w:r>
                  <w:r>
                    <w:rPr>
                      <w:rFonts w:ascii="仿宋_GB2312" w:hAnsi="仿宋_GB2312" w:cs="仿宋_GB2312" w:eastAsia="仿宋_GB2312"/>
                      <w:sz w:val="18"/>
                      <w:color w:val="000000"/>
                    </w:rPr>
                    <w:t>卡的授权；</w:t>
                  </w:r>
                </w:p>
              </w:tc>
              <w:tc>
                <w:tcPr>
                  <w:tcW w:type="dxa" w:w="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套</w:t>
                  </w:r>
                </w:p>
              </w:tc>
              <w:tc>
                <w:tcPr>
                  <w:tcW w:type="dxa" w:w="2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8"/>
                      <w:color w:val="000000"/>
                    </w:rPr>
                    <w:t>1</w:t>
                  </w:r>
                </w:p>
              </w:tc>
            </w:tr>
            <w:tr>
              <w:tc>
                <w:tcPr>
                  <w:tcW w:type="dxa" w:w="2551"/>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18"/>
                      <w:b/>
                      <w:color w:val="000000"/>
                    </w:rPr>
                    <w:t>备注：</w:t>
                  </w:r>
                </w:p>
                <w:p>
                  <w:pPr>
                    <w:pStyle w:val="null3"/>
                    <w:ind w:firstLine="361"/>
                    <w:jc w:val="left"/>
                  </w:pPr>
                  <w:r>
                    <w:rPr>
                      <w:rFonts w:ascii="仿宋_GB2312" w:hAnsi="仿宋_GB2312" w:cs="仿宋_GB2312" w:eastAsia="仿宋_GB2312"/>
                      <w:sz w:val="18"/>
                      <w:b/>
                      <w:color w:val="000000"/>
                    </w:rPr>
                    <w:t>1.</w:t>
                  </w:r>
                  <w:r>
                    <w:rPr>
                      <w:rFonts w:ascii="仿宋_GB2312" w:hAnsi="仿宋_GB2312" w:cs="仿宋_GB2312" w:eastAsia="仿宋_GB2312"/>
                      <w:sz w:val="18"/>
                      <w:b/>
                      <w:color w:val="000000"/>
                    </w:rPr>
                    <w:t>价格包含税费、安装调试费、运输费用、三年质保费用（质保自终验验收合格之日起计算）和一年运维费用（运维自终验验收合格之日起计算）。</w:t>
                  </w:r>
                </w:p>
                <w:p>
                  <w:pPr>
                    <w:pStyle w:val="null3"/>
                    <w:ind w:firstLine="361"/>
                    <w:jc w:val="left"/>
                  </w:pPr>
                  <w:r>
                    <w:rPr>
                      <w:rFonts w:ascii="仿宋_GB2312" w:hAnsi="仿宋_GB2312" w:cs="仿宋_GB2312" w:eastAsia="仿宋_GB2312"/>
                      <w:sz w:val="18"/>
                      <w:b/>
                      <w:color w:val="000000"/>
                    </w:rPr>
                    <w:t>2.</w:t>
                  </w:r>
                  <w:r>
                    <w:rPr>
                      <w:rFonts w:ascii="仿宋_GB2312" w:hAnsi="仿宋_GB2312" w:cs="仿宋_GB2312" w:eastAsia="仿宋_GB2312"/>
                      <w:sz w:val="18"/>
                      <w:b/>
                      <w:color w:val="000000"/>
                    </w:rPr>
                    <w:t>本项目新建前端卡口设备均支持人脸采集功能，供应商须完成设备接入部署、总队现有系统扩容、人脸研判功能拓展等全部应用配套建设任务。</w:t>
                  </w:r>
                </w:p>
                <w:p>
                  <w:pPr>
                    <w:pStyle w:val="null3"/>
                    <w:ind w:firstLine="361"/>
                    <w:jc w:val="left"/>
                  </w:pPr>
                  <w:r>
                    <w:rPr>
                      <w:rFonts w:ascii="仿宋_GB2312" w:hAnsi="仿宋_GB2312" w:cs="仿宋_GB2312" w:eastAsia="仿宋_GB2312"/>
                      <w:sz w:val="18"/>
                      <w:b/>
                      <w:color w:val="000000"/>
                    </w:rPr>
                    <w:t>3.</w:t>
                  </w:r>
                  <w:r>
                    <w:rPr>
                      <w:rFonts w:ascii="仿宋_GB2312" w:hAnsi="仿宋_GB2312" w:cs="仿宋_GB2312" w:eastAsia="仿宋_GB2312"/>
                      <w:sz w:val="18"/>
                      <w:b/>
                      <w:color w:val="000000"/>
                    </w:rPr>
                    <w:t>“▲”号参数需提供佐证材料，包括产品检测报告或产品彩页或产品说明书或官网和功能截图等相关佐证材料。</w:t>
                  </w:r>
                </w:p>
                <w:p>
                  <w:pPr>
                    <w:pStyle w:val="null3"/>
                    <w:ind w:firstLine="361"/>
                    <w:jc w:val="left"/>
                  </w:pPr>
                  <w:r>
                    <w:rPr>
                      <w:rFonts w:ascii="仿宋_GB2312" w:hAnsi="仿宋_GB2312" w:cs="仿宋_GB2312" w:eastAsia="仿宋_GB2312"/>
                      <w:sz w:val="18"/>
                      <w:b/>
                      <w:color w:val="000000"/>
                    </w:rPr>
                    <w:t>4.</w:t>
                  </w:r>
                  <w:r>
                    <w:rPr>
                      <w:rFonts w:ascii="仿宋_GB2312" w:hAnsi="仿宋_GB2312" w:cs="仿宋_GB2312" w:eastAsia="仿宋_GB2312"/>
                      <w:sz w:val="18"/>
                      <w:b/>
                      <w:color w:val="000000"/>
                    </w:rPr>
                    <w:t>以上参数必须满足国产化适配要求。</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标的名称：陕西国省道路防控体系建设项目监理服务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color w:val="000000"/>
              </w:rPr>
              <w:t>一、项目内容</w:t>
            </w:r>
          </w:p>
          <w:p>
            <w:pPr>
              <w:pStyle w:val="null3"/>
              <w:ind w:firstLine="420"/>
              <w:jc w:val="both"/>
            </w:pPr>
            <w:r>
              <w:rPr>
                <w:rFonts w:ascii="仿宋_GB2312" w:hAnsi="仿宋_GB2312" w:cs="仿宋_GB2312" w:eastAsia="仿宋_GB2312"/>
                <w:sz w:val="21"/>
                <w:color w:val="000000"/>
              </w:rPr>
              <w:t>陕西国省道路防控体系建设项目，需第三方监理机构进行监管，负责对项目的实施进行监督和检查，确保项目按照合同要求进行。</w:t>
            </w:r>
          </w:p>
          <w:p>
            <w:pPr>
              <w:pStyle w:val="null3"/>
              <w:ind w:firstLine="422"/>
              <w:jc w:val="both"/>
            </w:pPr>
            <w:r>
              <w:rPr>
                <w:rFonts w:ascii="仿宋_GB2312" w:hAnsi="仿宋_GB2312" w:cs="仿宋_GB2312" w:eastAsia="仿宋_GB2312"/>
                <w:sz w:val="21"/>
                <w:b/>
                <w:color w:val="000000"/>
              </w:rPr>
              <w:t>二、监理技术规格要求</w:t>
            </w:r>
          </w:p>
          <w:p>
            <w:pPr>
              <w:pStyle w:val="null3"/>
              <w:ind w:firstLine="420"/>
              <w:jc w:val="both"/>
            </w:pPr>
            <w:r>
              <w:rPr>
                <w:rFonts w:ascii="仿宋_GB2312" w:hAnsi="仿宋_GB2312" w:cs="仿宋_GB2312" w:eastAsia="仿宋_GB2312"/>
                <w:sz w:val="21"/>
                <w:color w:val="000000"/>
              </w:rPr>
              <w:t>1.监理基本原则</w:t>
            </w:r>
          </w:p>
          <w:p>
            <w:pPr>
              <w:pStyle w:val="null3"/>
              <w:ind w:firstLine="420"/>
              <w:jc w:val="both"/>
            </w:pPr>
            <w:r>
              <w:rPr>
                <w:rFonts w:ascii="仿宋_GB2312" w:hAnsi="仿宋_GB2312" w:cs="仿宋_GB2312" w:eastAsia="仿宋_GB2312"/>
                <w:sz w:val="21"/>
                <w:color w:val="000000"/>
              </w:rPr>
              <w:t>1.1监理服务应遵守的基本准则</w:t>
            </w:r>
          </w:p>
          <w:p>
            <w:pPr>
              <w:pStyle w:val="null3"/>
              <w:ind w:firstLine="420"/>
              <w:jc w:val="both"/>
            </w:pPr>
            <w:r>
              <w:rPr>
                <w:rFonts w:ascii="仿宋_GB2312" w:hAnsi="仿宋_GB2312" w:cs="仿宋_GB2312" w:eastAsia="仿宋_GB2312"/>
                <w:sz w:val="21"/>
                <w:color w:val="000000"/>
              </w:rPr>
              <w:t>1.1.1遵照国家《信息技术服务监理》（GB/T 19668.1）参照监理服务各阶段内的具体监理工作，以“守法、诚信、公正、科学”的准则执业，维护建设单位与承建单位的合法权益。</w:t>
            </w:r>
          </w:p>
          <w:p>
            <w:pPr>
              <w:pStyle w:val="null3"/>
              <w:ind w:firstLine="420"/>
              <w:jc w:val="both"/>
            </w:pPr>
            <w:r>
              <w:rPr>
                <w:rFonts w:ascii="仿宋_GB2312" w:hAnsi="仿宋_GB2312" w:cs="仿宋_GB2312" w:eastAsia="仿宋_GB2312"/>
                <w:sz w:val="21"/>
                <w:color w:val="000000"/>
              </w:rPr>
              <w:t>1.1.2执行有关项目建设的国家法律、法规、规范、标准和制度，履行监理合同规定的义务和职责；</w:t>
            </w:r>
          </w:p>
          <w:p>
            <w:pPr>
              <w:pStyle w:val="null3"/>
              <w:ind w:firstLine="420"/>
              <w:jc w:val="both"/>
            </w:pPr>
            <w:r>
              <w:rPr>
                <w:rFonts w:ascii="仿宋_GB2312" w:hAnsi="仿宋_GB2312" w:cs="仿宋_GB2312" w:eastAsia="仿宋_GB2312"/>
                <w:sz w:val="21"/>
                <w:color w:val="000000"/>
              </w:rPr>
              <w:t>1.1.3不得泄漏所监理项目各方认为需要保密的事项；</w:t>
            </w:r>
          </w:p>
          <w:p>
            <w:pPr>
              <w:pStyle w:val="null3"/>
              <w:ind w:firstLine="420"/>
              <w:jc w:val="both"/>
            </w:pPr>
            <w:r>
              <w:rPr>
                <w:rFonts w:ascii="仿宋_GB2312" w:hAnsi="仿宋_GB2312" w:cs="仿宋_GB2312" w:eastAsia="仿宋_GB2312"/>
                <w:sz w:val="21"/>
                <w:color w:val="000000"/>
              </w:rPr>
              <w:t>1.1.4遵守国家的法律和政府的有关条例、规定和办法等；</w:t>
            </w:r>
          </w:p>
          <w:p>
            <w:pPr>
              <w:pStyle w:val="null3"/>
              <w:ind w:firstLine="420"/>
              <w:jc w:val="both"/>
            </w:pPr>
            <w:r>
              <w:rPr>
                <w:rFonts w:ascii="仿宋_GB2312" w:hAnsi="仿宋_GB2312" w:cs="仿宋_GB2312" w:eastAsia="仿宋_GB2312"/>
                <w:sz w:val="21"/>
                <w:color w:val="000000"/>
              </w:rPr>
              <w:t>1.1.5坚持公正、公平、公开、独立地处理有关项目各方的争议；</w:t>
            </w:r>
          </w:p>
          <w:p>
            <w:pPr>
              <w:pStyle w:val="null3"/>
              <w:ind w:firstLine="420"/>
              <w:jc w:val="both"/>
            </w:pPr>
            <w:r>
              <w:rPr>
                <w:rFonts w:ascii="仿宋_GB2312" w:hAnsi="仿宋_GB2312" w:cs="仿宋_GB2312" w:eastAsia="仿宋_GB2312"/>
                <w:sz w:val="21"/>
                <w:color w:val="000000"/>
              </w:rPr>
              <w:t>1.1.6坚持科学的态度和实事求是的原则；</w:t>
            </w:r>
          </w:p>
          <w:p>
            <w:pPr>
              <w:pStyle w:val="null3"/>
              <w:ind w:firstLine="420"/>
              <w:jc w:val="both"/>
            </w:pPr>
            <w:r>
              <w:rPr>
                <w:rFonts w:ascii="仿宋_GB2312" w:hAnsi="仿宋_GB2312" w:cs="仿宋_GB2312" w:eastAsia="仿宋_GB2312"/>
                <w:sz w:val="21"/>
                <w:color w:val="000000"/>
              </w:rPr>
              <w:t>1.1.7在坚持按监理合同的规定向建设单位提供技术服务的同时，帮助承建单位完成所担负的建设任务。</w:t>
            </w:r>
          </w:p>
          <w:p>
            <w:pPr>
              <w:pStyle w:val="null3"/>
              <w:ind w:firstLine="420"/>
              <w:jc w:val="both"/>
            </w:pPr>
            <w:r>
              <w:rPr>
                <w:rFonts w:ascii="仿宋_GB2312" w:hAnsi="仿宋_GB2312" w:cs="仿宋_GB2312" w:eastAsia="仿宋_GB2312"/>
                <w:sz w:val="21"/>
                <w:color w:val="000000"/>
              </w:rPr>
              <w:t>1.2服务依据</w:t>
            </w:r>
          </w:p>
          <w:p>
            <w:pPr>
              <w:pStyle w:val="null3"/>
              <w:ind w:firstLine="420"/>
              <w:jc w:val="both"/>
            </w:pPr>
            <w:r>
              <w:rPr>
                <w:rFonts w:ascii="仿宋_GB2312" w:hAnsi="仿宋_GB2312" w:cs="仿宋_GB2312" w:eastAsia="仿宋_GB2312"/>
                <w:sz w:val="21"/>
                <w:color w:val="000000"/>
              </w:rPr>
              <w:t>设计方案</w:t>
            </w:r>
          </w:p>
          <w:p>
            <w:pPr>
              <w:pStyle w:val="null3"/>
              <w:ind w:firstLine="420"/>
              <w:jc w:val="both"/>
            </w:pPr>
            <w:r>
              <w:rPr>
                <w:rFonts w:ascii="仿宋_GB2312" w:hAnsi="仿宋_GB2312" w:cs="仿宋_GB2312" w:eastAsia="仿宋_GB2312"/>
                <w:sz w:val="21"/>
                <w:color w:val="000000"/>
              </w:rPr>
              <w:t>监理合同</w:t>
            </w:r>
          </w:p>
          <w:p>
            <w:pPr>
              <w:pStyle w:val="null3"/>
              <w:ind w:firstLine="420"/>
              <w:jc w:val="both"/>
            </w:pPr>
            <w:r>
              <w:rPr>
                <w:rFonts w:ascii="仿宋_GB2312" w:hAnsi="仿宋_GB2312" w:cs="仿宋_GB2312" w:eastAsia="仿宋_GB2312"/>
                <w:sz w:val="21"/>
                <w:color w:val="000000"/>
              </w:rPr>
              <w:t>《信息技术服务监理第</w:t>
            </w:r>
            <w:r>
              <w:rPr>
                <w:rFonts w:ascii="仿宋_GB2312" w:hAnsi="仿宋_GB2312" w:cs="仿宋_GB2312" w:eastAsia="仿宋_GB2312"/>
                <w:sz w:val="21"/>
                <w:color w:val="000000"/>
              </w:rPr>
              <w:t>1部分：总则》 GB/T19668.1- 2014</w:t>
            </w:r>
          </w:p>
          <w:p>
            <w:pPr>
              <w:pStyle w:val="null3"/>
              <w:ind w:firstLine="420"/>
              <w:jc w:val="both"/>
            </w:pPr>
            <w:r>
              <w:rPr>
                <w:rFonts w:ascii="仿宋_GB2312" w:hAnsi="仿宋_GB2312" w:cs="仿宋_GB2312" w:eastAsia="仿宋_GB2312"/>
                <w:sz w:val="21"/>
                <w:color w:val="000000"/>
              </w:rPr>
              <w:t>《信息技术服务监理第</w:t>
            </w:r>
            <w:r>
              <w:rPr>
                <w:rFonts w:ascii="仿宋_GB2312" w:hAnsi="仿宋_GB2312" w:cs="仿宋_GB2312" w:eastAsia="仿宋_GB2312"/>
                <w:sz w:val="21"/>
                <w:color w:val="000000"/>
              </w:rPr>
              <w:t>2部分：基础设施工程监理规范》 GB/T19668.2- 2017</w:t>
            </w:r>
          </w:p>
          <w:p>
            <w:pPr>
              <w:pStyle w:val="null3"/>
              <w:ind w:firstLine="420"/>
              <w:jc w:val="both"/>
            </w:pPr>
            <w:r>
              <w:rPr>
                <w:rFonts w:ascii="仿宋_GB2312" w:hAnsi="仿宋_GB2312" w:cs="仿宋_GB2312" w:eastAsia="仿宋_GB2312"/>
                <w:sz w:val="21"/>
                <w:color w:val="000000"/>
              </w:rPr>
              <w:t>《信息技术服务监理第</w:t>
            </w:r>
            <w:r>
              <w:rPr>
                <w:rFonts w:ascii="仿宋_GB2312" w:hAnsi="仿宋_GB2312" w:cs="仿宋_GB2312" w:eastAsia="仿宋_GB2312"/>
                <w:sz w:val="21"/>
                <w:color w:val="000000"/>
              </w:rPr>
              <w:t>3部分：运行维护监理规范》 GB/T19668.3- 2017</w:t>
            </w:r>
          </w:p>
          <w:p>
            <w:pPr>
              <w:pStyle w:val="null3"/>
              <w:ind w:firstLine="420"/>
              <w:jc w:val="both"/>
            </w:pPr>
            <w:r>
              <w:rPr>
                <w:rFonts w:ascii="仿宋_GB2312" w:hAnsi="仿宋_GB2312" w:cs="仿宋_GB2312" w:eastAsia="仿宋_GB2312"/>
                <w:sz w:val="21"/>
                <w:color w:val="000000"/>
              </w:rPr>
              <w:t>《信息技术服务监理第</w:t>
            </w:r>
            <w:r>
              <w:rPr>
                <w:rFonts w:ascii="仿宋_GB2312" w:hAnsi="仿宋_GB2312" w:cs="仿宋_GB2312" w:eastAsia="仿宋_GB2312"/>
                <w:sz w:val="21"/>
                <w:color w:val="000000"/>
              </w:rPr>
              <w:t>4部分：信息安全监理规范》 GB/T19668.4- 2017</w:t>
            </w:r>
          </w:p>
          <w:p>
            <w:pPr>
              <w:pStyle w:val="null3"/>
              <w:ind w:firstLine="420"/>
              <w:jc w:val="both"/>
            </w:pPr>
            <w:r>
              <w:rPr>
                <w:rFonts w:ascii="仿宋_GB2312" w:hAnsi="仿宋_GB2312" w:cs="仿宋_GB2312" w:eastAsia="仿宋_GB2312"/>
                <w:sz w:val="21"/>
                <w:color w:val="000000"/>
              </w:rPr>
              <w:t>《信息技术服务监理第</w:t>
            </w:r>
            <w:r>
              <w:rPr>
                <w:rFonts w:ascii="仿宋_GB2312" w:hAnsi="仿宋_GB2312" w:cs="仿宋_GB2312" w:eastAsia="仿宋_GB2312"/>
                <w:sz w:val="21"/>
                <w:color w:val="000000"/>
              </w:rPr>
              <w:t>5部分：软件工程监理规范》 GB/T19668.5- 2018</w:t>
            </w:r>
          </w:p>
          <w:p>
            <w:pPr>
              <w:pStyle w:val="null3"/>
              <w:ind w:firstLine="420"/>
              <w:jc w:val="both"/>
            </w:pPr>
            <w:r>
              <w:rPr>
                <w:rFonts w:ascii="仿宋_GB2312" w:hAnsi="仿宋_GB2312" w:cs="仿宋_GB2312" w:eastAsia="仿宋_GB2312"/>
                <w:sz w:val="21"/>
                <w:color w:val="000000"/>
              </w:rPr>
              <w:t>《信息技术服务监理第</w:t>
            </w:r>
            <w:r>
              <w:rPr>
                <w:rFonts w:ascii="仿宋_GB2312" w:hAnsi="仿宋_GB2312" w:cs="仿宋_GB2312" w:eastAsia="仿宋_GB2312"/>
                <w:sz w:val="21"/>
                <w:color w:val="000000"/>
              </w:rPr>
              <w:t>6部分：应用系统数据中心工程监理规范》GB∕T 19668.6-2019</w:t>
            </w:r>
          </w:p>
          <w:p>
            <w:pPr>
              <w:pStyle w:val="null3"/>
              <w:ind w:firstLine="420"/>
              <w:jc w:val="both"/>
            </w:pPr>
            <w:r>
              <w:rPr>
                <w:rFonts w:ascii="仿宋_GB2312" w:hAnsi="仿宋_GB2312" w:cs="仿宋_GB2312" w:eastAsia="仿宋_GB2312"/>
                <w:sz w:val="21"/>
                <w:color w:val="000000"/>
              </w:rPr>
              <w:t>2.监理范围</w:t>
            </w:r>
          </w:p>
          <w:p>
            <w:pPr>
              <w:pStyle w:val="null3"/>
              <w:ind w:firstLine="420"/>
              <w:jc w:val="both"/>
            </w:pPr>
            <w:r>
              <w:rPr>
                <w:rFonts w:ascii="仿宋_GB2312" w:hAnsi="仿宋_GB2312" w:cs="仿宋_GB2312" w:eastAsia="仿宋_GB2312"/>
                <w:sz w:val="21"/>
                <w:color w:val="000000"/>
              </w:rPr>
              <w:t>2.1监理范围</w:t>
            </w:r>
          </w:p>
          <w:p>
            <w:pPr>
              <w:pStyle w:val="null3"/>
              <w:ind w:firstLine="420"/>
              <w:jc w:val="both"/>
            </w:pPr>
            <w:r>
              <w:rPr>
                <w:rFonts w:ascii="仿宋_GB2312" w:hAnsi="仿宋_GB2312" w:cs="仿宋_GB2312" w:eastAsia="仿宋_GB2312"/>
                <w:sz w:val="21"/>
                <w:color w:val="000000"/>
              </w:rPr>
              <w:t>监理范围主要为项目方案的规划设计、招投标文件、建设合同及施工方案中的建设内容。</w:t>
            </w:r>
          </w:p>
          <w:p>
            <w:pPr>
              <w:pStyle w:val="null3"/>
              <w:ind w:firstLine="420"/>
              <w:jc w:val="both"/>
            </w:pPr>
            <w:r>
              <w:rPr>
                <w:rFonts w:ascii="仿宋_GB2312" w:hAnsi="仿宋_GB2312" w:cs="仿宋_GB2312" w:eastAsia="仿宋_GB2312"/>
                <w:sz w:val="21"/>
                <w:color w:val="000000"/>
              </w:rPr>
              <w:t>2.2监理基本内容：</w:t>
            </w:r>
          </w:p>
          <w:p>
            <w:pPr>
              <w:pStyle w:val="null3"/>
              <w:ind w:firstLine="420"/>
              <w:jc w:val="both"/>
            </w:pPr>
            <w:r>
              <w:rPr>
                <w:rFonts w:ascii="仿宋_GB2312" w:hAnsi="仿宋_GB2312" w:cs="仿宋_GB2312" w:eastAsia="仿宋_GB2312"/>
                <w:sz w:val="21"/>
                <w:color w:val="000000"/>
              </w:rPr>
              <w:t>A．准备阶段</w:t>
            </w:r>
          </w:p>
          <w:p>
            <w:pPr>
              <w:pStyle w:val="null3"/>
              <w:ind w:firstLine="420"/>
              <w:jc w:val="both"/>
            </w:pPr>
            <w:r>
              <w:rPr>
                <w:rFonts w:ascii="仿宋_GB2312" w:hAnsi="仿宋_GB2312" w:cs="仿宋_GB2312" w:eastAsia="仿宋_GB2312"/>
                <w:sz w:val="21"/>
                <w:color w:val="000000"/>
              </w:rPr>
              <w:t>(1) 严格按照设备招标文件、承建单位的投标文件及施工合同对承建单位提供的所有设备进行验收，确认设备品目、型号、配置、数量、性能。</w:t>
            </w:r>
          </w:p>
          <w:p>
            <w:pPr>
              <w:pStyle w:val="null3"/>
              <w:ind w:firstLine="420"/>
              <w:jc w:val="both"/>
            </w:pPr>
            <w:r>
              <w:rPr>
                <w:rFonts w:ascii="仿宋_GB2312" w:hAnsi="仿宋_GB2312" w:cs="仿宋_GB2312" w:eastAsia="仿宋_GB2312"/>
                <w:sz w:val="21"/>
                <w:color w:val="000000"/>
              </w:rPr>
              <w:t>(2) 审核系统承建单位的集成方案，确保系统承建单位按照其投标文件所做的承诺执行集成工作。</w:t>
            </w:r>
          </w:p>
          <w:p>
            <w:pPr>
              <w:pStyle w:val="null3"/>
              <w:ind w:firstLine="420"/>
              <w:jc w:val="both"/>
            </w:pPr>
            <w:r>
              <w:rPr>
                <w:rFonts w:ascii="仿宋_GB2312" w:hAnsi="仿宋_GB2312" w:cs="仿宋_GB2312" w:eastAsia="仿宋_GB2312"/>
                <w:sz w:val="21"/>
                <w:color w:val="000000"/>
              </w:rPr>
              <w:t>B．施工阶段</w:t>
            </w:r>
          </w:p>
          <w:p>
            <w:pPr>
              <w:pStyle w:val="null3"/>
              <w:ind w:firstLine="420"/>
              <w:jc w:val="both"/>
            </w:pPr>
            <w:r>
              <w:rPr>
                <w:rFonts w:ascii="仿宋_GB2312" w:hAnsi="仿宋_GB2312" w:cs="仿宋_GB2312" w:eastAsia="仿宋_GB2312"/>
                <w:sz w:val="21"/>
                <w:color w:val="000000"/>
              </w:rPr>
              <w:t>(1) 审批施工方案，确认开工报告，签发开工指令。</w:t>
            </w:r>
          </w:p>
          <w:p>
            <w:pPr>
              <w:pStyle w:val="null3"/>
              <w:ind w:firstLine="420"/>
              <w:jc w:val="both"/>
            </w:pPr>
            <w:r>
              <w:rPr>
                <w:rFonts w:ascii="仿宋_GB2312" w:hAnsi="仿宋_GB2312" w:cs="仿宋_GB2312" w:eastAsia="仿宋_GB2312"/>
                <w:sz w:val="21"/>
                <w:color w:val="000000"/>
              </w:rPr>
              <w:t>(2) 每天检查施工现场和施工的安全防护设施及工作情况。</w:t>
            </w:r>
          </w:p>
          <w:p>
            <w:pPr>
              <w:pStyle w:val="null3"/>
              <w:ind w:firstLine="420"/>
              <w:jc w:val="both"/>
            </w:pPr>
            <w:r>
              <w:rPr>
                <w:rFonts w:ascii="仿宋_GB2312" w:hAnsi="仿宋_GB2312" w:cs="仿宋_GB2312" w:eastAsia="仿宋_GB2312"/>
                <w:sz w:val="21"/>
                <w:color w:val="000000"/>
              </w:rPr>
              <w:t>(3) 检查承建单位的施工组织、施工技术方案和进度计划，检查计划执行情况实际进度与计划进度对比分析，纠正进度计划偏离，审查有关技术合同附件，确保工程在合同规定期限内完成。</w:t>
            </w:r>
          </w:p>
          <w:p>
            <w:pPr>
              <w:pStyle w:val="null3"/>
              <w:ind w:firstLine="420"/>
              <w:jc w:val="both"/>
            </w:pPr>
            <w:r>
              <w:rPr>
                <w:rFonts w:ascii="仿宋_GB2312" w:hAnsi="仿宋_GB2312" w:cs="仿宋_GB2312" w:eastAsia="仿宋_GB2312"/>
                <w:sz w:val="21"/>
                <w:color w:val="000000"/>
              </w:rPr>
              <w:t>(4) 检查承建单位的管理规范与质量控制体系是否符合要求。严格监督与管理督促承建单位按规范、设计方案及工艺标准施工，确保工程按质按量完成。</w:t>
            </w:r>
          </w:p>
          <w:p>
            <w:pPr>
              <w:pStyle w:val="null3"/>
              <w:ind w:firstLine="420"/>
              <w:jc w:val="both"/>
            </w:pPr>
            <w:r>
              <w:rPr>
                <w:rFonts w:ascii="仿宋_GB2312" w:hAnsi="仿宋_GB2312" w:cs="仿宋_GB2312" w:eastAsia="仿宋_GB2312"/>
                <w:sz w:val="21"/>
                <w:color w:val="000000"/>
              </w:rPr>
              <w:t>(5) 对项目的各个分项分部及单位工程质量控制及检查验收把关，各分项、隐蔽工程自检，签发子系统检验认可书，进行质量事故分析，监督事故处理方案执行。</w:t>
            </w:r>
          </w:p>
          <w:p>
            <w:pPr>
              <w:pStyle w:val="null3"/>
              <w:ind w:firstLine="420"/>
              <w:jc w:val="both"/>
            </w:pPr>
            <w:r>
              <w:rPr>
                <w:rFonts w:ascii="仿宋_GB2312" w:hAnsi="仿宋_GB2312" w:cs="仿宋_GB2312" w:eastAsia="仿宋_GB2312"/>
                <w:sz w:val="21"/>
                <w:color w:val="000000"/>
              </w:rPr>
              <w:t>(6) 当质量有问题时，分析查明原因并及时提出要求，若工程需变更，提出变更的参考意见，并督促承建单位返修返工。</w:t>
            </w:r>
          </w:p>
          <w:p>
            <w:pPr>
              <w:pStyle w:val="null3"/>
              <w:ind w:firstLine="420"/>
              <w:jc w:val="both"/>
            </w:pPr>
            <w:r>
              <w:rPr>
                <w:rFonts w:ascii="仿宋_GB2312" w:hAnsi="仿宋_GB2312" w:cs="仿宋_GB2312" w:eastAsia="仿宋_GB2312"/>
                <w:sz w:val="21"/>
                <w:color w:val="000000"/>
              </w:rPr>
              <w:t>(7) 督促履行工程合同，协助调解合同有关问题，检查工程质量，督促工程进度。</w:t>
            </w:r>
          </w:p>
          <w:p>
            <w:pPr>
              <w:pStyle w:val="null3"/>
              <w:ind w:firstLine="420"/>
              <w:jc w:val="both"/>
            </w:pPr>
            <w:r>
              <w:rPr>
                <w:rFonts w:ascii="仿宋_GB2312" w:hAnsi="仿宋_GB2312" w:cs="仿宋_GB2312" w:eastAsia="仿宋_GB2312"/>
                <w:sz w:val="21"/>
                <w:color w:val="000000"/>
              </w:rPr>
              <w:t>C．试运行阶段</w:t>
            </w:r>
          </w:p>
          <w:p>
            <w:pPr>
              <w:pStyle w:val="null3"/>
              <w:ind w:firstLine="420"/>
              <w:jc w:val="both"/>
            </w:pPr>
            <w:r>
              <w:rPr>
                <w:rFonts w:ascii="仿宋_GB2312" w:hAnsi="仿宋_GB2312" w:cs="仿宋_GB2312" w:eastAsia="仿宋_GB2312"/>
                <w:sz w:val="21"/>
                <w:color w:val="000000"/>
              </w:rPr>
              <w:t>(1) 检查系统调试和试运行情况，做出试运行检测报告。</w:t>
            </w:r>
          </w:p>
          <w:p>
            <w:pPr>
              <w:pStyle w:val="null3"/>
              <w:ind w:firstLine="420"/>
              <w:jc w:val="both"/>
            </w:pPr>
            <w:r>
              <w:rPr>
                <w:rFonts w:ascii="仿宋_GB2312" w:hAnsi="仿宋_GB2312" w:cs="仿宋_GB2312" w:eastAsia="仿宋_GB2312"/>
                <w:sz w:val="21"/>
                <w:color w:val="000000"/>
              </w:rPr>
              <w:t>(2) 对于运行系统中出现的质量问题，写出质量分析报告，督促承建单位负责解决。</w:t>
            </w:r>
          </w:p>
          <w:p>
            <w:pPr>
              <w:pStyle w:val="null3"/>
              <w:ind w:firstLine="420"/>
              <w:jc w:val="both"/>
            </w:pPr>
            <w:r>
              <w:rPr>
                <w:rFonts w:ascii="仿宋_GB2312" w:hAnsi="仿宋_GB2312" w:cs="仿宋_GB2312" w:eastAsia="仿宋_GB2312"/>
                <w:sz w:val="21"/>
                <w:color w:val="000000"/>
              </w:rPr>
              <w:t>(3) 按合同要求督促完成培训工作，建立运行规章制度。</w:t>
            </w:r>
          </w:p>
          <w:p>
            <w:pPr>
              <w:pStyle w:val="null3"/>
              <w:ind w:firstLine="420"/>
              <w:jc w:val="both"/>
            </w:pPr>
            <w:r>
              <w:rPr>
                <w:rFonts w:ascii="仿宋_GB2312" w:hAnsi="仿宋_GB2312" w:cs="仿宋_GB2312" w:eastAsia="仿宋_GB2312"/>
                <w:sz w:val="21"/>
                <w:color w:val="000000"/>
              </w:rPr>
              <w:t>D.验收阶段</w:t>
            </w:r>
          </w:p>
          <w:p>
            <w:pPr>
              <w:pStyle w:val="null3"/>
              <w:ind w:firstLine="420"/>
              <w:jc w:val="both"/>
            </w:pPr>
            <w:r>
              <w:rPr>
                <w:rFonts w:ascii="仿宋_GB2312" w:hAnsi="仿宋_GB2312" w:cs="仿宋_GB2312" w:eastAsia="仿宋_GB2312"/>
                <w:sz w:val="21"/>
                <w:color w:val="000000"/>
              </w:rPr>
              <w:t>(1) 按项目招标文件、承建单位投标文件和合同中的技术指标做出详细的检测报告，配合对各系统进行验收测试。</w:t>
            </w:r>
          </w:p>
          <w:p>
            <w:pPr>
              <w:pStyle w:val="null3"/>
              <w:ind w:firstLine="420"/>
              <w:jc w:val="both"/>
            </w:pPr>
            <w:r>
              <w:rPr>
                <w:rFonts w:ascii="仿宋_GB2312" w:hAnsi="仿宋_GB2312" w:cs="仿宋_GB2312" w:eastAsia="仿宋_GB2312"/>
                <w:sz w:val="21"/>
                <w:color w:val="000000"/>
              </w:rPr>
              <w:t>(2) 监理督促承建单位整理并提交工程相关的技术资料和提交验收的材料。</w:t>
            </w:r>
          </w:p>
          <w:p>
            <w:pPr>
              <w:pStyle w:val="null3"/>
              <w:ind w:firstLine="420"/>
              <w:jc w:val="both"/>
            </w:pPr>
            <w:r>
              <w:rPr>
                <w:rFonts w:ascii="仿宋_GB2312" w:hAnsi="仿宋_GB2312" w:cs="仿宋_GB2312" w:eastAsia="仿宋_GB2312"/>
                <w:sz w:val="21"/>
                <w:color w:val="000000"/>
              </w:rPr>
              <w:t>(3) 完成工程竣工验收的准备工作，并参与工程验收，编写竣工验收评估报告。</w:t>
            </w:r>
          </w:p>
          <w:p>
            <w:pPr>
              <w:pStyle w:val="null3"/>
              <w:ind w:firstLine="420"/>
              <w:jc w:val="both"/>
            </w:pPr>
            <w:r>
              <w:rPr>
                <w:rFonts w:ascii="仿宋_GB2312" w:hAnsi="仿宋_GB2312" w:cs="仿宋_GB2312" w:eastAsia="仿宋_GB2312"/>
                <w:sz w:val="21"/>
                <w:color w:val="000000"/>
              </w:rPr>
              <w:t>项目建设运维期间，监理单位需要随时关注相关安全及运维管理工作进展，配合建设单位方完成对承建单位管理工作。</w:t>
            </w:r>
          </w:p>
          <w:p>
            <w:pPr>
              <w:pStyle w:val="null3"/>
              <w:ind w:firstLine="420"/>
              <w:jc w:val="both"/>
            </w:pPr>
            <w:r>
              <w:rPr>
                <w:rFonts w:ascii="仿宋_GB2312" w:hAnsi="仿宋_GB2312" w:cs="仿宋_GB2312" w:eastAsia="仿宋_GB2312"/>
                <w:sz w:val="21"/>
                <w:color w:val="000000"/>
              </w:rPr>
              <w:t>3.监理工作责任</w:t>
            </w:r>
          </w:p>
          <w:p>
            <w:pPr>
              <w:pStyle w:val="null3"/>
              <w:ind w:firstLine="420"/>
              <w:jc w:val="both"/>
            </w:pPr>
            <w:r>
              <w:rPr>
                <w:rFonts w:ascii="仿宋_GB2312" w:hAnsi="仿宋_GB2312" w:cs="仿宋_GB2312" w:eastAsia="仿宋_GB2312"/>
                <w:sz w:val="21"/>
                <w:color w:val="000000"/>
              </w:rPr>
              <w:t>3.1 本项目的监理应该严格按照有关规定开展工作，对项目的进度、质量进行有效的控制和管理，督促、检查承建单位落实安全及质量保证措施，做好组织协调工作，为建设单位提供技术、经济和法律等方面的咨询服务，协助建设单位实现预定的合理建设目标，帮助承建单位实现合同所规定的目标、公正维护各方的合法权益。</w:t>
            </w:r>
          </w:p>
          <w:p>
            <w:pPr>
              <w:pStyle w:val="null3"/>
              <w:ind w:firstLine="420"/>
              <w:jc w:val="both"/>
            </w:pPr>
            <w:r>
              <w:rPr>
                <w:rFonts w:ascii="仿宋_GB2312" w:hAnsi="仿宋_GB2312" w:cs="仿宋_GB2312" w:eastAsia="仿宋_GB2312"/>
                <w:sz w:val="21"/>
                <w:color w:val="000000"/>
              </w:rPr>
              <w:t>3.2 未经建设单位同意，不得泄露任何与本工程项目有关的资料。</w:t>
            </w:r>
          </w:p>
          <w:p>
            <w:pPr>
              <w:pStyle w:val="null3"/>
              <w:ind w:firstLine="420"/>
              <w:jc w:val="both"/>
            </w:pPr>
            <w:r>
              <w:rPr>
                <w:rFonts w:ascii="仿宋_GB2312" w:hAnsi="仿宋_GB2312" w:cs="仿宋_GB2312" w:eastAsia="仿宋_GB2312"/>
                <w:sz w:val="21"/>
                <w:color w:val="000000"/>
              </w:rPr>
              <w:t>3.3 若承建单位在工程施工中不符合工程规范和质量要求，监理单位要监督承建单位停工整改或返工。若遇到确实需要变更设备或施工方案的情况时，在确保工程建设质量的前提下，监理单位须提出合理建议并报建设单位批准后方可执行。</w:t>
            </w:r>
          </w:p>
          <w:p>
            <w:pPr>
              <w:pStyle w:val="null3"/>
              <w:ind w:firstLine="420"/>
              <w:jc w:val="both"/>
            </w:pPr>
            <w:r>
              <w:rPr>
                <w:rFonts w:ascii="仿宋_GB2312" w:hAnsi="仿宋_GB2312" w:cs="仿宋_GB2312" w:eastAsia="仿宋_GB2312"/>
                <w:sz w:val="21"/>
                <w:color w:val="000000"/>
              </w:rPr>
              <w:t>3.4 承建单位违反合同规定的完工时限，监理单位需协助建设单位追究有关承建单位的责任。</w:t>
            </w:r>
          </w:p>
          <w:p>
            <w:pPr>
              <w:pStyle w:val="null3"/>
              <w:ind w:firstLine="420"/>
              <w:jc w:val="both"/>
            </w:pPr>
            <w:r>
              <w:rPr>
                <w:rFonts w:ascii="仿宋_GB2312" w:hAnsi="仿宋_GB2312" w:cs="仿宋_GB2312" w:eastAsia="仿宋_GB2312"/>
                <w:sz w:val="21"/>
                <w:color w:val="000000"/>
              </w:rPr>
              <w:t>3.5 由于监理单位监督不力，造成建设单位经济损失的，需扣除相应监理费（该费用协商解决）；如由于承建单位的责任造成建设单位的经济损失，监理单位必须负责配合追究承建单位，赔偿给建设单位造成的全部经济损失。</w:t>
            </w:r>
          </w:p>
          <w:p>
            <w:pPr>
              <w:pStyle w:val="null3"/>
              <w:ind w:firstLine="420"/>
              <w:jc w:val="both"/>
            </w:pPr>
            <w:r>
              <w:rPr>
                <w:rFonts w:ascii="仿宋_GB2312" w:hAnsi="仿宋_GB2312" w:cs="仿宋_GB2312" w:eastAsia="仿宋_GB2312"/>
                <w:sz w:val="21"/>
                <w:color w:val="000000"/>
              </w:rPr>
              <w:t>3.6 监理单位使用建设单位提供的设备和物品属建设单位所有，在监理工作完成或终止时，应将设备和剩余物品在合同规定的时间和方式移交给建设单位。</w:t>
            </w:r>
          </w:p>
          <w:p>
            <w:pPr>
              <w:pStyle w:val="null3"/>
              <w:ind w:firstLine="420"/>
              <w:jc w:val="both"/>
            </w:pPr>
            <w:r>
              <w:rPr>
                <w:rFonts w:ascii="仿宋_GB2312" w:hAnsi="仿宋_GB2312" w:cs="仿宋_GB2312" w:eastAsia="仿宋_GB2312"/>
                <w:sz w:val="21"/>
                <w:color w:val="000000"/>
              </w:rPr>
              <w:t>3.7 监理单位不得对监理工程进行分包或转包，否则建设单位有权终止合同，监理单位要承担由此造成的一切经济损失。</w:t>
            </w:r>
          </w:p>
          <w:p>
            <w:pPr>
              <w:pStyle w:val="null3"/>
              <w:ind w:firstLine="420"/>
              <w:jc w:val="both"/>
            </w:pPr>
            <w:r>
              <w:rPr>
                <w:rFonts w:ascii="仿宋_GB2312" w:hAnsi="仿宋_GB2312" w:cs="仿宋_GB2312" w:eastAsia="仿宋_GB2312"/>
                <w:sz w:val="21"/>
                <w:color w:val="000000"/>
              </w:rPr>
              <w:t>3.8 监理单位不得在工程监理期间对投标文件中已经明确的监理人员进行更换，如遇特殊情况须经建设单位同意；如现场监理人员工作不力时，建设单位有权提出更换监理人员，更换后的监理人员必须及时到达监理现场。</w:t>
            </w:r>
          </w:p>
          <w:p>
            <w:pPr>
              <w:pStyle w:val="null3"/>
              <w:ind w:firstLine="420"/>
              <w:jc w:val="both"/>
            </w:pPr>
            <w:r>
              <w:rPr>
                <w:rFonts w:ascii="仿宋_GB2312" w:hAnsi="仿宋_GB2312" w:cs="仿宋_GB2312" w:eastAsia="仿宋_GB2312"/>
                <w:sz w:val="21"/>
                <w:color w:val="000000"/>
              </w:rPr>
              <w:t>4.监理工作质量要求</w:t>
            </w:r>
          </w:p>
          <w:p>
            <w:pPr>
              <w:pStyle w:val="null3"/>
              <w:ind w:firstLine="420"/>
              <w:jc w:val="both"/>
            </w:pPr>
            <w:r>
              <w:rPr>
                <w:rFonts w:ascii="仿宋_GB2312" w:hAnsi="仿宋_GB2312" w:cs="仿宋_GB2312" w:eastAsia="仿宋_GB2312"/>
                <w:sz w:val="21"/>
                <w:color w:val="000000"/>
              </w:rPr>
              <w:t>监理单位应该在质量控制、投资控制、进度控制、信息管理、合同管理</w:t>
            </w:r>
            <w:r>
              <w:rPr>
                <w:rFonts w:ascii="仿宋_GB2312" w:hAnsi="仿宋_GB2312" w:cs="仿宋_GB2312" w:eastAsia="仿宋_GB2312"/>
                <w:sz w:val="21"/>
                <w:color w:val="000000"/>
              </w:rPr>
              <w:t>/组织协调等几个方面对监理工程采取必要和完善的监督、控制和管理措施，保证所监理的工程能够按时、按质、按量竣工。</w:t>
            </w:r>
          </w:p>
          <w:p>
            <w:pPr>
              <w:pStyle w:val="null3"/>
              <w:ind w:firstLine="420"/>
              <w:jc w:val="both"/>
            </w:pPr>
            <w:r>
              <w:rPr>
                <w:rFonts w:ascii="仿宋_GB2312" w:hAnsi="仿宋_GB2312" w:cs="仿宋_GB2312" w:eastAsia="仿宋_GB2312"/>
                <w:sz w:val="21"/>
                <w:color w:val="000000"/>
              </w:rPr>
              <w:t>监理单位必须每周定期向建设单位通报工程进展情况及工程实施过程中所遇到的问题。</w:t>
            </w:r>
          </w:p>
          <w:p>
            <w:pPr>
              <w:pStyle w:val="null3"/>
              <w:ind w:firstLine="420"/>
              <w:jc w:val="both"/>
            </w:pPr>
            <w:r>
              <w:rPr>
                <w:rFonts w:ascii="仿宋_GB2312" w:hAnsi="仿宋_GB2312" w:cs="仿宋_GB2312" w:eastAsia="仿宋_GB2312"/>
                <w:sz w:val="21"/>
                <w:color w:val="000000"/>
              </w:rPr>
              <w:t>监理工作的质量控制目标：达到国家规定的质量评定标准。</w:t>
            </w:r>
          </w:p>
          <w:p>
            <w:pPr>
              <w:pStyle w:val="null3"/>
              <w:ind w:firstLine="420"/>
              <w:jc w:val="both"/>
            </w:pPr>
            <w:r>
              <w:rPr>
                <w:rFonts w:ascii="仿宋_GB2312" w:hAnsi="仿宋_GB2312" w:cs="仿宋_GB2312" w:eastAsia="仿宋_GB2312"/>
                <w:sz w:val="21"/>
                <w:color w:val="000000"/>
              </w:rPr>
              <w:t>监理工作的计划控制目标：工程工期必须在合同工期内完成。</w:t>
            </w:r>
          </w:p>
          <w:p>
            <w:pPr>
              <w:pStyle w:val="null3"/>
              <w:ind w:firstLine="420"/>
              <w:jc w:val="both"/>
            </w:pPr>
            <w:r>
              <w:rPr>
                <w:rFonts w:ascii="仿宋_GB2312" w:hAnsi="仿宋_GB2312" w:cs="仿宋_GB2312" w:eastAsia="仿宋_GB2312"/>
                <w:sz w:val="21"/>
                <w:color w:val="000000"/>
              </w:rPr>
              <w:t>监理工作的投资控制目标：工程总投资必须严格控制在批复概算范围以内。</w:t>
            </w:r>
          </w:p>
          <w:p>
            <w:pPr>
              <w:pStyle w:val="null3"/>
              <w:ind w:firstLine="420"/>
              <w:jc w:val="both"/>
            </w:pPr>
            <w:r>
              <w:rPr>
                <w:rFonts w:ascii="仿宋_GB2312" w:hAnsi="仿宋_GB2312" w:cs="仿宋_GB2312" w:eastAsia="仿宋_GB2312"/>
                <w:sz w:val="21"/>
                <w:color w:val="000000"/>
              </w:rPr>
              <w:t>5.监理人员要求</w:t>
            </w:r>
          </w:p>
          <w:p>
            <w:pPr>
              <w:pStyle w:val="null3"/>
              <w:ind w:firstLine="420"/>
              <w:jc w:val="both"/>
            </w:pPr>
            <w:r>
              <w:rPr>
                <w:rFonts w:ascii="仿宋_GB2312" w:hAnsi="仿宋_GB2312" w:cs="仿宋_GB2312" w:eastAsia="仿宋_GB2312"/>
                <w:sz w:val="21"/>
                <w:color w:val="000000"/>
              </w:rPr>
              <w:t>针对本项目技术含量高，施工涉及面多，实施工期长、建设内容多等特点，监理单位应成立专门项目监理工作组，该项目组由具有类似监理业绩、丰富监理经验和过硬的专业理论与实践知识的人员组成。监理组成员将严格遵循</w:t>
            </w:r>
            <w:r>
              <w:rPr>
                <w:rFonts w:ascii="仿宋_GB2312" w:hAnsi="仿宋_GB2312" w:cs="仿宋_GB2312" w:eastAsia="仿宋_GB2312"/>
                <w:sz w:val="21"/>
                <w:color w:val="000000"/>
              </w:rPr>
              <w:t>“守法、公平、公正、独立”的监理原则，对建设项目的全过程进行科学、公正、公平的质量跟踪监控、协调与处理，并以良好的职业道德，遵纪守法，以丰富的实践经验来作好本项目的监理工作。总监理工程师对本项目的实施全面负责，管理项目部的日常工作，对本项目的监理工作提供参考意见和技术咨询指导；总监代表组织信息系统监理工程师负责现场的“四控三管一协调”工作，实施现场监理。</w:t>
            </w:r>
          </w:p>
          <w:p>
            <w:pPr>
              <w:pStyle w:val="null3"/>
              <w:ind w:firstLine="420"/>
              <w:jc w:val="both"/>
            </w:pPr>
            <w:r>
              <w:rPr>
                <w:rFonts w:ascii="仿宋_GB2312" w:hAnsi="仿宋_GB2312" w:cs="仿宋_GB2312" w:eastAsia="仿宋_GB2312"/>
                <w:sz w:val="21"/>
                <w:color w:val="000000"/>
              </w:rPr>
              <w:t>监理人员必须全程到位，监理单位必须保证按照建设单位通知要求，能及时委派负责本项目的总监及专职监理工程师及时到位参与各项工作。同时保证，在项目承建单位进场日期开始至项目竣工验收完毕之日，有不少于</w:t>
            </w:r>
            <w:r>
              <w:rPr>
                <w:rFonts w:ascii="仿宋_GB2312" w:hAnsi="仿宋_GB2312" w:cs="仿宋_GB2312" w:eastAsia="仿宋_GB2312"/>
                <w:sz w:val="21"/>
                <w:color w:val="000000"/>
              </w:rPr>
              <w:t>*名的项目监理人员常驻施工现场，对整个项目建设全程作现场监理。</w:t>
            </w:r>
          </w:p>
          <w:p>
            <w:pPr>
              <w:pStyle w:val="null3"/>
              <w:ind w:firstLine="420"/>
              <w:jc w:val="both"/>
            </w:pPr>
            <w:r>
              <w:rPr>
                <w:rFonts w:ascii="仿宋_GB2312" w:hAnsi="仿宋_GB2312" w:cs="仿宋_GB2312" w:eastAsia="仿宋_GB2312"/>
                <w:sz w:val="21"/>
                <w:color w:val="000000"/>
              </w:rPr>
              <w:t>监理人员的人身安全及劳务关系等由监理单位负责。本监理项目的费用包括监理人员在采购人驻地外开展工作时的全部费用，包括因为本项目产生的差旅费用；监理人员由于项目工作需要产生的加班，值班等工作不另外计费。监理单位应充分考虑响应报价，所有监理人员一切费用均包含在项目报价中。</w:t>
            </w:r>
          </w:p>
          <w:p>
            <w:pPr>
              <w:pStyle w:val="null3"/>
              <w:ind w:firstLine="422"/>
              <w:jc w:val="both"/>
            </w:pPr>
            <w:r>
              <w:rPr>
                <w:rFonts w:ascii="仿宋_GB2312" w:hAnsi="仿宋_GB2312" w:cs="仿宋_GB2312" w:eastAsia="仿宋_GB2312"/>
                <w:sz w:val="21"/>
                <w:b/>
                <w:color w:val="000000"/>
              </w:rPr>
              <w:t>三、监理的工作内容及要求</w:t>
            </w:r>
          </w:p>
          <w:p>
            <w:pPr>
              <w:pStyle w:val="null3"/>
              <w:ind w:firstLine="420"/>
              <w:jc w:val="both"/>
            </w:pPr>
            <w:r>
              <w:rPr>
                <w:rFonts w:ascii="仿宋_GB2312" w:hAnsi="仿宋_GB2312" w:cs="仿宋_GB2312" w:eastAsia="仿宋_GB2312"/>
                <w:sz w:val="21"/>
                <w:color w:val="000000"/>
              </w:rPr>
              <w:t>本次项目监理工作需按照国家信息化工程监理的国标（</w:t>
            </w:r>
            <w:r>
              <w:rPr>
                <w:rFonts w:ascii="仿宋_GB2312" w:hAnsi="仿宋_GB2312" w:cs="仿宋_GB2312" w:eastAsia="仿宋_GB2312"/>
                <w:sz w:val="21"/>
                <w:color w:val="000000"/>
              </w:rPr>
              <w:t>GB/T 196681 《信息技术服务监理》）针对各项目分别开展信息系统工程监理，工作应按照“四控、三管、一协调”的监理基本原则进行，即对项目进度、质量、投资、变更进行控制，对项目对合同执行情况、资料编制及整理情况、施工安全进行管理，并协调建设方、供应商、业务部门等干系人，对参与的各方进行沟通协调。同时, 监理单位为采购人提供项目建设全过程的技术咨询服务，对项目建设中的技术难点、问题及风险为建设单位提供全方位的解答和咨询服务</w:t>
            </w:r>
          </w:p>
          <w:p>
            <w:pPr>
              <w:pStyle w:val="null3"/>
              <w:ind w:firstLine="420"/>
              <w:jc w:val="both"/>
            </w:pPr>
            <w:r>
              <w:rPr>
                <w:rFonts w:ascii="仿宋_GB2312" w:hAnsi="仿宋_GB2312" w:cs="仿宋_GB2312" w:eastAsia="仿宋_GB2312"/>
                <w:sz w:val="21"/>
                <w:color w:val="000000"/>
              </w:rPr>
              <w:t>监理工作内容包括项目施工阶段、验收阶段、运维阶段和工程缺陷期的全过程监理。按照相关国家标准，监理工作包括至少以下内容及要求：</w:t>
            </w:r>
          </w:p>
          <w:p>
            <w:pPr>
              <w:pStyle w:val="null3"/>
              <w:ind w:firstLine="420"/>
              <w:jc w:val="both"/>
            </w:pPr>
            <w:r>
              <w:rPr>
                <w:rFonts w:ascii="仿宋_GB2312" w:hAnsi="仿宋_GB2312" w:cs="仿宋_GB2312" w:eastAsia="仿宋_GB2312"/>
                <w:sz w:val="21"/>
                <w:color w:val="000000"/>
              </w:rPr>
              <w:t>1.质量控制</w:t>
            </w:r>
          </w:p>
          <w:p>
            <w:pPr>
              <w:pStyle w:val="null3"/>
              <w:ind w:firstLine="420"/>
              <w:jc w:val="both"/>
            </w:pPr>
            <w:r>
              <w:rPr>
                <w:rFonts w:ascii="仿宋_GB2312" w:hAnsi="仿宋_GB2312" w:cs="仿宋_GB2312" w:eastAsia="仿宋_GB2312"/>
                <w:sz w:val="21"/>
                <w:color w:val="000000"/>
              </w:rPr>
              <w:t>1.1质量控制目标</w:t>
            </w:r>
          </w:p>
          <w:p>
            <w:pPr>
              <w:pStyle w:val="null3"/>
              <w:ind w:firstLine="420"/>
              <w:jc w:val="both"/>
            </w:pPr>
            <w:r>
              <w:rPr>
                <w:rFonts w:ascii="仿宋_GB2312" w:hAnsi="仿宋_GB2312" w:cs="仿宋_GB2312" w:eastAsia="仿宋_GB2312"/>
                <w:sz w:val="21"/>
                <w:color w:val="000000"/>
              </w:rPr>
              <w:t>监理单位应正确处理项目进度、费用、质量三大控制目标之间的关系，对项目实施全过程中所有影响质量的活动进行恰当有效连续监控，使影响工程质量的技术、管理和人的因素处于受控状态，预防和减少质量问题的发生，以及质量事故纠正，保证项目各个阶段、各个过程的每一项活动都符合质量要求</w:t>
            </w:r>
          </w:p>
          <w:p>
            <w:pPr>
              <w:pStyle w:val="null3"/>
              <w:ind w:firstLine="420"/>
              <w:jc w:val="both"/>
            </w:pPr>
            <w:r>
              <w:rPr>
                <w:rFonts w:ascii="仿宋_GB2312" w:hAnsi="仿宋_GB2312" w:cs="仿宋_GB2312" w:eastAsia="仿宋_GB2312"/>
                <w:sz w:val="21"/>
                <w:color w:val="000000"/>
              </w:rPr>
              <w:t>1.2质量控制的方法</w:t>
            </w:r>
          </w:p>
          <w:p>
            <w:pPr>
              <w:pStyle w:val="null3"/>
              <w:ind w:firstLine="420"/>
              <w:jc w:val="both"/>
            </w:pPr>
            <w:r>
              <w:rPr>
                <w:rFonts w:ascii="仿宋_GB2312" w:hAnsi="仿宋_GB2312" w:cs="仿宋_GB2312" w:eastAsia="仿宋_GB2312"/>
                <w:sz w:val="21"/>
                <w:color w:val="000000"/>
              </w:rPr>
              <w:t>1.2.1质量的事前控制</w:t>
            </w:r>
          </w:p>
          <w:p>
            <w:pPr>
              <w:pStyle w:val="null3"/>
              <w:ind w:firstLine="420"/>
              <w:jc w:val="both"/>
            </w:pPr>
            <w:r>
              <w:rPr>
                <w:rFonts w:ascii="仿宋_GB2312" w:hAnsi="仿宋_GB2312" w:cs="仿宋_GB2312" w:eastAsia="仿宋_GB2312"/>
                <w:sz w:val="21"/>
                <w:color w:val="000000"/>
              </w:rPr>
              <w:t>1）在设计方案会审前总监理工程师组织专业监理工程师熟悉设计文件，并对设计方案中存在的问题提出书面意见，总监理工程师负责组织设计方案会审汇总或指定人员汇总。</w:t>
            </w:r>
          </w:p>
          <w:p>
            <w:pPr>
              <w:pStyle w:val="null3"/>
              <w:ind w:firstLine="420"/>
              <w:jc w:val="both"/>
            </w:pPr>
            <w:r>
              <w:rPr>
                <w:rFonts w:ascii="仿宋_GB2312" w:hAnsi="仿宋_GB2312" w:cs="仿宋_GB2312" w:eastAsia="仿宋_GB2312"/>
                <w:sz w:val="21"/>
                <w:color w:val="000000"/>
              </w:rPr>
              <w:t>2）总监理工程师组织专业监理工程师审查承建单位报送的施工组织设计方案及专项方案，签认后交建设单位。</w:t>
            </w:r>
          </w:p>
          <w:p>
            <w:pPr>
              <w:pStyle w:val="null3"/>
              <w:ind w:firstLine="420"/>
              <w:jc w:val="both"/>
            </w:pPr>
            <w:r>
              <w:rPr>
                <w:rFonts w:ascii="仿宋_GB2312" w:hAnsi="仿宋_GB2312" w:cs="仿宋_GB2312" w:eastAsia="仿宋_GB2312"/>
                <w:sz w:val="21"/>
                <w:color w:val="000000"/>
              </w:rPr>
              <w:t>3）监理工程师审查承建单位现场项目质量管理、技术管理和质量保证的组织机构；质量管理、技术管理制度；专职管理人员和特种作业人员的资格证、上岗证。</w:t>
            </w:r>
          </w:p>
          <w:p>
            <w:pPr>
              <w:pStyle w:val="null3"/>
              <w:ind w:firstLine="420"/>
              <w:jc w:val="both"/>
            </w:pPr>
            <w:r>
              <w:rPr>
                <w:rFonts w:ascii="仿宋_GB2312" w:hAnsi="仿宋_GB2312" w:cs="仿宋_GB2312" w:eastAsia="仿宋_GB2312"/>
                <w:sz w:val="21"/>
                <w:color w:val="000000"/>
              </w:rPr>
              <w:t>4）监理工程师对工程所需原材料、半成品及设备的质量控制，对工程所用材料、半成品严格审核其出厂证明、技术合格证或质保证书。对试验材料，必须按规定进行抽检或试验，送样实行监理现场见证。所有设备在安装前必须按其技术说明书进行质量验收。</w:t>
            </w:r>
          </w:p>
          <w:p>
            <w:pPr>
              <w:pStyle w:val="null3"/>
              <w:ind w:firstLine="420"/>
              <w:jc w:val="both"/>
            </w:pPr>
            <w:r>
              <w:rPr>
                <w:rFonts w:ascii="仿宋_GB2312" w:hAnsi="仿宋_GB2312" w:cs="仿宋_GB2312" w:eastAsia="仿宋_GB2312"/>
                <w:sz w:val="21"/>
                <w:color w:val="000000"/>
              </w:rPr>
              <w:t>5）监理工程师及时审查承建单位报送的工程开工报审资料并签署意见。</w:t>
            </w:r>
          </w:p>
          <w:p>
            <w:pPr>
              <w:pStyle w:val="null3"/>
              <w:ind w:firstLine="420"/>
              <w:jc w:val="both"/>
            </w:pPr>
            <w:r>
              <w:rPr>
                <w:rFonts w:ascii="仿宋_GB2312" w:hAnsi="仿宋_GB2312" w:cs="仿宋_GB2312" w:eastAsia="仿宋_GB2312"/>
                <w:sz w:val="21"/>
                <w:color w:val="000000"/>
              </w:rPr>
              <w:t>6）参加由建设单位主持召开的第一次工地会议，介绍项目监理机构、人员分工；建设单位宣布对监理授权，建设单位、承建单位介绍开工前的准备情况，总监对施工准备情况的意见与要求，介绍监理规划的内容、监理程序，制定工地共同遵守的会议制度及其监理过程中各方配合协调事宜。</w:t>
            </w:r>
          </w:p>
          <w:p>
            <w:pPr>
              <w:pStyle w:val="null3"/>
              <w:ind w:firstLine="420"/>
              <w:jc w:val="both"/>
            </w:pPr>
            <w:r>
              <w:rPr>
                <w:rFonts w:ascii="仿宋_GB2312" w:hAnsi="仿宋_GB2312" w:cs="仿宋_GB2312" w:eastAsia="仿宋_GB2312"/>
                <w:sz w:val="21"/>
                <w:color w:val="000000"/>
              </w:rPr>
              <w:t>1.2.2质量的事中控制</w:t>
            </w:r>
          </w:p>
          <w:p>
            <w:pPr>
              <w:pStyle w:val="null3"/>
              <w:ind w:firstLine="420"/>
              <w:jc w:val="both"/>
            </w:pPr>
            <w:r>
              <w:rPr>
                <w:rFonts w:ascii="仿宋_GB2312" w:hAnsi="仿宋_GB2312" w:cs="仿宋_GB2312" w:eastAsia="仿宋_GB2312"/>
                <w:sz w:val="21"/>
                <w:color w:val="000000"/>
              </w:rPr>
              <w:t>1）施工工艺过程质量控制</w:t>
            </w:r>
          </w:p>
          <w:p>
            <w:pPr>
              <w:pStyle w:val="null3"/>
              <w:ind w:firstLine="420"/>
              <w:jc w:val="both"/>
            </w:pPr>
            <w:r>
              <w:rPr>
                <w:rFonts w:ascii="仿宋_GB2312" w:hAnsi="仿宋_GB2312" w:cs="仿宋_GB2312" w:eastAsia="仿宋_GB2312"/>
                <w:sz w:val="21"/>
                <w:color w:val="000000"/>
              </w:rPr>
              <w:t>按照国家规范及实际设计方案的要求，采用巡视、旁站、检测、试验等手段检查施工过程，确保施工质量。严格施工工艺的质量控制。监理工程师对施工工艺过程的各个质量控制点，施工各工序进行跟班巡视和检查，对施工重点部位、关键部位进行旁站监督施工，现场发现质量问题及时要求施工人员整改。</w:t>
            </w:r>
          </w:p>
          <w:p>
            <w:pPr>
              <w:pStyle w:val="null3"/>
              <w:ind w:firstLine="420"/>
              <w:jc w:val="both"/>
            </w:pPr>
            <w:r>
              <w:rPr>
                <w:rFonts w:ascii="仿宋_GB2312" w:hAnsi="仿宋_GB2312" w:cs="仿宋_GB2312" w:eastAsia="仿宋_GB2312"/>
                <w:sz w:val="21"/>
                <w:color w:val="000000"/>
              </w:rPr>
              <w:t>监理工程师将编写《监理细则》时应明确旁站监理范围。</w:t>
            </w:r>
          </w:p>
          <w:p>
            <w:pPr>
              <w:pStyle w:val="null3"/>
              <w:ind w:firstLine="420"/>
              <w:jc w:val="both"/>
            </w:pPr>
            <w:r>
              <w:rPr>
                <w:rFonts w:ascii="仿宋_GB2312" w:hAnsi="仿宋_GB2312" w:cs="仿宋_GB2312" w:eastAsia="仿宋_GB2312"/>
                <w:sz w:val="21"/>
                <w:color w:val="000000"/>
              </w:rPr>
              <w:t>2）工序交接检查</w:t>
            </w:r>
          </w:p>
          <w:p>
            <w:pPr>
              <w:pStyle w:val="null3"/>
              <w:ind w:firstLine="420"/>
              <w:jc w:val="both"/>
            </w:pPr>
            <w:r>
              <w:rPr>
                <w:rFonts w:ascii="仿宋_GB2312" w:hAnsi="仿宋_GB2312" w:cs="仿宋_GB2312" w:eastAsia="仿宋_GB2312"/>
                <w:sz w:val="21"/>
                <w:color w:val="000000"/>
              </w:rPr>
              <w:t>坚持上道工序不经检查验收不准进行下道工序的原则，上道工序完成后，先由承建单位进行自检、专职检，认为合格后再通知现场监理工程师到现场会同检验，检验合格后签署认可方能进行下道工序。</w:t>
            </w:r>
          </w:p>
          <w:p>
            <w:pPr>
              <w:pStyle w:val="null3"/>
              <w:ind w:firstLine="420"/>
              <w:jc w:val="both"/>
            </w:pPr>
            <w:r>
              <w:rPr>
                <w:rFonts w:ascii="仿宋_GB2312" w:hAnsi="仿宋_GB2312" w:cs="仿宋_GB2312" w:eastAsia="仿宋_GB2312"/>
                <w:sz w:val="21"/>
                <w:color w:val="000000"/>
              </w:rPr>
              <w:t>3）隐蔽工程检查验收</w:t>
            </w:r>
          </w:p>
          <w:p>
            <w:pPr>
              <w:pStyle w:val="null3"/>
              <w:ind w:firstLine="420"/>
              <w:jc w:val="both"/>
            </w:pPr>
            <w:r>
              <w:rPr>
                <w:rFonts w:ascii="仿宋_GB2312" w:hAnsi="仿宋_GB2312" w:cs="仿宋_GB2312" w:eastAsia="仿宋_GB2312"/>
                <w:sz w:val="21"/>
                <w:color w:val="000000"/>
              </w:rPr>
              <w:t>隐蔽工程完成后，先由承建单位自检、专职检，初验合格后填报隐蔽工程报验单。监理、建设单位、承建单位现场联合检验，确认合格后隐蔽。</w:t>
            </w:r>
          </w:p>
          <w:p>
            <w:pPr>
              <w:pStyle w:val="null3"/>
              <w:ind w:firstLine="420"/>
              <w:jc w:val="both"/>
            </w:pPr>
            <w:r>
              <w:rPr>
                <w:rFonts w:ascii="仿宋_GB2312" w:hAnsi="仿宋_GB2312" w:cs="仿宋_GB2312" w:eastAsia="仿宋_GB2312"/>
                <w:sz w:val="21"/>
                <w:color w:val="000000"/>
              </w:rPr>
              <w:t>4）工程质量事故处理</w:t>
            </w:r>
          </w:p>
          <w:p>
            <w:pPr>
              <w:pStyle w:val="null3"/>
              <w:ind w:firstLine="420"/>
              <w:jc w:val="both"/>
            </w:pPr>
            <w:r>
              <w:rPr>
                <w:rFonts w:ascii="仿宋_GB2312" w:hAnsi="仿宋_GB2312" w:cs="仿宋_GB2312" w:eastAsia="仿宋_GB2312"/>
                <w:sz w:val="21"/>
                <w:color w:val="000000"/>
              </w:rPr>
              <w:t>包括质量事故原因、责任分析；质量事故处理措施的商定；批准处理工程质量事故的技术措施或方案；处理措施效果的检查。</w:t>
            </w:r>
          </w:p>
          <w:p>
            <w:pPr>
              <w:pStyle w:val="null3"/>
              <w:ind w:firstLine="420"/>
              <w:jc w:val="both"/>
            </w:pPr>
            <w:r>
              <w:rPr>
                <w:rFonts w:ascii="仿宋_GB2312" w:hAnsi="仿宋_GB2312" w:cs="仿宋_GB2312" w:eastAsia="仿宋_GB2312"/>
                <w:sz w:val="21"/>
                <w:color w:val="000000"/>
              </w:rPr>
              <w:t>5）行使监理质量监督权，出现问题时下达停工指令。</w:t>
            </w:r>
          </w:p>
          <w:p>
            <w:pPr>
              <w:pStyle w:val="null3"/>
              <w:ind w:firstLine="420"/>
              <w:jc w:val="both"/>
            </w:pPr>
            <w:r>
              <w:rPr>
                <w:rFonts w:ascii="仿宋_GB2312" w:hAnsi="仿宋_GB2312" w:cs="仿宋_GB2312" w:eastAsia="仿宋_GB2312"/>
                <w:sz w:val="21"/>
                <w:color w:val="000000"/>
              </w:rPr>
              <w:t>6）建立质量监理日记，现场质量监理工程师及质量检验人员应逐日记录有关工程质量动态及影响因素的情况。</w:t>
            </w:r>
          </w:p>
          <w:p>
            <w:pPr>
              <w:pStyle w:val="null3"/>
              <w:ind w:firstLine="420"/>
              <w:jc w:val="both"/>
            </w:pPr>
            <w:r>
              <w:rPr>
                <w:rFonts w:ascii="仿宋_GB2312" w:hAnsi="仿宋_GB2312" w:cs="仿宋_GB2312" w:eastAsia="仿宋_GB2312"/>
                <w:sz w:val="21"/>
                <w:color w:val="000000"/>
              </w:rPr>
              <w:t>7）组织现场工程例会及专题会议</w:t>
            </w:r>
          </w:p>
          <w:p>
            <w:pPr>
              <w:pStyle w:val="null3"/>
              <w:ind w:firstLine="420"/>
              <w:jc w:val="both"/>
            </w:pPr>
            <w:r>
              <w:rPr>
                <w:rFonts w:ascii="仿宋_GB2312" w:hAnsi="仿宋_GB2312" w:cs="仿宋_GB2312" w:eastAsia="仿宋_GB2312"/>
                <w:sz w:val="21"/>
                <w:color w:val="000000"/>
              </w:rPr>
              <w:t>现场工程例会由总监理工程师或总监代表主持。会议将讨论质量及工程的其他事宜，解决施工遇到的各种问题。会后形成会议纪要。</w:t>
            </w:r>
          </w:p>
          <w:p>
            <w:pPr>
              <w:pStyle w:val="null3"/>
              <w:ind w:firstLine="420"/>
              <w:jc w:val="both"/>
            </w:pPr>
            <w:r>
              <w:rPr>
                <w:rFonts w:ascii="仿宋_GB2312" w:hAnsi="仿宋_GB2312" w:cs="仿宋_GB2312" w:eastAsia="仿宋_GB2312"/>
                <w:sz w:val="21"/>
                <w:color w:val="000000"/>
              </w:rPr>
              <w:t>8）定期向建设单位报告有关工程质量动态情况</w:t>
            </w:r>
          </w:p>
          <w:p>
            <w:pPr>
              <w:pStyle w:val="null3"/>
              <w:ind w:firstLine="420"/>
              <w:jc w:val="both"/>
            </w:pPr>
            <w:r>
              <w:rPr>
                <w:rFonts w:ascii="仿宋_GB2312" w:hAnsi="仿宋_GB2312" w:cs="仿宋_GB2312" w:eastAsia="仿宋_GB2312"/>
                <w:sz w:val="21"/>
                <w:color w:val="000000"/>
              </w:rPr>
              <w:t>现场监理组每月在《监理月报》中向建设单位报告有关工程质量方面的情况。重大质量事故及其它质量方面的重大事宜则及时提出报告。</w:t>
            </w:r>
          </w:p>
          <w:p>
            <w:pPr>
              <w:pStyle w:val="null3"/>
              <w:ind w:firstLine="420"/>
              <w:jc w:val="both"/>
            </w:pPr>
            <w:r>
              <w:rPr>
                <w:rFonts w:ascii="仿宋_GB2312" w:hAnsi="仿宋_GB2312" w:cs="仿宋_GB2312" w:eastAsia="仿宋_GB2312"/>
                <w:sz w:val="21"/>
                <w:color w:val="000000"/>
              </w:rPr>
              <w:t>1.2.3质量的事后控制</w:t>
            </w:r>
          </w:p>
          <w:p>
            <w:pPr>
              <w:pStyle w:val="null3"/>
              <w:ind w:firstLine="420"/>
              <w:jc w:val="both"/>
            </w:pPr>
            <w:r>
              <w:rPr>
                <w:rFonts w:ascii="仿宋_GB2312" w:hAnsi="仿宋_GB2312" w:cs="仿宋_GB2312" w:eastAsia="仿宋_GB2312"/>
                <w:sz w:val="21"/>
                <w:color w:val="000000"/>
              </w:rPr>
              <w:t>1）每一检验批、分项、分部工程完成后，必须先经承建单位自行检查并进行验收，再经监理工程师复验达标并签认后，方可进行后续工程的施工。</w:t>
            </w:r>
          </w:p>
          <w:p>
            <w:pPr>
              <w:pStyle w:val="null3"/>
              <w:ind w:firstLine="420"/>
              <w:jc w:val="both"/>
            </w:pPr>
            <w:r>
              <w:rPr>
                <w:rFonts w:ascii="仿宋_GB2312" w:hAnsi="仿宋_GB2312" w:cs="仿宋_GB2312" w:eastAsia="仿宋_GB2312"/>
                <w:sz w:val="21"/>
                <w:color w:val="000000"/>
              </w:rPr>
              <w:t>2）审核竣工资料,对工程质量进行竣工预验收。工程完工后，由承建单位提出工程验收申请，并提交全部工程技术资料，质量自评报告及与质量有关的技术文件，经监理工程师（总监）审核后，组织有关各方进行初验，对初验提出的问题，要求承建单位限期内进行整改。</w:t>
            </w:r>
          </w:p>
          <w:p>
            <w:pPr>
              <w:pStyle w:val="null3"/>
              <w:ind w:firstLine="420"/>
              <w:jc w:val="both"/>
            </w:pPr>
            <w:r>
              <w:rPr>
                <w:rFonts w:ascii="仿宋_GB2312" w:hAnsi="仿宋_GB2312" w:cs="仿宋_GB2312" w:eastAsia="仿宋_GB2312"/>
                <w:sz w:val="21"/>
                <w:color w:val="000000"/>
              </w:rPr>
              <w:t>3）单位、单项工程竣工验收</w:t>
            </w:r>
          </w:p>
          <w:p>
            <w:pPr>
              <w:pStyle w:val="null3"/>
              <w:ind w:firstLine="420"/>
              <w:jc w:val="both"/>
            </w:pPr>
            <w:r>
              <w:rPr>
                <w:rFonts w:ascii="仿宋_GB2312" w:hAnsi="仿宋_GB2312" w:cs="仿宋_GB2312" w:eastAsia="仿宋_GB2312"/>
                <w:sz w:val="21"/>
                <w:color w:val="000000"/>
              </w:rPr>
              <w:t>初验合格后，建设单位主持竣工验收，监理协助建设单位作好竣工验收、备案工作。</w:t>
            </w:r>
          </w:p>
          <w:p>
            <w:pPr>
              <w:pStyle w:val="null3"/>
              <w:ind w:firstLine="420"/>
              <w:jc w:val="both"/>
            </w:pPr>
            <w:r>
              <w:rPr>
                <w:rFonts w:ascii="仿宋_GB2312" w:hAnsi="仿宋_GB2312" w:cs="仿宋_GB2312" w:eastAsia="仿宋_GB2312"/>
                <w:sz w:val="21"/>
                <w:color w:val="000000"/>
              </w:rPr>
              <w:t>4）承担保修期的监理工作时，监理单位应安排监理人员对建设单位提出的工程质量缺陷进行检查和记录，对承建单位进行修复的工程质量进行验收，合格后予以签认。</w:t>
            </w:r>
          </w:p>
          <w:p>
            <w:pPr>
              <w:pStyle w:val="null3"/>
              <w:ind w:firstLine="420"/>
              <w:jc w:val="both"/>
            </w:pPr>
            <w:r>
              <w:rPr>
                <w:rFonts w:ascii="仿宋_GB2312" w:hAnsi="仿宋_GB2312" w:cs="仿宋_GB2312" w:eastAsia="仿宋_GB2312"/>
                <w:sz w:val="21"/>
                <w:color w:val="000000"/>
              </w:rPr>
              <w:t>1.3质量控制措施</w:t>
            </w:r>
          </w:p>
          <w:p>
            <w:pPr>
              <w:pStyle w:val="null3"/>
              <w:ind w:firstLine="420"/>
              <w:jc w:val="both"/>
            </w:pPr>
            <w:r>
              <w:rPr>
                <w:rFonts w:ascii="仿宋_GB2312" w:hAnsi="仿宋_GB2312" w:cs="仿宋_GB2312" w:eastAsia="仿宋_GB2312"/>
                <w:sz w:val="21"/>
                <w:color w:val="000000"/>
              </w:rPr>
              <w:t>1.3.1质量控制的组织措施</w:t>
            </w:r>
          </w:p>
          <w:p>
            <w:pPr>
              <w:pStyle w:val="null3"/>
              <w:ind w:firstLine="420"/>
              <w:jc w:val="both"/>
            </w:pPr>
            <w:r>
              <w:rPr>
                <w:rFonts w:ascii="仿宋_GB2312" w:hAnsi="仿宋_GB2312" w:cs="仿宋_GB2312" w:eastAsia="仿宋_GB2312"/>
                <w:sz w:val="21"/>
                <w:color w:val="000000"/>
              </w:rPr>
              <w:t>1）明确职责分工。监理及施工均制定质量管理体系和质量保证体系并接受监督管理。</w:t>
            </w:r>
          </w:p>
          <w:p>
            <w:pPr>
              <w:pStyle w:val="null3"/>
              <w:ind w:firstLine="420"/>
              <w:jc w:val="both"/>
            </w:pPr>
            <w:r>
              <w:rPr>
                <w:rFonts w:ascii="仿宋_GB2312" w:hAnsi="仿宋_GB2312" w:cs="仿宋_GB2312" w:eastAsia="仿宋_GB2312"/>
                <w:sz w:val="21"/>
                <w:color w:val="000000"/>
              </w:rPr>
              <w:t>2）监理单位领导定点联系制度，监理单位领导对各项目监理部定期巡视检查，解决项目部内部及施工中遇到的各项问题以提高监理能力及水平</w:t>
            </w:r>
          </w:p>
          <w:p>
            <w:pPr>
              <w:pStyle w:val="null3"/>
              <w:ind w:firstLine="420"/>
              <w:jc w:val="both"/>
            </w:pPr>
            <w:r>
              <w:rPr>
                <w:rFonts w:ascii="仿宋_GB2312" w:hAnsi="仿宋_GB2312" w:cs="仿宋_GB2312" w:eastAsia="仿宋_GB2312"/>
                <w:sz w:val="21"/>
                <w:color w:val="000000"/>
              </w:rPr>
              <w:t>3）监理单位实行定期到监理工地进行质量检查制度，及时发现和解决存在问题，提高监理水平，加大对质量监理力度。</w:t>
            </w:r>
          </w:p>
          <w:p>
            <w:pPr>
              <w:pStyle w:val="null3"/>
              <w:ind w:firstLine="420"/>
              <w:jc w:val="both"/>
            </w:pPr>
            <w:r>
              <w:rPr>
                <w:rFonts w:ascii="仿宋_GB2312" w:hAnsi="仿宋_GB2312" w:cs="仿宋_GB2312" w:eastAsia="仿宋_GB2312"/>
                <w:sz w:val="21"/>
                <w:color w:val="000000"/>
              </w:rPr>
              <w:t>4）督促和审查承建单位建立健全质量管理体系和质量保证体系，落实人员，完善措施和制度。</w:t>
            </w:r>
          </w:p>
          <w:p>
            <w:pPr>
              <w:pStyle w:val="null3"/>
              <w:ind w:firstLine="420"/>
              <w:jc w:val="both"/>
            </w:pPr>
            <w:r>
              <w:rPr>
                <w:rFonts w:ascii="仿宋_GB2312" w:hAnsi="仿宋_GB2312" w:cs="仿宋_GB2312" w:eastAsia="仿宋_GB2312"/>
                <w:sz w:val="21"/>
                <w:color w:val="000000"/>
              </w:rPr>
              <w:t>1.3.2质量控制的技术措施</w:t>
            </w:r>
          </w:p>
          <w:p>
            <w:pPr>
              <w:pStyle w:val="null3"/>
              <w:ind w:firstLine="420"/>
              <w:jc w:val="both"/>
            </w:pPr>
            <w:r>
              <w:rPr>
                <w:rFonts w:ascii="仿宋_GB2312" w:hAnsi="仿宋_GB2312" w:cs="仿宋_GB2312" w:eastAsia="仿宋_GB2312"/>
                <w:sz w:val="21"/>
                <w:color w:val="000000"/>
              </w:rPr>
              <w:t>1）材料设备供应阶段，通过实地考查、现场抽样，审查供应厂家的资质证、准销证、产品合格证等各种手段，确保材料达到设计和规范要求。</w:t>
            </w:r>
          </w:p>
          <w:p>
            <w:pPr>
              <w:pStyle w:val="null3"/>
              <w:ind w:firstLine="420"/>
              <w:jc w:val="both"/>
            </w:pPr>
            <w:r>
              <w:rPr>
                <w:rFonts w:ascii="仿宋_GB2312" w:hAnsi="仿宋_GB2312" w:cs="仿宋_GB2312" w:eastAsia="仿宋_GB2312"/>
                <w:sz w:val="21"/>
                <w:color w:val="000000"/>
              </w:rPr>
              <w:t>2）施工阶段严格事前、事中和事后的质量控制</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1）事前控制：监理工程师应熟悉质量控制的技术依据，并对施工现场、施工机械、施工队伍资质、进场材料进行检查验收，审查施工组织设计和施工方案的技术可靠性和质量保证措施。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2）事中控制：监理工程师在质量检查中，用观察、量测、测量、试验等手段按规范要求完成施工工艺过程的质量控制，做好工序交接和隐蔽工程检查验收，做好工程变更、质量事故的监理工作方法及措施</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事后控制：检验批验收或分项验收时严格设计文件及相关标准验收，发现问题及时纠正整改，保证在上道工序合格的基础上进行下道工序施工。监理工程师要做好单位、单项及项目竣工验收，审核竣工图及其它技术文件资料，整理工程技术文件资料并编目建档。</w:t>
            </w:r>
          </w:p>
          <w:p>
            <w:pPr>
              <w:pStyle w:val="null3"/>
              <w:ind w:firstLine="420"/>
              <w:jc w:val="both"/>
            </w:pPr>
            <w:r>
              <w:rPr>
                <w:rFonts w:ascii="仿宋_GB2312" w:hAnsi="仿宋_GB2312" w:cs="仿宋_GB2312" w:eastAsia="仿宋_GB2312"/>
                <w:sz w:val="21"/>
                <w:color w:val="000000"/>
              </w:rPr>
              <w:t>1.3.3质量控制的经济措施及合同措施</w:t>
            </w:r>
          </w:p>
          <w:p>
            <w:pPr>
              <w:pStyle w:val="null3"/>
              <w:ind w:firstLine="420"/>
              <w:jc w:val="both"/>
            </w:pPr>
            <w:r>
              <w:rPr>
                <w:rFonts w:ascii="仿宋_GB2312" w:hAnsi="仿宋_GB2312" w:cs="仿宋_GB2312" w:eastAsia="仿宋_GB2312"/>
                <w:sz w:val="21"/>
                <w:color w:val="000000"/>
              </w:rPr>
              <w:t>1）监理工程师在质量检查和验收中，严格按合同规定的质量要求，对承建单位不符合要求的拒付工程款。</w:t>
            </w:r>
          </w:p>
          <w:p>
            <w:pPr>
              <w:pStyle w:val="null3"/>
              <w:ind w:firstLine="420"/>
              <w:jc w:val="both"/>
            </w:pPr>
            <w:r>
              <w:rPr>
                <w:rFonts w:ascii="仿宋_GB2312" w:hAnsi="仿宋_GB2312" w:cs="仿宋_GB2312" w:eastAsia="仿宋_GB2312"/>
                <w:sz w:val="21"/>
                <w:color w:val="000000"/>
              </w:rPr>
              <w:t>2）根据施工合同，对可能的违约行为提出警告。</w:t>
            </w:r>
          </w:p>
          <w:p>
            <w:pPr>
              <w:pStyle w:val="null3"/>
              <w:ind w:firstLine="420"/>
              <w:jc w:val="both"/>
            </w:pPr>
            <w:r>
              <w:rPr>
                <w:rFonts w:ascii="仿宋_GB2312" w:hAnsi="仿宋_GB2312" w:cs="仿宋_GB2312" w:eastAsia="仿宋_GB2312"/>
                <w:sz w:val="21"/>
                <w:color w:val="000000"/>
              </w:rPr>
              <w:t>3）按合同条款，对造成损失一方进行经济处罚。</w:t>
            </w:r>
          </w:p>
          <w:p>
            <w:pPr>
              <w:pStyle w:val="null3"/>
              <w:ind w:firstLine="420"/>
              <w:jc w:val="both"/>
            </w:pPr>
            <w:r>
              <w:rPr>
                <w:rFonts w:ascii="仿宋_GB2312" w:hAnsi="仿宋_GB2312" w:cs="仿宋_GB2312" w:eastAsia="仿宋_GB2312"/>
                <w:sz w:val="21"/>
                <w:color w:val="000000"/>
              </w:rPr>
              <w:t>2.进度控制</w:t>
            </w:r>
          </w:p>
          <w:p>
            <w:pPr>
              <w:pStyle w:val="null3"/>
              <w:ind w:firstLine="420"/>
              <w:jc w:val="both"/>
            </w:pPr>
            <w:r>
              <w:rPr>
                <w:rFonts w:ascii="仿宋_GB2312" w:hAnsi="仿宋_GB2312" w:cs="仿宋_GB2312" w:eastAsia="仿宋_GB2312"/>
                <w:sz w:val="21"/>
                <w:color w:val="000000"/>
              </w:rPr>
              <w:t>2.1进度控制目标</w:t>
            </w:r>
          </w:p>
          <w:p>
            <w:pPr>
              <w:pStyle w:val="null3"/>
              <w:ind w:firstLine="420"/>
              <w:jc w:val="both"/>
            </w:pPr>
            <w:r>
              <w:rPr>
                <w:rFonts w:ascii="仿宋_GB2312" w:hAnsi="仿宋_GB2312" w:cs="仿宋_GB2312" w:eastAsia="仿宋_GB2312"/>
                <w:sz w:val="21"/>
                <w:color w:val="000000"/>
              </w:rPr>
              <w:t>运用先进的项目进度控制与管理技术，对项目的设计、采购、施工、安装、调试直至投产等工作中所有影响项目建设进度的因素进行连续的、全过程的监控、测量、分析和预测，在确保项目质量及费用在受控的状态下，快速推进项目建设，保证项目优质、高效、快速建成。</w:t>
            </w:r>
          </w:p>
          <w:p>
            <w:pPr>
              <w:pStyle w:val="null3"/>
              <w:ind w:firstLine="420"/>
              <w:jc w:val="both"/>
            </w:pPr>
            <w:r>
              <w:rPr>
                <w:rFonts w:ascii="仿宋_GB2312" w:hAnsi="仿宋_GB2312" w:cs="仿宋_GB2312" w:eastAsia="仿宋_GB2312"/>
                <w:sz w:val="21"/>
                <w:color w:val="000000"/>
              </w:rPr>
              <w:t>2.2进度控制方法</w:t>
            </w:r>
          </w:p>
          <w:p>
            <w:pPr>
              <w:pStyle w:val="null3"/>
              <w:ind w:firstLine="420"/>
              <w:jc w:val="both"/>
            </w:pPr>
            <w:r>
              <w:rPr>
                <w:rFonts w:ascii="仿宋_GB2312" w:hAnsi="仿宋_GB2312" w:cs="仿宋_GB2312" w:eastAsia="仿宋_GB2312"/>
                <w:sz w:val="21"/>
                <w:color w:val="000000"/>
              </w:rPr>
              <w:t>2.2.1进度的事前控制</w:t>
            </w:r>
          </w:p>
          <w:p>
            <w:pPr>
              <w:pStyle w:val="null3"/>
              <w:ind w:firstLine="420"/>
              <w:jc w:val="both"/>
            </w:pPr>
            <w:r>
              <w:rPr>
                <w:rFonts w:ascii="仿宋_GB2312" w:hAnsi="仿宋_GB2312" w:cs="仿宋_GB2312" w:eastAsia="仿宋_GB2312"/>
                <w:sz w:val="21"/>
                <w:color w:val="000000"/>
              </w:rPr>
              <w:t>进度的事前控制，即为工期预控，主要工作内容有：</w:t>
            </w:r>
          </w:p>
          <w:p>
            <w:pPr>
              <w:pStyle w:val="null3"/>
              <w:ind w:firstLine="420"/>
              <w:jc w:val="both"/>
            </w:pPr>
            <w:r>
              <w:rPr>
                <w:rFonts w:ascii="仿宋_GB2312" w:hAnsi="仿宋_GB2312" w:cs="仿宋_GB2312" w:eastAsia="仿宋_GB2312"/>
                <w:sz w:val="21"/>
                <w:color w:val="000000"/>
              </w:rPr>
              <w:t>1）审批项目实施总进度计划</w:t>
            </w:r>
          </w:p>
          <w:p>
            <w:pPr>
              <w:pStyle w:val="null3"/>
              <w:ind w:firstLine="420"/>
              <w:jc w:val="both"/>
            </w:pPr>
            <w:r>
              <w:rPr>
                <w:rFonts w:ascii="仿宋_GB2312" w:hAnsi="仿宋_GB2312" w:cs="仿宋_GB2312" w:eastAsia="仿宋_GB2312"/>
                <w:sz w:val="21"/>
                <w:color w:val="000000"/>
              </w:rPr>
              <w:t>监理工程师审批承建单位编制的总进度计划；</w:t>
            </w:r>
          </w:p>
          <w:p>
            <w:pPr>
              <w:pStyle w:val="null3"/>
              <w:ind w:firstLine="420"/>
              <w:jc w:val="both"/>
            </w:pPr>
            <w:r>
              <w:rPr>
                <w:rFonts w:ascii="仿宋_GB2312" w:hAnsi="仿宋_GB2312" w:cs="仿宋_GB2312" w:eastAsia="仿宋_GB2312"/>
                <w:sz w:val="21"/>
                <w:color w:val="000000"/>
              </w:rPr>
              <w:t>2）审核承建单位提交的施工进度计划</w:t>
            </w:r>
          </w:p>
          <w:p>
            <w:pPr>
              <w:pStyle w:val="null3"/>
              <w:ind w:firstLine="420"/>
              <w:jc w:val="both"/>
            </w:pPr>
            <w:r>
              <w:rPr>
                <w:rFonts w:ascii="仿宋_GB2312" w:hAnsi="仿宋_GB2312" w:cs="仿宋_GB2312" w:eastAsia="仿宋_GB2312"/>
                <w:sz w:val="21"/>
                <w:color w:val="000000"/>
              </w:rPr>
              <w:t>审核是否符合总工期控制目标的要求；审核施工进度计划与施工方案的协调性和合理性等。</w:t>
            </w:r>
          </w:p>
          <w:p>
            <w:pPr>
              <w:pStyle w:val="null3"/>
              <w:ind w:firstLine="420"/>
              <w:jc w:val="both"/>
            </w:pPr>
            <w:r>
              <w:rPr>
                <w:rFonts w:ascii="仿宋_GB2312" w:hAnsi="仿宋_GB2312" w:cs="仿宋_GB2312" w:eastAsia="仿宋_GB2312"/>
                <w:sz w:val="21"/>
                <w:color w:val="000000"/>
              </w:rPr>
              <w:t>3）审核承建单位提交的施工方案</w:t>
            </w:r>
          </w:p>
          <w:p>
            <w:pPr>
              <w:pStyle w:val="null3"/>
              <w:ind w:firstLine="420"/>
              <w:jc w:val="both"/>
            </w:pPr>
            <w:r>
              <w:rPr>
                <w:rFonts w:ascii="仿宋_GB2312" w:hAnsi="仿宋_GB2312" w:cs="仿宋_GB2312" w:eastAsia="仿宋_GB2312"/>
                <w:sz w:val="21"/>
                <w:color w:val="000000"/>
              </w:rPr>
              <w:t>审核保证工期，充分利用时间的技术组织措施的可行性、合理性。</w:t>
            </w:r>
          </w:p>
          <w:p>
            <w:pPr>
              <w:pStyle w:val="null3"/>
              <w:ind w:firstLine="420"/>
              <w:jc w:val="both"/>
            </w:pPr>
            <w:r>
              <w:rPr>
                <w:rFonts w:ascii="仿宋_GB2312" w:hAnsi="仿宋_GB2312" w:cs="仿宋_GB2312" w:eastAsia="仿宋_GB2312"/>
                <w:sz w:val="21"/>
                <w:color w:val="000000"/>
              </w:rPr>
              <w:t>4）制定由建设单位供应材料、设备的需用量及供应时间参数，编制有关材料、设备部分的采供计划。</w:t>
            </w:r>
          </w:p>
          <w:p>
            <w:pPr>
              <w:pStyle w:val="null3"/>
              <w:ind w:firstLine="420"/>
              <w:jc w:val="both"/>
            </w:pPr>
            <w:r>
              <w:rPr>
                <w:rFonts w:ascii="仿宋_GB2312" w:hAnsi="仿宋_GB2312" w:cs="仿宋_GB2312" w:eastAsia="仿宋_GB2312"/>
                <w:sz w:val="21"/>
                <w:color w:val="000000"/>
              </w:rPr>
              <w:t>2.2.2进度的事中控制</w:t>
            </w:r>
          </w:p>
          <w:p>
            <w:pPr>
              <w:pStyle w:val="null3"/>
              <w:ind w:firstLine="420"/>
              <w:jc w:val="both"/>
            </w:pPr>
            <w:r>
              <w:rPr>
                <w:rFonts w:ascii="仿宋_GB2312" w:hAnsi="仿宋_GB2312" w:cs="仿宋_GB2312" w:eastAsia="仿宋_GB2312"/>
                <w:sz w:val="21"/>
                <w:color w:val="000000"/>
              </w:rPr>
              <w:t>1）建立反映工程进度的监理日志</w:t>
            </w:r>
          </w:p>
          <w:p>
            <w:pPr>
              <w:pStyle w:val="null3"/>
              <w:ind w:firstLine="420"/>
              <w:jc w:val="both"/>
            </w:pPr>
            <w:r>
              <w:rPr>
                <w:rFonts w:ascii="仿宋_GB2312" w:hAnsi="仿宋_GB2312" w:cs="仿宋_GB2312" w:eastAsia="仿宋_GB2312"/>
                <w:sz w:val="21"/>
                <w:color w:val="000000"/>
              </w:rPr>
              <w:t>逐日如实记载每日形象部位及完成的实物工程量。同时，如实记载影响工程进度的内、外、人为和自然的各种因素。</w:t>
            </w:r>
          </w:p>
          <w:p>
            <w:pPr>
              <w:pStyle w:val="null3"/>
              <w:ind w:firstLine="420"/>
              <w:jc w:val="both"/>
            </w:pPr>
            <w:r>
              <w:rPr>
                <w:rFonts w:ascii="仿宋_GB2312" w:hAnsi="仿宋_GB2312" w:cs="仿宋_GB2312" w:eastAsia="仿宋_GB2312"/>
                <w:sz w:val="21"/>
                <w:color w:val="000000"/>
              </w:rPr>
              <w:t>2）工程进度的检查</w:t>
            </w:r>
          </w:p>
          <w:p>
            <w:pPr>
              <w:pStyle w:val="null3"/>
              <w:ind w:firstLine="420"/>
              <w:jc w:val="both"/>
            </w:pPr>
            <w:r>
              <w:rPr>
                <w:rFonts w:ascii="仿宋_GB2312" w:hAnsi="仿宋_GB2312" w:cs="仿宋_GB2312" w:eastAsia="仿宋_GB2312"/>
                <w:sz w:val="21"/>
                <w:color w:val="000000"/>
              </w:rPr>
              <w:t>审核承建单位每月、周提交的工程进度报告，审核的要点：</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1）计划进度与实际进度的差异。</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2）形象进度、实物工程量与工作量指标完成情况的一致性。</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3）按合同要求，及时进行工程计量验收。</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4）有关进度、计量方面的签证。</w:t>
            </w:r>
          </w:p>
          <w:p>
            <w:pPr>
              <w:pStyle w:val="null3"/>
              <w:ind w:firstLine="420"/>
              <w:jc w:val="both"/>
            </w:pPr>
            <w:r>
              <w:rPr>
                <w:rFonts w:ascii="仿宋_GB2312" w:hAnsi="仿宋_GB2312" w:cs="仿宋_GB2312" w:eastAsia="仿宋_GB2312"/>
                <w:sz w:val="21"/>
                <w:color w:val="000000"/>
              </w:rPr>
              <w:t>进度、计量方面的签证是支付工程进度款、计算索赔、延长工期的重要依据。</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5）工程进度的动态管理</w:t>
            </w:r>
          </w:p>
          <w:p>
            <w:pPr>
              <w:pStyle w:val="null3"/>
              <w:ind w:firstLine="420"/>
              <w:jc w:val="both"/>
            </w:pPr>
            <w:r>
              <w:rPr>
                <w:rFonts w:ascii="仿宋_GB2312" w:hAnsi="仿宋_GB2312" w:cs="仿宋_GB2312" w:eastAsia="仿宋_GB2312"/>
                <w:sz w:val="21"/>
                <w:color w:val="000000"/>
              </w:rPr>
              <w:t>实际进度与计划进度发生差异时，分析产生的原因，并提出进度调整的措施和方案，并相应调整施工进度计划及设计、材料设备、资金等进度计划；必要时调整工时目标。</w:t>
            </w:r>
          </w:p>
          <w:p>
            <w:pPr>
              <w:pStyle w:val="null3"/>
              <w:ind w:firstLine="420"/>
              <w:jc w:val="both"/>
            </w:pPr>
            <w:r>
              <w:rPr>
                <w:rFonts w:ascii="仿宋_GB2312" w:hAnsi="仿宋_GB2312" w:cs="仿宋_GB2312" w:eastAsia="仿宋_GB2312"/>
                <w:sz w:val="21"/>
                <w:color w:val="000000"/>
              </w:rPr>
              <w:t>3）需要时组织现场协调会</w:t>
            </w:r>
          </w:p>
          <w:p>
            <w:pPr>
              <w:pStyle w:val="null3"/>
              <w:ind w:firstLine="420"/>
              <w:jc w:val="both"/>
            </w:pPr>
            <w:r>
              <w:rPr>
                <w:rFonts w:ascii="仿宋_GB2312" w:hAnsi="仿宋_GB2312" w:cs="仿宋_GB2312" w:eastAsia="仿宋_GB2312"/>
                <w:sz w:val="21"/>
                <w:color w:val="000000"/>
              </w:rPr>
              <w:t>4）在监理月报中向建设单位报告有关工程进度和所采取进度控制措施的执行情况，并提出合理预防由建设单位原因导致的工期及其相关费用索赔的建议。</w:t>
            </w:r>
          </w:p>
          <w:p>
            <w:pPr>
              <w:pStyle w:val="null3"/>
              <w:ind w:firstLine="420"/>
              <w:jc w:val="both"/>
            </w:pPr>
            <w:r>
              <w:rPr>
                <w:rFonts w:ascii="仿宋_GB2312" w:hAnsi="仿宋_GB2312" w:cs="仿宋_GB2312" w:eastAsia="仿宋_GB2312"/>
                <w:sz w:val="21"/>
                <w:color w:val="000000"/>
              </w:rPr>
              <w:t>2.2.3进度的事后控制</w:t>
            </w:r>
          </w:p>
          <w:p>
            <w:pPr>
              <w:pStyle w:val="null3"/>
              <w:ind w:firstLine="420"/>
              <w:jc w:val="both"/>
            </w:pPr>
            <w:r>
              <w:rPr>
                <w:rFonts w:ascii="仿宋_GB2312" w:hAnsi="仿宋_GB2312" w:cs="仿宋_GB2312" w:eastAsia="仿宋_GB2312"/>
                <w:sz w:val="21"/>
                <w:color w:val="000000"/>
              </w:rPr>
              <w:t>当实际进度与滞后于计划进度时，专业监理工程师书面通知承建单位，在分析原因的基础上采取纠偏措施，并监督实施：</w:t>
            </w:r>
          </w:p>
          <w:p>
            <w:pPr>
              <w:pStyle w:val="null3"/>
              <w:ind w:firstLine="420"/>
              <w:jc w:val="both"/>
            </w:pPr>
            <w:r>
              <w:rPr>
                <w:rFonts w:ascii="仿宋_GB2312" w:hAnsi="仿宋_GB2312" w:cs="仿宋_GB2312" w:eastAsia="仿宋_GB2312"/>
                <w:sz w:val="21"/>
                <w:color w:val="000000"/>
              </w:rPr>
              <w:t>1）制定保证总工期不突破的对策措施。</w:t>
            </w:r>
          </w:p>
          <w:p>
            <w:pPr>
              <w:pStyle w:val="null3"/>
              <w:ind w:firstLine="420"/>
              <w:jc w:val="both"/>
            </w:pPr>
            <w:r>
              <w:rPr>
                <w:rFonts w:ascii="仿宋_GB2312" w:hAnsi="仿宋_GB2312" w:cs="仿宋_GB2312" w:eastAsia="仿宋_GB2312"/>
                <w:sz w:val="21"/>
                <w:color w:val="000000"/>
              </w:rPr>
              <w:t>——技术上：如缩短工艺时间、减少技术间歇期、实行平行流水立体交叉作业等；</w:t>
            </w:r>
          </w:p>
          <w:p>
            <w:pPr>
              <w:pStyle w:val="null3"/>
              <w:ind w:firstLine="420"/>
              <w:jc w:val="both"/>
            </w:pPr>
            <w:r>
              <w:rPr>
                <w:rFonts w:ascii="仿宋_GB2312" w:hAnsi="仿宋_GB2312" w:cs="仿宋_GB2312" w:eastAsia="仿宋_GB2312"/>
                <w:sz w:val="21"/>
                <w:color w:val="000000"/>
              </w:rPr>
              <w:t>——组织上：如增加作业队数、增加工作人数、工作班次等；</w:t>
            </w:r>
          </w:p>
          <w:p>
            <w:pPr>
              <w:pStyle w:val="null3"/>
              <w:ind w:firstLine="420"/>
              <w:jc w:val="both"/>
            </w:pPr>
            <w:r>
              <w:rPr>
                <w:rFonts w:ascii="仿宋_GB2312" w:hAnsi="仿宋_GB2312" w:cs="仿宋_GB2312" w:eastAsia="仿宋_GB2312"/>
                <w:sz w:val="21"/>
                <w:color w:val="000000"/>
              </w:rPr>
              <w:t>——经济上：如实行包干资金、提高计件单价、资金水平等；</w:t>
            </w:r>
          </w:p>
          <w:p>
            <w:pPr>
              <w:pStyle w:val="null3"/>
              <w:ind w:firstLine="420"/>
              <w:jc w:val="both"/>
            </w:pPr>
            <w:r>
              <w:rPr>
                <w:rFonts w:ascii="仿宋_GB2312" w:hAnsi="仿宋_GB2312" w:cs="仿宋_GB2312" w:eastAsia="仿宋_GB2312"/>
                <w:sz w:val="21"/>
                <w:color w:val="000000"/>
              </w:rPr>
              <w:t>——其它配套措施：如改善外部配合条件、改善劳动条件、实施强有力调度等。</w:t>
            </w:r>
          </w:p>
          <w:p>
            <w:pPr>
              <w:pStyle w:val="null3"/>
              <w:ind w:firstLine="420"/>
              <w:jc w:val="both"/>
            </w:pPr>
            <w:r>
              <w:rPr>
                <w:rFonts w:ascii="仿宋_GB2312" w:hAnsi="仿宋_GB2312" w:cs="仿宋_GB2312" w:eastAsia="仿宋_GB2312"/>
                <w:sz w:val="21"/>
                <w:color w:val="000000"/>
              </w:rPr>
              <w:t>2）制定总工期突破后的补救措施。</w:t>
            </w:r>
          </w:p>
          <w:p>
            <w:pPr>
              <w:pStyle w:val="null3"/>
              <w:ind w:firstLine="420"/>
              <w:jc w:val="both"/>
            </w:pPr>
            <w:r>
              <w:rPr>
                <w:rFonts w:ascii="仿宋_GB2312" w:hAnsi="仿宋_GB2312" w:cs="仿宋_GB2312" w:eastAsia="仿宋_GB2312"/>
                <w:sz w:val="21"/>
                <w:color w:val="000000"/>
              </w:rPr>
              <w:t>3）调整相应的施工计划、材料设备、资金供应计划等，在新的条件下组织新的协调和平衡。</w:t>
            </w:r>
          </w:p>
          <w:p>
            <w:pPr>
              <w:pStyle w:val="null3"/>
              <w:ind w:firstLine="420"/>
              <w:jc w:val="both"/>
            </w:pPr>
            <w:r>
              <w:rPr>
                <w:rFonts w:ascii="仿宋_GB2312" w:hAnsi="仿宋_GB2312" w:cs="仿宋_GB2312" w:eastAsia="仿宋_GB2312"/>
                <w:sz w:val="21"/>
                <w:color w:val="000000"/>
              </w:rPr>
              <w:t>2.3进度控制措施</w:t>
            </w:r>
          </w:p>
          <w:p>
            <w:pPr>
              <w:pStyle w:val="null3"/>
              <w:ind w:firstLine="420"/>
              <w:jc w:val="both"/>
            </w:pPr>
            <w:r>
              <w:rPr>
                <w:rFonts w:ascii="仿宋_GB2312" w:hAnsi="仿宋_GB2312" w:cs="仿宋_GB2312" w:eastAsia="仿宋_GB2312"/>
                <w:sz w:val="21"/>
                <w:color w:val="000000"/>
              </w:rPr>
              <w:t>2.3.1进度控制的组织措施</w:t>
            </w:r>
          </w:p>
          <w:p>
            <w:pPr>
              <w:pStyle w:val="null3"/>
              <w:ind w:firstLine="420"/>
              <w:jc w:val="both"/>
            </w:pPr>
            <w:r>
              <w:rPr>
                <w:rFonts w:ascii="仿宋_GB2312" w:hAnsi="仿宋_GB2312" w:cs="仿宋_GB2312" w:eastAsia="仿宋_GB2312"/>
                <w:sz w:val="21"/>
                <w:color w:val="000000"/>
              </w:rPr>
              <w:t>1）落实进度控制的责任，由总监理工程师（或总监代表）负责工程进度的整体控制，解决进度控制的重大问题，并指定一个监理工程师做进度控制的具体工作。</w:t>
            </w:r>
          </w:p>
          <w:p>
            <w:pPr>
              <w:pStyle w:val="null3"/>
              <w:ind w:firstLine="420"/>
              <w:jc w:val="both"/>
            </w:pPr>
            <w:r>
              <w:rPr>
                <w:rFonts w:ascii="仿宋_GB2312" w:hAnsi="仿宋_GB2312" w:cs="仿宋_GB2312" w:eastAsia="仿宋_GB2312"/>
                <w:sz w:val="21"/>
                <w:color w:val="000000"/>
              </w:rPr>
              <w:t>2）进度监理工程师根据建设工期总目标要求，编制监理项目的控制进度和各阶段的控制工期，实行项目分解。并审查施工承建单位的单项工程施工进度计划与年、季、月的施工计划，并将结果报总监理工程师和建设单位。</w:t>
            </w:r>
          </w:p>
          <w:p>
            <w:pPr>
              <w:pStyle w:val="null3"/>
              <w:ind w:firstLine="420"/>
              <w:jc w:val="both"/>
            </w:pPr>
            <w:r>
              <w:rPr>
                <w:rFonts w:ascii="仿宋_GB2312" w:hAnsi="仿宋_GB2312" w:cs="仿宋_GB2312" w:eastAsia="仿宋_GB2312"/>
                <w:sz w:val="21"/>
                <w:color w:val="000000"/>
              </w:rPr>
              <w:t>3）建立进度监理协调制度，建立反映工程进度状况的监理日志，每周工程例会均进行工程进度目标实现分析，承建单位、监理单位、建设单位负责进度人员均应到会，每月按时将工程进度情况和进度分析意见报建设单位和采购人。</w:t>
            </w:r>
          </w:p>
          <w:p>
            <w:pPr>
              <w:pStyle w:val="null3"/>
              <w:ind w:firstLine="420"/>
              <w:jc w:val="both"/>
            </w:pPr>
            <w:r>
              <w:rPr>
                <w:rFonts w:ascii="仿宋_GB2312" w:hAnsi="仿宋_GB2312" w:cs="仿宋_GB2312" w:eastAsia="仿宋_GB2312"/>
                <w:sz w:val="21"/>
                <w:color w:val="000000"/>
              </w:rPr>
              <w:t>4）总监理工程师（或总监代表）负责为工程进度款签署进度和计量方面的认证意见。</w:t>
            </w:r>
          </w:p>
          <w:p>
            <w:pPr>
              <w:pStyle w:val="null3"/>
              <w:ind w:firstLine="420"/>
              <w:jc w:val="both"/>
            </w:pPr>
            <w:r>
              <w:rPr>
                <w:rFonts w:ascii="仿宋_GB2312" w:hAnsi="仿宋_GB2312" w:cs="仿宋_GB2312" w:eastAsia="仿宋_GB2312"/>
                <w:sz w:val="21"/>
                <w:color w:val="000000"/>
              </w:rPr>
              <w:t>2.3.2进度控制的技术措施</w:t>
            </w:r>
          </w:p>
          <w:p>
            <w:pPr>
              <w:pStyle w:val="null3"/>
              <w:ind w:firstLine="420"/>
              <w:jc w:val="both"/>
            </w:pPr>
            <w:r>
              <w:rPr>
                <w:rFonts w:ascii="仿宋_GB2312" w:hAnsi="仿宋_GB2312" w:cs="仿宋_GB2312" w:eastAsia="仿宋_GB2312"/>
                <w:sz w:val="21"/>
                <w:color w:val="000000"/>
              </w:rPr>
              <w:t>1）在施工进行阶段监理工程师应认真审核施工进度计划与施工方案的协调性和合理性，审核施工方案能否保证工期，保证“全天侯”施工的技术组织措施的可行性、合理性，审核施工总平面图与施工进度计划的协调性，审核材料、设备的采、供计划的用量和时间参数。</w:t>
            </w:r>
          </w:p>
          <w:p>
            <w:pPr>
              <w:pStyle w:val="null3"/>
              <w:ind w:firstLine="420"/>
              <w:jc w:val="both"/>
            </w:pPr>
            <w:r>
              <w:rPr>
                <w:rFonts w:ascii="仿宋_GB2312" w:hAnsi="仿宋_GB2312" w:cs="仿宋_GB2312" w:eastAsia="仿宋_GB2312"/>
                <w:sz w:val="21"/>
                <w:color w:val="000000"/>
              </w:rPr>
              <w:t>2）审核承建单位每月提交的工程进度报告，检查计划进度与实际进度的差异，当实际进度与计划进度发生差异时，应提出调整措施和方案，技术上采取缩短工艺时间，减少技术间歇，实行平行立体交叉作业，配合相应的组织经济措施补救。</w:t>
            </w:r>
          </w:p>
          <w:p>
            <w:pPr>
              <w:pStyle w:val="null3"/>
              <w:ind w:firstLine="420"/>
              <w:jc w:val="both"/>
            </w:pPr>
            <w:r>
              <w:rPr>
                <w:rFonts w:ascii="仿宋_GB2312" w:hAnsi="仿宋_GB2312" w:cs="仿宋_GB2312" w:eastAsia="仿宋_GB2312"/>
                <w:sz w:val="21"/>
                <w:color w:val="000000"/>
              </w:rPr>
              <w:t>2.3.3进度控制的经济措施和合同措施</w:t>
            </w:r>
          </w:p>
          <w:p>
            <w:pPr>
              <w:pStyle w:val="null3"/>
              <w:ind w:firstLine="420"/>
              <w:jc w:val="both"/>
            </w:pPr>
            <w:r>
              <w:rPr>
                <w:rFonts w:ascii="仿宋_GB2312" w:hAnsi="仿宋_GB2312" w:cs="仿宋_GB2312" w:eastAsia="仿宋_GB2312"/>
                <w:sz w:val="21"/>
                <w:color w:val="000000"/>
              </w:rPr>
              <w:t>按合同要求及时协调有关各承建单位的进度，以确保项目的形象进度要求，确保合同工期的实现，执行对工期提前或拖后者的奖罚制度。</w:t>
            </w:r>
          </w:p>
          <w:p>
            <w:pPr>
              <w:pStyle w:val="null3"/>
              <w:ind w:firstLine="420"/>
              <w:jc w:val="both"/>
            </w:pPr>
            <w:r>
              <w:rPr>
                <w:rFonts w:ascii="仿宋_GB2312" w:hAnsi="仿宋_GB2312" w:cs="仿宋_GB2312" w:eastAsia="仿宋_GB2312"/>
                <w:sz w:val="21"/>
                <w:color w:val="000000"/>
              </w:rPr>
              <w:t>2.4进度变更控制</w:t>
            </w:r>
          </w:p>
          <w:p>
            <w:pPr>
              <w:pStyle w:val="null3"/>
              <w:ind w:firstLine="420"/>
              <w:jc w:val="both"/>
            </w:pPr>
            <w:r>
              <w:rPr>
                <w:rFonts w:ascii="仿宋_GB2312" w:hAnsi="仿宋_GB2312" w:cs="仿宋_GB2312" w:eastAsia="仿宋_GB2312"/>
                <w:sz w:val="21"/>
                <w:color w:val="000000"/>
              </w:rPr>
              <w:t>审查进度计划</w:t>
            </w:r>
          </w:p>
          <w:p>
            <w:pPr>
              <w:pStyle w:val="null3"/>
              <w:ind w:firstLine="420"/>
              <w:jc w:val="both"/>
            </w:pPr>
            <w:r>
              <w:rPr>
                <w:rFonts w:ascii="仿宋_GB2312" w:hAnsi="仿宋_GB2312" w:cs="仿宋_GB2312" w:eastAsia="仿宋_GB2312"/>
                <w:sz w:val="21"/>
                <w:color w:val="000000"/>
              </w:rPr>
              <w:t>监理工程师要实际检查、审查进度计划草案，了解项目最初的进度期望值，把握可能出现的变更，并分析、记录。</w:t>
            </w:r>
          </w:p>
          <w:p>
            <w:pPr>
              <w:pStyle w:val="null3"/>
              <w:ind w:firstLine="420"/>
              <w:jc w:val="both"/>
            </w:pPr>
            <w:r>
              <w:rPr>
                <w:rFonts w:ascii="仿宋_GB2312" w:hAnsi="仿宋_GB2312" w:cs="仿宋_GB2312" w:eastAsia="仿宋_GB2312"/>
                <w:sz w:val="21"/>
                <w:color w:val="000000"/>
              </w:rPr>
              <w:t>进度计划的实际检查</w:t>
            </w:r>
          </w:p>
          <w:p>
            <w:pPr>
              <w:pStyle w:val="null3"/>
              <w:ind w:firstLine="420"/>
              <w:jc w:val="both"/>
            </w:pPr>
            <w:r>
              <w:rPr>
                <w:rFonts w:ascii="仿宋_GB2312" w:hAnsi="仿宋_GB2312" w:cs="仿宋_GB2312" w:eastAsia="仿宋_GB2312"/>
                <w:sz w:val="21"/>
                <w:color w:val="000000"/>
              </w:rPr>
              <w:t>通过现场旁站、项目干系人会议、审查项目文档等获取取有关项目进展方面的信息。了解项目中各项活动为什么遵守或没有遵守进度计划，并采取预防性措施。当出现进度的严重冲突时，监理工程师首先会同承建单位提出更改计划和措施，报请总监理工程师审核、签字，然后报客户单位批准。若总监理工程师或客户单位未批准，则由监理人员协助承建单位根据返回的意见对变更计划和措施进行修改或重新制定。</w:t>
            </w:r>
          </w:p>
          <w:p>
            <w:pPr>
              <w:pStyle w:val="null3"/>
              <w:ind w:firstLine="420"/>
              <w:jc w:val="both"/>
            </w:pPr>
            <w:r>
              <w:rPr>
                <w:rFonts w:ascii="仿宋_GB2312" w:hAnsi="仿宋_GB2312" w:cs="仿宋_GB2312" w:eastAsia="仿宋_GB2312"/>
                <w:sz w:val="21"/>
                <w:color w:val="000000"/>
              </w:rPr>
              <w:t>2.5进度计划调整</w:t>
            </w:r>
          </w:p>
          <w:p>
            <w:pPr>
              <w:pStyle w:val="null3"/>
              <w:ind w:firstLine="420"/>
              <w:jc w:val="both"/>
            </w:pPr>
            <w:r>
              <w:rPr>
                <w:rFonts w:ascii="仿宋_GB2312" w:hAnsi="仿宋_GB2312" w:cs="仿宋_GB2312" w:eastAsia="仿宋_GB2312"/>
                <w:sz w:val="21"/>
                <w:color w:val="000000"/>
              </w:rPr>
              <w:t>项目进度计划调整过程是进度监测过程的后续工作过程。当工程进度出现偏差并且客户单位审核批准《信息工程建设延期审批表》后，监理工程师启动该过程对进度计划实施调整。</w:t>
            </w:r>
          </w:p>
          <w:p>
            <w:pPr>
              <w:pStyle w:val="null3"/>
              <w:ind w:firstLine="420"/>
              <w:jc w:val="both"/>
            </w:pPr>
            <w:r>
              <w:rPr>
                <w:rFonts w:ascii="仿宋_GB2312" w:hAnsi="仿宋_GB2312" w:cs="仿宋_GB2312" w:eastAsia="仿宋_GB2312"/>
                <w:sz w:val="21"/>
                <w:color w:val="000000"/>
              </w:rPr>
              <w:t>3.投资控制</w:t>
            </w:r>
          </w:p>
          <w:p>
            <w:pPr>
              <w:pStyle w:val="null3"/>
              <w:ind w:firstLine="420"/>
              <w:jc w:val="both"/>
            </w:pPr>
            <w:r>
              <w:rPr>
                <w:rFonts w:ascii="仿宋_GB2312" w:hAnsi="仿宋_GB2312" w:cs="仿宋_GB2312" w:eastAsia="仿宋_GB2312"/>
                <w:sz w:val="21"/>
                <w:color w:val="000000"/>
              </w:rPr>
              <w:t>3.1投资控制的目标</w:t>
            </w:r>
          </w:p>
          <w:p>
            <w:pPr>
              <w:pStyle w:val="null3"/>
              <w:ind w:firstLine="420"/>
              <w:jc w:val="both"/>
            </w:pPr>
            <w:r>
              <w:rPr>
                <w:rFonts w:ascii="仿宋_GB2312" w:hAnsi="仿宋_GB2312" w:cs="仿宋_GB2312" w:eastAsia="仿宋_GB2312"/>
                <w:sz w:val="21"/>
                <w:color w:val="000000"/>
              </w:rPr>
              <w:t>投资控制的主要目标是在保证实现项目质量、进度的前提下，以降低工程投资为出发点，按照批准的投资计划，建立有效的费用控制、跟踪、分析系统，使项目全体工作人员提高费用控制的意识，在项目实施的全过程中对所有影响工程费用的活动进行恰当而连续的有效控制，将工程项目投资控制在批准的项目初步设计概算内，为项目建成投产后能够取得良好的经济效益奠定基础。</w:t>
            </w:r>
          </w:p>
          <w:p>
            <w:pPr>
              <w:pStyle w:val="null3"/>
              <w:ind w:firstLine="420"/>
              <w:jc w:val="both"/>
            </w:pPr>
            <w:r>
              <w:rPr>
                <w:rFonts w:ascii="仿宋_GB2312" w:hAnsi="仿宋_GB2312" w:cs="仿宋_GB2312" w:eastAsia="仿宋_GB2312"/>
                <w:sz w:val="21"/>
                <w:color w:val="000000"/>
              </w:rPr>
              <w:t>3.2投资控制的方法</w:t>
            </w:r>
          </w:p>
          <w:p>
            <w:pPr>
              <w:pStyle w:val="null3"/>
              <w:ind w:firstLine="420"/>
              <w:jc w:val="both"/>
            </w:pPr>
            <w:r>
              <w:rPr>
                <w:rFonts w:ascii="仿宋_GB2312" w:hAnsi="仿宋_GB2312" w:cs="仿宋_GB2312" w:eastAsia="仿宋_GB2312"/>
                <w:sz w:val="21"/>
                <w:color w:val="000000"/>
              </w:rPr>
              <w:t>3.2.1投资事前控制</w:t>
            </w:r>
          </w:p>
          <w:p>
            <w:pPr>
              <w:pStyle w:val="null3"/>
              <w:ind w:firstLine="420"/>
              <w:jc w:val="both"/>
            </w:pPr>
            <w:r>
              <w:rPr>
                <w:rFonts w:ascii="仿宋_GB2312" w:hAnsi="仿宋_GB2312" w:cs="仿宋_GB2312" w:eastAsia="仿宋_GB2312"/>
                <w:sz w:val="21"/>
                <w:color w:val="000000"/>
              </w:rPr>
              <w:t>投资事前控制，监理机构依据施工合同有关条款、施工图，对工程项目造价对策，目标进行工程风险预测，并采取相应的防范性对微量，尽量减少承建单位提出索赔的可能。</w:t>
            </w:r>
          </w:p>
          <w:p>
            <w:pPr>
              <w:pStyle w:val="null3"/>
              <w:ind w:firstLine="420"/>
              <w:jc w:val="both"/>
            </w:pPr>
            <w:r>
              <w:rPr>
                <w:rFonts w:ascii="仿宋_GB2312" w:hAnsi="仿宋_GB2312" w:cs="仿宋_GB2312" w:eastAsia="仿宋_GB2312"/>
                <w:sz w:val="21"/>
                <w:color w:val="000000"/>
              </w:rPr>
              <w:t>3.2.2投资事中控制</w:t>
            </w:r>
          </w:p>
          <w:p>
            <w:pPr>
              <w:pStyle w:val="null3"/>
              <w:ind w:firstLine="420"/>
              <w:jc w:val="both"/>
            </w:pPr>
            <w:r>
              <w:rPr>
                <w:rFonts w:ascii="仿宋_GB2312" w:hAnsi="仿宋_GB2312" w:cs="仿宋_GB2312" w:eastAsia="仿宋_GB2312"/>
                <w:sz w:val="21"/>
                <w:color w:val="000000"/>
              </w:rPr>
              <w:t>1）按合同规定，及时答复承建单位提出的问题及配合要求，避免造成违约和对方索赔的条件。</w:t>
            </w:r>
          </w:p>
          <w:p>
            <w:pPr>
              <w:pStyle w:val="null3"/>
              <w:ind w:firstLine="420"/>
              <w:jc w:val="both"/>
            </w:pPr>
            <w:r>
              <w:rPr>
                <w:rFonts w:ascii="仿宋_GB2312" w:hAnsi="仿宋_GB2312" w:cs="仿宋_GB2312" w:eastAsia="仿宋_GB2312"/>
                <w:sz w:val="21"/>
                <w:color w:val="000000"/>
              </w:rPr>
              <w:t>2）监理工程师应从造价、功能要求、质量、工期等方面审查工程变更方案，并宣布工程变更实施前与建设单位、承建单位协商确定工程变更的价款。</w:t>
            </w:r>
          </w:p>
          <w:p>
            <w:pPr>
              <w:pStyle w:val="null3"/>
              <w:ind w:firstLine="420"/>
              <w:jc w:val="both"/>
            </w:pPr>
            <w:r>
              <w:rPr>
                <w:rFonts w:ascii="仿宋_GB2312" w:hAnsi="仿宋_GB2312" w:cs="仿宋_GB2312" w:eastAsia="仿宋_GB2312"/>
                <w:sz w:val="21"/>
                <w:color w:val="000000"/>
              </w:rPr>
              <w:t>3）按合同规定，及时对已完工程计量进行计量。</w:t>
            </w:r>
          </w:p>
          <w:p>
            <w:pPr>
              <w:pStyle w:val="null3"/>
              <w:ind w:firstLine="420"/>
              <w:jc w:val="both"/>
            </w:pPr>
            <w:r>
              <w:rPr>
                <w:rFonts w:ascii="仿宋_GB2312" w:hAnsi="仿宋_GB2312" w:cs="仿宋_GB2312" w:eastAsia="仿宋_GB2312"/>
                <w:sz w:val="21"/>
                <w:color w:val="000000"/>
              </w:rPr>
              <w:t>4）监督承建单位按合同规定，及时申报工程量，监理工程师及时审批进度款，避免延误工期违约造成索赔。</w:t>
            </w:r>
          </w:p>
          <w:p>
            <w:pPr>
              <w:pStyle w:val="null3"/>
              <w:ind w:firstLine="420"/>
              <w:jc w:val="both"/>
            </w:pPr>
            <w:r>
              <w:rPr>
                <w:rFonts w:ascii="仿宋_GB2312" w:hAnsi="仿宋_GB2312" w:cs="仿宋_GB2312" w:eastAsia="仿宋_GB2312"/>
                <w:sz w:val="21"/>
                <w:color w:val="000000"/>
              </w:rPr>
              <w:t>5）定期、不定期地进行工程费用超支分析，并提出控制工程费用突破的方案和措施。</w:t>
            </w:r>
          </w:p>
          <w:p>
            <w:pPr>
              <w:pStyle w:val="null3"/>
              <w:ind w:firstLine="420"/>
              <w:jc w:val="both"/>
            </w:pPr>
            <w:r>
              <w:rPr>
                <w:rFonts w:ascii="仿宋_GB2312" w:hAnsi="仿宋_GB2312" w:cs="仿宋_GB2312" w:eastAsia="仿宋_GB2312"/>
                <w:sz w:val="21"/>
                <w:color w:val="000000"/>
              </w:rPr>
              <w:t>3.2.3投资事后控制</w:t>
            </w:r>
          </w:p>
          <w:p>
            <w:pPr>
              <w:pStyle w:val="null3"/>
              <w:ind w:firstLine="420"/>
              <w:jc w:val="both"/>
            </w:pPr>
            <w:r>
              <w:rPr>
                <w:rFonts w:ascii="仿宋_GB2312" w:hAnsi="仿宋_GB2312" w:cs="仿宋_GB2312" w:eastAsia="仿宋_GB2312"/>
                <w:sz w:val="21"/>
                <w:color w:val="000000"/>
              </w:rPr>
              <w:t>1）审核承建单位提交的工程结算书。</w:t>
            </w:r>
          </w:p>
          <w:p>
            <w:pPr>
              <w:pStyle w:val="null3"/>
              <w:ind w:firstLine="420"/>
              <w:jc w:val="both"/>
            </w:pPr>
            <w:r>
              <w:rPr>
                <w:rFonts w:ascii="仿宋_GB2312" w:hAnsi="仿宋_GB2312" w:cs="仿宋_GB2312" w:eastAsia="仿宋_GB2312"/>
                <w:sz w:val="21"/>
                <w:color w:val="000000"/>
              </w:rPr>
              <w:t>2）公正处理双方单位提出的索赔申请。</w:t>
            </w:r>
          </w:p>
          <w:p>
            <w:pPr>
              <w:pStyle w:val="null3"/>
              <w:ind w:firstLine="420"/>
              <w:jc w:val="both"/>
            </w:pPr>
            <w:r>
              <w:rPr>
                <w:rFonts w:ascii="仿宋_GB2312" w:hAnsi="仿宋_GB2312" w:cs="仿宋_GB2312" w:eastAsia="仿宋_GB2312"/>
                <w:sz w:val="21"/>
                <w:color w:val="000000"/>
              </w:rPr>
              <w:t>3.3投资控制措施</w:t>
            </w:r>
          </w:p>
          <w:p>
            <w:pPr>
              <w:pStyle w:val="null3"/>
              <w:ind w:firstLine="420"/>
              <w:jc w:val="both"/>
            </w:pPr>
            <w:r>
              <w:rPr>
                <w:rFonts w:ascii="仿宋_GB2312" w:hAnsi="仿宋_GB2312" w:cs="仿宋_GB2312" w:eastAsia="仿宋_GB2312"/>
                <w:sz w:val="21"/>
                <w:color w:val="000000"/>
              </w:rPr>
              <w:t>3.3.1投资控制的组织措施</w:t>
            </w:r>
          </w:p>
          <w:p>
            <w:pPr>
              <w:pStyle w:val="null3"/>
              <w:ind w:firstLine="420"/>
              <w:jc w:val="both"/>
            </w:pPr>
            <w:r>
              <w:rPr>
                <w:rFonts w:ascii="仿宋_GB2312" w:hAnsi="仿宋_GB2312" w:cs="仿宋_GB2312" w:eastAsia="仿宋_GB2312"/>
                <w:sz w:val="21"/>
                <w:color w:val="000000"/>
              </w:rPr>
              <w:t>建立健全监理组织，完善职责分工及有关制度，落实投资控制的责任。</w:t>
            </w:r>
          </w:p>
          <w:p>
            <w:pPr>
              <w:pStyle w:val="null3"/>
              <w:ind w:firstLine="420"/>
              <w:jc w:val="both"/>
            </w:pPr>
            <w:r>
              <w:rPr>
                <w:rFonts w:ascii="仿宋_GB2312" w:hAnsi="仿宋_GB2312" w:cs="仿宋_GB2312" w:eastAsia="仿宋_GB2312"/>
                <w:sz w:val="21"/>
                <w:color w:val="000000"/>
              </w:rPr>
              <w:t>1）由驻现场监理工程师通过工程计量支付来控制合同价款，工程承建单位按约定的时间向监理工程师提交已完工工程报告，监理工程师核实已完工程数量，并由承建单位、监理工程师共同参与计量，承建单位无正当理由不参与计量，由监理工程师自行进行，计量仍然有效，作为工程价款支付依据。</w:t>
            </w:r>
          </w:p>
          <w:p>
            <w:pPr>
              <w:pStyle w:val="null3"/>
              <w:ind w:firstLine="420"/>
              <w:jc w:val="both"/>
            </w:pPr>
            <w:r>
              <w:rPr>
                <w:rFonts w:ascii="仿宋_GB2312" w:hAnsi="仿宋_GB2312" w:cs="仿宋_GB2312" w:eastAsia="仿宋_GB2312"/>
                <w:sz w:val="21"/>
                <w:color w:val="000000"/>
              </w:rPr>
              <w:t>2）由驻现场监理工程师核实签字后，须经总监理工程师（或总监代表）审核签字，才作为有效的凭证。</w:t>
            </w:r>
          </w:p>
          <w:p>
            <w:pPr>
              <w:pStyle w:val="null3"/>
              <w:ind w:firstLine="420"/>
              <w:jc w:val="both"/>
            </w:pPr>
            <w:r>
              <w:rPr>
                <w:rFonts w:ascii="仿宋_GB2312" w:hAnsi="仿宋_GB2312" w:cs="仿宋_GB2312" w:eastAsia="仿宋_GB2312"/>
                <w:sz w:val="21"/>
                <w:color w:val="000000"/>
              </w:rPr>
              <w:t>3）项目监理部每月应以规范的格式向监理单位报告工程投资情况。</w:t>
            </w:r>
          </w:p>
          <w:p>
            <w:pPr>
              <w:pStyle w:val="null3"/>
              <w:ind w:firstLine="420"/>
              <w:jc w:val="both"/>
            </w:pPr>
            <w:r>
              <w:rPr>
                <w:rFonts w:ascii="仿宋_GB2312" w:hAnsi="仿宋_GB2312" w:cs="仿宋_GB2312" w:eastAsia="仿宋_GB2312"/>
                <w:sz w:val="21"/>
                <w:color w:val="000000"/>
              </w:rPr>
              <w:t>3.3.2投资控制的技术措施</w:t>
            </w:r>
          </w:p>
          <w:p>
            <w:pPr>
              <w:pStyle w:val="null3"/>
              <w:ind w:firstLine="420"/>
              <w:jc w:val="both"/>
            </w:pPr>
            <w:r>
              <w:rPr>
                <w:rFonts w:ascii="仿宋_GB2312" w:hAnsi="仿宋_GB2312" w:cs="仿宋_GB2312" w:eastAsia="仿宋_GB2312"/>
                <w:sz w:val="21"/>
                <w:color w:val="000000"/>
              </w:rPr>
              <w:t>1）材料设备供应阶段，监理工程师根据建设单位的要求，对材料提出自己的建议。</w:t>
            </w:r>
          </w:p>
          <w:p>
            <w:pPr>
              <w:pStyle w:val="null3"/>
              <w:ind w:firstLine="420"/>
              <w:jc w:val="both"/>
            </w:pPr>
            <w:r>
              <w:rPr>
                <w:rFonts w:ascii="仿宋_GB2312" w:hAnsi="仿宋_GB2312" w:cs="仿宋_GB2312" w:eastAsia="仿宋_GB2312"/>
                <w:sz w:val="21"/>
                <w:color w:val="000000"/>
              </w:rPr>
              <w:t>2）施工阶段，监理工程师督促承建单位采用先进合理的施工组织设计和施工方案，合理编排工期，避免不必要的赶工费用。</w:t>
            </w:r>
          </w:p>
          <w:p>
            <w:pPr>
              <w:pStyle w:val="null3"/>
              <w:ind w:firstLine="420"/>
              <w:jc w:val="both"/>
            </w:pPr>
            <w:r>
              <w:rPr>
                <w:rFonts w:ascii="仿宋_GB2312" w:hAnsi="仿宋_GB2312" w:cs="仿宋_GB2312" w:eastAsia="仿宋_GB2312"/>
                <w:sz w:val="21"/>
                <w:color w:val="000000"/>
              </w:rPr>
              <w:t>3.3.3投资控制的经济措施</w:t>
            </w:r>
          </w:p>
          <w:p>
            <w:pPr>
              <w:pStyle w:val="null3"/>
              <w:ind w:firstLine="420"/>
              <w:jc w:val="both"/>
            </w:pPr>
            <w:r>
              <w:rPr>
                <w:rFonts w:ascii="仿宋_GB2312" w:hAnsi="仿宋_GB2312" w:cs="仿宋_GB2312" w:eastAsia="仿宋_GB2312"/>
                <w:sz w:val="21"/>
                <w:color w:val="000000"/>
              </w:rPr>
              <w:t>1）驻现场监理工程师每月定期进行计划费用与实际费用的比较分析，并提出控制工程费用突破的方案和措施。经总监理工程师（或总监代表）审查签字后，报监理单位。经主管领导审批后报建设单位</w:t>
            </w:r>
          </w:p>
          <w:p>
            <w:pPr>
              <w:pStyle w:val="null3"/>
              <w:ind w:firstLine="420"/>
              <w:jc w:val="both"/>
            </w:pPr>
            <w:r>
              <w:rPr>
                <w:rFonts w:ascii="仿宋_GB2312" w:hAnsi="仿宋_GB2312" w:cs="仿宋_GB2312" w:eastAsia="仿宋_GB2312"/>
                <w:sz w:val="21"/>
                <w:color w:val="000000"/>
              </w:rPr>
              <w:t>2）驻现场监理工程师应预测和防范可能发生的索赔，及时向建设单位和上级报告可能发生的索赔，并制定对策，减少向建设单位索赔的发生。</w:t>
            </w:r>
          </w:p>
          <w:p>
            <w:pPr>
              <w:pStyle w:val="null3"/>
              <w:ind w:firstLine="420"/>
              <w:jc w:val="both"/>
            </w:pPr>
            <w:r>
              <w:rPr>
                <w:rFonts w:ascii="仿宋_GB2312" w:hAnsi="仿宋_GB2312" w:cs="仿宋_GB2312" w:eastAsia="仿宋_GB2312"/>
                <w:sz w:val="21"/>
                <w:color w:val="000000"/>
              </w:rPr>
              <w:t>3）鼓励监理工程师对原设计或施工方案提出合理化建议，如合理化建议被采用并对工程产生的投资节约，应按合同予以一定的奖励。</w:t>
            </w:r>
          </w:p>
          <w:p>
            <w:pPr>
              <w:pStyle w:val="null3"/>
              <w:ind w:firstLine="420"/>
              <w:jc w:val="both"/>
            </w:pPr>
            <w:r>
              <w:rPr>
                <w:rFonts w:ascii="仿宋_GB2312" w:hAnsi="仿宋_GB2312" w:cs="仿宋_GB2312" w:eastAsia="仿宋_GB2312"/>
                <w:sz w:val="21"/>
                <w:color w:val="000000"/>
              </w:rPr>
              <w:t>3.3.4投资控制的合同措施</w:t>
            </w:r>
          </w:p>
          <w:p>
            <w:pPr>
              <w:pStyle w:val="null3"/>
              <w:ind w:firstLine="420"/>
              <w:jc w:val="both"/>
            </w:pPr>
            <w:r>
              <w:rPr>
                <w:rFonts w:ascii="仿宋_GB2312" w:hAnsi="仿宋_GB2312" w:cs="仿宋_GB2312" w:eastAsia="仿宋_GB2312"/>
                <w:sz w:val="21"/>
                <w:color w:val="000000"/>
              </w:rPr>
              <w:t>1）监理单位应协助建设单位如期向承建单位提供施工现场，如期、保质、保量供应由建设单位负责的材料、设备，及时提供设计方案等技术资料，不违约，不造成索赔条件。</w:t>
            </w:r>
          </w:p>
          <w:p>
            <w:pPr>
              <w:pStyle w:val="null3"/>
              <w:ind w:firstLine="420"/>
              <w:jc w:val="both"/>
            </w:pPr>
            <w:r>
              <w:rPr>
                <w:rFonts w:ascii="仿宋_GB2312" w:hAnsi="仿宋_GB2312" w:cs="仿宋_GB2312" w:eastAsia="仿宋_GB2312"/>
                <w:sz w:val="21"/>
                <w:color w:val="000000"/>
              </w:rPr>
              <w:t>2）监理单位应按合同条款经审核支付工程款，但防止过早、过量的现金支付。</w:t>
            </w:r>
          </w:p>
          <w:p>
            <w:pPr>
              <w:pStyle w:val="null3"/>
              <w:ind w:firstLine="420"/>
              <w:jc w:val="both"/>
            </w:pPr>
            <w:r>
              <w:rPr>
                <w:rFonts w:ascii="仿宋_GB2312" w:hAnsi="仿宋_GB2312" w:cs="仿宋_GB2312" w:eastAsia="仿宋_GB2312"/>
                <w:sz w:val="21"/>
                <w:color w:val="000000"/>
              </w:rPr>
              <w:t>4.变更控制</w:t>
            </w:r>
          </w:p>
          <w:p>
            <w:pPr>
              <w:pStyle w:val="null3"/>
              <w:ind w:firstLine="420"/>
              <w:jc w:val="both"/>
            </w:pPr>
            <w:r>
              <w:rPr>
                <w:rFonts w:ascii="仿宋_GB2312" w:hAnsi="仿宋_GB2312" w:cs="仿宋_GB2312" w:eastAsia="仿宋_GB2312"/>
                <w:sz w:val="21"/>
                <w:color w:val="000000"/>
              </w:rPr>
              <w:t>4.1变更控制的原则</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1）对变更申请快速响应</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2）任何变更都要得到三方确认</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3）明确界定项目变更的目标</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4）防止变更范围的扩大化</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5）三方都有权提出变更</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6）加强变更风险以及变更效果的评估</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7）及时公布变更信息</w:t>
            </w:r>
          </w:p>
          <w:p>
            <w:pPr>
              <w:pStyle w:val="null3"/>
              <w:ind w:firstLine="420"/>
              <w:jc w:val="both"/>
            </w:pPr>
            <w:r>
              <w:rPr>
                <w:rFonts w:ascii="仿宋_GB2312" w:hAnsi="仿宋_GB2312" w:cs="仿宋_GB2312" w:eastAsia="仿宋_GB2312"/>
                <w:sz w:val="21"/>
                <w:color w:val="000000"/>
              </w:rPr>
              <w:t>（</w:t>
            </w:r>
            <w:r>
              <w:rPr>
                <w:rFonts w:ascii="仿宋_GB2312" w:hAnsi="仿宋_GB2312" w:cs="仿宋_GB2312" w:eastAsia="仿宋_GB2312"/>
                <w:sz w:val="21"/>
                <w:color w:val="000000"/>
              </w:rPr>
              <w:t>8）选择冲击最小的方案</w:t>
            </w:r>
          </w:p>
          <w:p>
            <w:pPr>
              <w:pStyle w:val="null3"/>
              <w:ind w:firstLine="420"/>
              <w:jc w:val="both"/>
            </w:pPr>
            <w:r>
              <w:rPr>
                <w:rFonts w:ascii="仿宋_GB2312" w:hAnsi="仿宋_GB2312" w:cs="仿宋_GB2312" w:eastAsia="仿宋_GB2312"/>
                <w:sz w:val="21"/>
                <w:color w:val="000000"/>
              </w:rPr>
              <w:t>4.2变更控制的流程</w:t>
            </w:r>
          </w:p>
          <w:p>
            <w:pPr>
              <w:pStyle w:val="null3"/>
              <w:ind w:firstLine="420"/>
              <w:jc w:val="both"/>
            </w:pPr>
            <w:r>
              <w:rPr>
                <w:rFonts w:ascii="仿宋_GB2312" w:hAnsi="仿宋_GB2312" w:cs="仿宋_GB2312" w:eastAsia="仿宋_GB2312"/>
                <w:sz w:val="21"/>
                <w:color w:val="000000"/>
              </w:rPr>
              <w:t>4.2.1了解变化</w:t>
            </w:r>
          </w:p>
          <w:p>
            <w:pPr>
              <w:pStyle w:val="null3"/>
              <w:ind w:firstLine="420"/>
              <w:jc w:val="both"/>
            </w:pPr>
            <w:r>
              <w:rPr>
                <w:rFonts w:ascii="仿宋_GB2312" w:hAnsi="仿宋_GB2312" w:cs="仿宋_GB2312" w:eastAsia="仿宋_GB2312"/>
                <w:sz w:val="21"/>
                <w:color w:val="000000"/>
              </w:rPr>
              <w:t>在项目实施过程中，监理工程师与项目组织者要发现和把握变化，认真分析变化的性质，确定变化的影响，适时地进行变化一的描述，监理工程是要对整个项目的执行情况做到心中有数。</w:t>
            </w:r>
          </w:p>
          <w:p>
            <w:pPr>
              <w:pStyle w:val="null3"/>
              <w:ind w:firstLine="420"/>
              <w:jc w:val="both"/>
            </w:pPr>
            <w:r>
              <w:rPr>
                <w:rFonts w:ascii="仿宋_GB2312" w:hAnsi="仿宋_GB2312" w:cs="仿宋_GB2312" w:eastAsia="仿宋_GB2312"/>
                <w:sz w:val="21"/>
                <w:color w:val="000000"/>
              </w:rPr>
              <w:t>4.2.2接受变更申请</w:t>
            </w:r>
          </w:p>
          <w:p>
            <w:pPr>
              <w:pStyle w:val="null3"/>
              <w:ind w:firstLine="420"/>
              <w:jc w:val="both"/>
            </w:pPr>
            <w:r>
              <w:rPr>
                <w:rFonts w:ascii="仿宋_GB2312" w:hAnsi="仿宋_GB2312" w:cs="仿宋_GB2312" w:eastAsia="仿宋_GB2312"/>
                <w:sz w:val="21"/>
                <w:color w:val="000000"/>
              </w:rPr>
              <w:t>变更申请单位向监理工程师提出变更要求或建议，提交书面工程变更建议书。工程变更建议书主要包括以下内容：变更的原因及依据；变更的内容及范围；变更引起的合同总价增加或减少；变更引起的合同工期提前或缩短；为审查所提交的附件及计算资料等。工程变更建议书应在预计可能变更的时间之前</w:t>
            </w:r>
            <w:r>
              <w:rPr>
                <w:rFonts w:ascii="仿宋_GB2312" w:hAnsi="仿宋_GB2312" w:cs="仿宋_GB2312" w:eastAsia="仿宋_GB2312"/>
                <w:sz w:val="21"/>
                <w:color w:val="000000"/>
              </w:rPr>
              <w:t>14天提出。在特殊情况下，工程变更可不受时间的限制。</w:t>
            </w:r>
          </w:p>
          <w:p>
            <w:pPr>
              <w:pStyle w:val="null3"/>
              <w:ind w:firstLine="420"/>
              <w:jc w:val="both"/>
            </w:pPr>
            <w:r>
              <w:rPr>
                <w:rFonts w:ascii="仿宋_GB2312" w:hAnsi="仿宋_GB2312" w:cs="仿宋_GB2312" w:eastAsia="仿宋_GB2312"/>
                <w:sz w:val="21"/>
                <w:color w:val="000000"/>
              </w:rPr>
              <w:t>4.2.3变更的初审</w:t>
            </w:r>
          </w:p>
          <w:p>
            <w:pPr>
              <w:pStyle w:val="null3"/>
              <w:ind w:firstLine="420"/>
              <w:jc w:val="both"/>
            </w:pPr>
            <w:r>
              <w:rPr>
                <w:rFonts w:ascii="仿宋_GB2312" w:hAnsi="仿宋_GB2312" w:cs="仿宋_GB2312" w:eastAsia="仿宋_GB2312"/>
                <w:sz w:val="21"/>
                <w:color w:val="000000"/>
              </w:rPr>
              <w:t>项目监理机构应了解实际情况和收集与项目变更有关的资料，首先明确界定项目变更的目标，再根据收集的变更信息判断变更的合理性和必要性。对于完全无必要的变更，可以驳回此申请，并给出监理意见；对于有必要的变更，可以进一步进行变更分析。</w:t>
            </w:r>
          </w:p>
          <w:p>
            <w:pPr>
              <w:pStyle w:val="null3"/>
              <w:ind w:firstLine="420"/>
              <w:jc w:val="both"/>
            </w:pPr>
            <w:r>
              <w:rPr>
                <w:rFonts w:ascii="仿宋_GB2312" w:hAnsi="仿宋_GB2312" w:cs="仿宋_GB2312" w:eastAsia="仿宋_GB2312"/>
                <w:sz w:val="21"/>
                <w:color w:val="000000"/>
              </w:rPr>
              <w:t>4.2.4变更分析</w:t>
            </w:r>
          </w:p>
          <w:p>
            <w:pPr>
              <w:pStyle w:val="null3"/>
              <w:ind w:firstLine="420"/>
              <w:jc w:val="both"/>
            </w:pPr>
            <w:r>
              <w:rPr>
                <w:rFonts w:ascii="仿宋_GB2312" w:hAnsi="仿宋_GB2312" w:cs="仿宋_GB2312" w:eastAsia="仿宋_GB2312"/>
                <w:sz w:val="21"/>
                <w:color w:val="000000"/>
              </w:rPr>
              <w:t>把项目变化融入项目计划中是一个新的项目规划过程，只不过这规划过程是以原来的项目计划为框架，在考察项目变化的基础上完成的。通过与新项目计划的对比，监理工程师可以清楚地看到项目变化对项目预算、进度、资源配置的影响与冲击。把握项目变化的影响和冲击是相当重要的，否则就难以做出正确的决策，做出合理的项目变更。</w:t>
            </w:r>
          </w:p>
          <w:p>
            <w:pPr>
              <w:pStyle w:val="null3"/>
              <w:ind w:firstLine="420"/>
              <w:jc w:val="both"/>
            </w:pPr>
            <w:r>
              <w:rPr>
                <w:rFonts w:ascii="仿宋_GB2312" w:hAnsi="仿宋_GB2312" w:cs="仿宋_GB2312" w:eastAsia="仿宋_GB2312"/>
                <w:sz w:val="21"/>
                <w:color w:val="000000"/>
              </w:rPr>
              <w:t>4.2.5确定变更方法</w:t>
            </w:r>
          </w:p>
          <w:p>
            <w:pPr>
              <w:pStyle w:val="null3"/>
              <w:ind w:firstLine="420"/>
              <w:jc w:val="both"/>
            </w:pPr>
            <w:r>
              <w:rPr>
                <w:rFonts w:ascii="仿宋_GB2312" w:hAnsi="仿宋_GB2312" w:cs="仿宋_GB2312" w:eastAsia="仿宋_GB2312"/>
                <w:sz w:val="21"/>
                <w:color w:val="000000"/>
              </w:rPr>
              <w:t>三方进行协商和讨论，根据变更分析的结果，确定最优变更方案。做出项目变更时，力求在尽可能小的变动幅度内对主要因素进行微调。根据表更方案下达变更通知书并进行变更公布，并把变更实施方案告知有关实施部门和实施人员，为变更实施做好准备。</w:t>
            </w:r>
          </w:p>
          <w:p>
            <w:pPr>
              <w:pStyle w:val="null3"/>
              <w:ind w:firstLine="420"/>
              <w:jc w:val="both"/>
            </w:pPr>
            <w:r>
              <w:rPr>
                <w:rFonts w:ascii="仿宋_GB2312" w:hAnsi="仿宋_GB2312" w:cs="仿宋_GB2312" w:eastAsia="仿宋_GB2312"/>
                <w:sz w:val="21"/>
                <w:color w:val="000000"/>
              </w:rPr>
              <w:t>4.2.6监控变更的实施</w:t>
            </w:r>
          </w:p>
          <w:p>
            <w:pPr>
              <w:pStyle w:val="null3"/>
              <w:ind w:firstLine="420"/>
              <w:jc w:val="both"/>
            </w:pPr>
            <w:r>
              <w:rPr>
                <w:rFonts w:ascii="仿宋_GB2312" w:hAnsi="仿宋_GB2312" w:cs="仿宋_GB2312" w:eastAsia="仿宋_GB2312"/>
                <w:sz w:val="21"/>
                <w:color w:val="000000"/>
              </w:rPr>
              <w:t>变更后的内容作为新的计划和方案，可以纳入正常的监理工作范围，监理工程师对变更部分的内容要密切注意，项目变更控制是一个动态的过程，在这一过程中，要记录这一变化过程，充分掌握信息，及时发现变更引起的超过估计的后果，以便及时控制和处理。</w:t>
            </w:r>
          </w:p>
          <w:p>
            <w:pPr>
              <w:pStyle w:val="null3"/>
              <w:ind w:firstLine="420"/>
              <w:jc w:val="both"/>
            </w:pPr>
            <w:r>
              <w:rPr>
                <w:rFonts w:ascii="仿宋_GB2312" w:hAnsi="仿宋_GB2312" w:cs="仿宋_GB2312" w:eastAsia="仿宋_GB2312"/>
                <w:sz w:val="21"/>
                <w:color w:val="000000"/>
              </w:rPr>
              <w:t>4.2.7变更效果评估</w:t>
            </w:r>
          </w:p>
          <w:p>
            <w:pPr>
              <w:pStyle w:val="null3"/>
              <w:ind w:firstLine="420"/>
              <w:jc w:val="both"/>
            </w:pPr>
            <w:r>
              <w:rPr>
                <w:rFonts w:ascii="仿宋_GB2312" w:hAnsi="仿宋_GB2312" w:cs="仿宋_GB2312" w:eastAsia="仿宋_GB2312"/>
                <w:sz w:val="21"/>
                <w:color w:val="000000"/>
              </w:rPr>
              <w:t>在变更实施结束后，要对变更效果进行分析和评估。整个变更控制流程如图所示。</w:t>
            </w:r>
          </w:p>
          <w:p>
            <w:pPr>
              <w:pStyle w:val="null3"/>
              <w:ind w:firstLine="420"/>
              <w:jc w:val="both"/>
            </w:pPr>
            <w:r>
              <w:rPr>
                <w:rFonts w:ascii="仿宋_GB2312" w:hAnsi="仿宋_GB2312" w:cs="仿宋_GB2312" w:eastAsia="仿宋_GB2312"/>
                <w:sz w:val="21"/>
                <w:color w:val="000000"/>
              </w:rPr>
              <w:t>5.合同管理</w:t>
            </w:r>
          </w:p>
          <w:p>
            <w:pPr>
              <w:pStyle w:val="null3"/>
              <w:ind w:firstLine="420"/>
              <w:jc w:val="both"/>
            </w:pPr>
            <w:r>
              <w:rPr>
                <w:rFonts w:ascii="仿宋_GB2312" w:hAnsi="仿宋_GB2312" w:cs="仿宋_GB2312" w:eastAsia="仿宋_GB2312"/>
                <w:sz w:val="21"/>
                <w:color w:val="000000"/>
              </w:rPr>
              <w:t>5.1合同管理的原则</w:t>
            </w:r>
          </w:p>
          <w:p>
            <w:pPr>
              <w:pStyle w:val="null3"/>
              <w:ind w:firstLine="420"/>
              <w:jc w:val="both"/>
            </w:pPr>
            <w:r>
              <w:rPr>
                <w:rFonts w:ascii="仿宋_GB2312" w:hAnsi="仿宋_GB2312" w:cs="仿宋_GB2312" w:eastAsia="仿宋_GB2312"/>
                <w:sz w:val="21"/>
                <w:color w:val="000000"/>
              </w:rPr>
              <w:t>合同管理的原则是指监理单位在信息系统工程监理过程中针对各类合同的管理须遵循的宗旨，贯穿合同管理的全过程，包括：事前预控原则、实时纠偏原则、充分协商原则和公正处理原则。</w:t>
            </w:r>
          </w:p>
          <w:p>
            <w:pPr>
              <w:pStyle w:val="null3"/>
              <w:ind w:firstLine="420"/>
              <w:jc w:val="both"/>
            </w:pPr>
            <w:r>
              <w:rPr>
                <w:rFonts w:ascii="仿宋_GB2312" w:hAnsi="仿宋_GB2312" w:cs="仿宋_GB2312" w:eastAsia="仿宋_GB2312"/>
                <w:sz w:val="21"/>
                <w:color w:val="000000"/>
              </w:rPr>
              <w:t>5.2合同管理的主要内容</w:t>
            </w:r>
          </w:p>
          <w:p>
            <w:pPr>
              <w:pStyle w:val="null3"/>
              <w:ind w:firstLine="420"/>
              <w:jc w:val="both"/>
            </w:pPr>
            <w:r>
              <w:rPr>
                <w:rFonts w:ascii="仿宋_GB2312" w:hAnsi="仿宋_GB2312" w:cs="仿宋_GB2312" w:eastAsia="仿宋_GB2312"/>
                <w:sz w:val="21"/>
                <w:color w:val="000000"/>
              </w:rPr>
              <w:t>本项目合同管理的工作内容包括：</w:t>
            </w:r>
          </w:p>
          <w:p>
            <w:pPr>
              <w:pStyle w:val="null3"/>
              <w:ind w:firstLine="420"/>
              <w:jc w:val="both"/>
            </w:pPr>
            <w:r>
              <w:rPr>
                <w:rFonts w:ascii="仿宋_GB2312" w:hAnsi="仿宋_GB2312" w:cs="仿宋_GB2312" w:eastAsia="仿宋_GB2312"/>
                <w:sz w:val="21"/>
                <w:color w:val="000000"/>
              </w:rPr>
              <w:t>拟定信息系统工程的合同管理制度，其中应包括合同草案的拟定、会签、协商、修改、审批、签署、保管等工作制度及流程；</w:t>
            </w:r>
          </w:p>
          <w:p>
            <w:pPr>
              <w:pStyle w:val="null3"/>
              <w:ind w:firstLine="420"/>
              <w:jc w:val="both"/>
            </w:pPr>
            <w:r>
              <w:rPr>
                <w:rFonts w:ascii="仿宋_GB2312" w:hAnsi="仿宋_GB2312" w:cs="仿宋_GB2312" w:eastAsia="仿宋_GB2312"/>
                <w:sz w:val="21"/>
                <w:color w:val="000000"/>
              </w:rPr>
              <w:t>协助建设单位拟定信息系统工程合同的各类条款，参与建设单位和承建单位的谈判活动；</w:t>
            </w:r>
          </w:p>
          <w:p>
            <w:pPr>
              <w:pStyle w:val="null3"/>
              <w:ind w:firstLine="420"/>
              <w:jc w:val="both"/>
            </w:pPr>
            <w:r>
              <w:rPr>
                <w:rFonts w:ascii="仿宋_GB2312" w:hAnsi="仿宋_GB2312" w:cs="仿宋_GB2312" w:eastAsia="仿宋_GB2312"/>
                <w:sz w:val="21"/>
                <w:color w:val="000000"/>
              </w:rPr>
              <w:t>及时分析合同的执行情况，并进行跟踪管理；</w:t>
            </w:r>
          </w:p>
          <w:p>
            <w:pPr>
              <w:pStyle w:val="null3"/>
              <w:ind w:firstLine="420"/>
              <w:jc w:val="both"/>
            </w:pPr>
            <w:r>
              <w:rPr>
                <w:rFonts w:ascii="仿宋_GB2312" w:hAnsi="仿宋_GB2312" w:cs="仿宋_GB2312" w:eastAsia="仿宋_GB2312"/>
                <w:sz w:val="21"/>
                <w:color w:val="000000"/>
              </w:rPr>
              <w:t>协调建设单位与承建单位的有关索赔及合同纠纷事宜。</w:t>
            </w:r>
          </w:p>
          <w:p>
            <w:pPr>
              <w:pStyle w:val="null3"/>
              <w:ind w:firstLine="420"/>
              <w:jc w:val="both"/>
            </w:pPr>
            <w:r>
              <w:rPr>
                <w:rFonts w:ascii="仿宋_GB2312" w:hAnsi="仿宋_GB2312" w:cs="仿宋_GB2312" w:eastAsia="仿宋_GB2312"/>
                <w:sz w:val="21"/>
                <w:color w:val="000000"/>
              </w:rPr>
              <w:t>归纳起来，监理单位在合同管理中的主要内容由三部分组成，即合同的签订管理、合同的档案管理和合同的履行管理。</w:t>
            </w:r>
          </w:p>
          <w:p>
            <w:pPr>
              <w:pStyle w:val="null3"/>
              <w:ind w:firstLine="420"/>
              <w:jc w:val="both"/>
            </w:pPr>
            <w:r>
              <w:rPr>
                <w:rFonts w:ascii="仿宋_GB2312" w:hAnsi="仿宋_GB2312" w:cs="仿宋_GB2312" w:eastAsia="仿宋_GB2312"/>
                <w:sz w:val="21"/>
                <w:color w:val="000000"/>
              </w:rPr>
              <w:t>5.3合同的签订管理</w:t>
            </w:r>
          </w:p>
          <w:p>
            <w:pPr>
              <w:pStyle w:val="null3"/>
              <w:ind w:firstLine="420"/>
              <w:jc w:val="both"/>
            </w:pPr>
            <w:r>
              <w:rPr>
                <w:rFonts w:ascii="仿宋_GB2312" w:hAnsi="仿宋_GB2312" w:cs="仿宋_GB2312" w:eastAsia="仿宋_GB2312"/>
                <w:sz w:val="21"/>
                <w:color w:val="000000"/>
              </w:rPr>
              <w:t>合同的签订管理是指监理协助建设单位与承建单位、设备材料供应单位等各方之间的各种合同进行分析、谈判、协商、拟定、签署等。</w:t>
            </w:r>
          </w:p>
          <w:p>
            <w:pPr>
              <w:pStyle w:val="null3"/>
              <w:ind w:firstLine="420"/>
              <w:jc w:val="both"/>
            </w:pPr>
            <w:r>
              <w:rPr>
                <w:rFonts w:ascii="仿宋_GB2312" w:hAnsi="仿宋_GB2312" w:cs="仿宋_GB2312" w:eastAsia="仿宋_GB2312"/>
                <w:sz w:val="21"/>
                <w:color w:val="000000"/>
              </w:rPr>
              <w:t>合同分析是合同签订中最重要的内容和环节，是合同签订的前提。监理工程师应对工程承建、共同承担风险的合同条款、法律条款分别进行仔细的分析解释。同时也要对合同条款的更换、延期说明、投资变化等事件进行仔细分析。合同分析和项目检查等工作要与其联系起来。</w:t>
            </w:r>
          </w:p>
          <w:p>
            <w:pPr>
              <w:pStyle w:val="null3"/>
              <w:ind w:firstLine="420"/>
              <w:jc w:val="both"/>
            </w:pPr>
            <w:r>
              <w:rPr>
                <w:rFonts w:ascii="仿宋_GB2312" w:hAnsi="仿宋_GB2312" w:cs="仿宋_GB2312" w:eastAsia="仿宋_GB2312"/>
                <w:sz w:val="21"/>
                <w:color w:val="000000"/>
              </w:rPr>
              <w:t>监理工程师在订立合同的过程中要按条款逐条分析，如果发现有对建设单位产生风险较大的条款，要增加相应的抵御条款。要详细分析哪些条款与建设单位有关、与承建单位有关、与项目检查有关、与工期有关等，分门别类地分析各自责任和相互联系的关联要素，做到一清二楚，心中有数。</w:t>
            </w:r>
          </w:p>
          <w:p>
            <w:pPr>
              <w:pStyle w:val="null3"/>
              <w:ind w:firstLine="420"/>
              <w:jc w:val="both"/>
            </w:pPr>
            <w:r>
              <w:rPr>
                <w:rFonts w:ascii="仿宋_GB2312" w:hAnsi="仿宋_GB2312" w:cs="仿宋_GB2312" w:eastAsia="仿宋_GB2312"/>
                <w:sz w:val="21"/>
                <w:color w:val="000000"/>
              </w:rPr>
              <w:t>5.4合同的履行管理</w:t>
            </w:r>
          </w:p>
          <w:p>
            <w:pPr>
              <w:pStyle w:val="null3"/>
              <w:ind w:firstLine="420"/>
              <w:jc w:val="both"/>
            </w:pPr>
            <w:r>
              <w:rPr>
                <w:rFonts w:ascii="仿宋_GB2312" w:hAnsi="仿宋_GB2312" w:cs="仿宋_GB2312" w:eastAsia="仿宋_GB2312"/>
                <w:sz w:val="21"/>
                <w:color w:val="000000"/>
              </w:rPr>
              <w:t>合同的履行管理是指监理工程师对合同各方关于合同约定的工期、质量和费用、争议解决及索赔处理等工作的管理。</w:t>
            </w:r>
          </w:p>
          <w:p>
            <w:pPr>
              <w:pStyle w:val="null3"/>
              <w:ind w:firstLine="420"/>
              <w:jc w:val="both"/>
            </w:pPr>
            <w:r>
              <w:rPr>
                <w:rFonts w:ascii="仿宋_GB2312" w:hAnsi="仿宋_GB2312" w:cs="仿宋_GB2312" w:eastAsia="仿宋_GB2312"/>
                <w:sz w:val="21"/>
                <w:color w:val="000000"/>
              </w:rPr>
              <w:t>1)履约管理的方式—合同控制</w:t>
            </w:r>
          </w:p>
          <w:p>
            <w:pPr>
              <w:pStyle w:val="null3"/>
              <w:ind w:firstLine="420"/>
              <w:jc w:val="both"/>
            </w:pPr>
            <w:r>
              <w:rPr>
                <w:rFonts w:ascii="仿宋_GB2312" w:hAnsi="仿宋_GB2312" w:cs="仿宋_GB2312" w:eastAsia="仿宋_GB2312"/>
                <w:sz w:val="21"/>
                <w:color w:val="000000"/>
              </w:rPr>
              <w:t>合同控制指为保证合同所约定的各项义务的全面完成及各项权利的实现，以合同分析的成果为基准，监理对整个合同实施过程的全面监督、检查、对比、引导及纠正的管理活动。</w:t>
            </w:r>
          </w:p>
          <w:p>
            <w:pPr>
              <w:pStyle w:val="null3"/>
              <w:ind w:firstLine="420"/>
              <w:jc w:val="both"/>
            </w:pPr>
            <w:r>
              <w:rPr>
                <w:rFonts w:ascii="仿宋_GB2312" w:hAnsi="仿宋_GB2312" w:cs="仿宋_GB2312" w:eastAsia="仿宋_GB2312"/>
                <w:sz w:val="21"/>
                <w:color w:val="000000"/>
              </w:rPr>
              <w:t>合同控制的首要内容是对合同实施情况进行追踪，追踪的对象包括：</w:t>
            </w:r>
          </w:p>
          <w:p>
            <w:pPr>
              <w:pStyle w:val="null3"/>
              <w:ind w:firstLine="420"/>
              <w:jc w:val="both"/>
            </w:pPr>
            <w:r>
              <w:rPr>
                <w:rFonts w:ascii="仿宋_GB2312" w:hAnsi="仿宋_GB2312" w:cs="仿宋_GB2312" w:eastAsia="仿宋_GB2312"/>
                <w:sz w:val="21"/>
                <w:color w:val="000000"/>
              </w:rPr>
              <w:t>具体的合同事件。包括项目的质量、工期、成本。</w:t>
            </w:r>
          </w:p>
          <w:p>
            <w:pPr>
              <w:pStyle w:val="null3"/>
              <w:ind w:firstLine="420"/>
              <w:jc w:val="both"/>
            </w:pPr>
            <w:r>
              <w:rPr>
                <w:rFonts w:ascii="仿宋_GB2312" w:hAnsi="仿宋_GB2312" w:cs="仿宋_GB2312" w:eastAsia="仿宋_GB2312"/>
                <w:sz w:val="21"/>
                <w:color w:val="000000"/>
              </w:rPr>
              <w:t>承建单位的工作。对承建单位的项目缺陷提出意见，提出警告，责成他们改进。</w:t>
            </w:r>
          </w:p>
          <w:p>
            <w:pPr>
              <w:pStyle w:val="null3"/>
              <w:ind w:firstLine="420"/>
              <w:jc w:val="both"/>
            </w:pPr>
            <w:r>
              <w:rPr>
                <w:rFonts w:ascii="仿宋_GB2312" w:hAnsi="仿宋_GB2312" w:cs="仿宋_GB2312" w:eastAsia="仿宋_GB2312"/>
                <w:sz w:val="21"/>
                <w:color w:val="000000"/>
              </w:rPr>
              <w:t>建设单位是否及时下达命令，做出答复，及时支付项目款项。</w:t>
            </w:r>
          </w:p>
          <w:p>
            <w:pPr>
              <w:pStyle w:val="null3"/>
              <w:ind w:firstLine="420"/>
              <w:jc w:val="both"/>
            </w:pPr>
            <w:r>
              <w:rPr>
                <w:rFonts w:ascii="仿宋_GB2312" w:hAnsi="仿宋_GB2312" w:cs="仿宋_GB2312" w:eastAsia="仿宋_GB2312"/>
                <w:sz w:val="21"/>
                <w:color w:val="000000"/>
              </w:rPr>
              <w:t>总体情况，如整体项目的秩序如何，已完项目是否通过验收，有无大的项目事故，进度是否出现拖期，计划和实际成本有无大的偏差等。</w:t>
            </w:r>
          </w:p>
          <w:p>
            <w:pPr>
              <w:pStyle w:val="null3"/>
              <w:ind w:firstLine="420"/>
              <w:jc w:val="both"/>
            </w:pPr>
            <w:r>
              <w:rPr>
                <w:rFonts w:ascii="仿宋_GB2312" w:hAnsi="仿宋_GB2312" w:cs="仿宋_GB2312" w:eastAsia="仿宋_GB2312"/>
                <w:sz w:val="21"/>
                <w:color w:val="000000"/>
              </w:rPr>
              <w:t>2)履约管理的保证—合同监督</w:t>
            </w:r>
          </w:p>
          <w:p>
            <w:pPr>
              <w:pStyle w:val="null3"/>
              <w:ind w:firstLine="420"/>
              <w:jc w:val="both"/>
            </w:pPr>
            <w:r>
              <w:rPr>
                <w:rFonts w:ascii="仿宋_GB2312" w:hAnsi="仿宋_GB2312" w:cs="仿宋_GB2312" w:eastAsia="仿宋_GB2312"/>
                <w:sz w:val="21"/>
                <w:color w:val="000000"/>
              </w:rPr>
              <w:t>合同监督就是要对合同条款经常与实际实施情况进行比对，以便根据合同来掌握项目的进展。保证设计、开发、实施的精确性，并符合合同要求。合同监督的另一个重要的内容是检查解释双方来往的信函和文件，以及会议记录、建设单位指示等，因为这些内容对合同管理是非常重要的</w:t>
            </w:r>
          </w:p>
          <w:p>
            <w:pPr>
              <w:pStyle w:val="null3"/>
              <w:ind w:firstLine="420"/>
              <w:jc w:val="both"/>
            </w:pPr>
            <w:r>
              <w:rPr>
                <w:rFonts w:ascii="仿宋_GB2312" w:hAnsi="仿宋_GB2312" w:cs="仿宋_GB2312" w:eastAsia="仿宋_GB2312"/>
                <w:sz w:val="21"/>
                <w:color w:val="000000"/>
              </w:rPr>
              <w:t>5.5合同档案的管理</w:t>
            </w:r>
          </w:p>
          <w:p>
            <w:pPr>
              <w:pStyle w:val="null3"/>
              <w:ind w:firstLine="420"/>
              <w:jc w:val="both"/>
            </w:pPr>
            <w:r>
              <w:rPr>
                <w:rFonts w:ascii="仿宋_GB2312" w:hAnsi="仿宋_GB2312" w:cs="仿宋_GB2312" w:eastAsia="仿宋_GB2312"/>
                <w:sz w:val="21"/>
                <w:color w:val="000000"/>
              </w:rPr>
              <w:t>合同档案的管理，也即合同文件管理，是整个合同管理的基础。所有与合同有关的文件都是重要的文字依据，合同管理人员必须及时填写并妥善保存经有关方面签证的文件和单据，并建立合同档案数据库，以免在合同履行中发生纠纷时缺少有关的文字根据。</w:t>
            </w:r>
          </w:p>
          <w:p>
            <w:pPr>
              <w:pStyle w:val="null3"/>
              <w:ind w:firstLine="420"/>
              <w:jc w:val="both"/>
            </w:pPr>
            <w:r>
              <w:rPr>
                <w:rFonts w:ascii="仿宋_GB2312" w:hAnsi="仿宋_GB2312" w:cs="仿宋_GB2312" w:eastAsia="仿宋_GB2312"/>
                <w:sz w:val="21"/>
                <w:color w:val="000000"/>
              </w:rPr>
              <w:t>6.安全管理内容</w:t>
            </w:r>
          </w:p>
          <w:p>
            <w:pPr>
              <w:pStyle w:val="null3"/>
              <w:ind w:firstLine="420"/>
              <w:jc w:val="both"/>
            </w:pPr>
            <w:r>
              <w:rPr>
                <w:rFonts w:ascii="仿宋_GB2312" w:hAnsi="仿宋_GB2312" w:cs="仿宋_GB2312" w:eastAsia="仿宋_GB2312"/>
                <w:sz w:val="21"/>
                <w:color w:val="000000"/>
              </w:rPr>
              <w:t>审核工程信息安全方案，监督信息安全策略的实施；审核施工组织安全管理措施，监督安全制度的落实，确保施工安全。</w:t>
            </w:r>
          </w:p>
          <w:p>
            <w:pPr>
              <w:pStyle w:val="null3"/>
              <w:ind w:firstLine="420"/>
              <w:jc w:val="both"/>
            </w:pPr>
            <w:r>
              <w:rPr>
                <w:rFonts w:ascii="仿宋_GB2312" w:hAnsi="仿宋_GB2312" w:cs="仿宋_GB2312" w:eastAsia="仿宋_GB2312"/>
                <w:sz w:val="21"/>
                <w:color w:val="000000"/>
              </w:rPr>
              <w:t>7.信息管理</w:t>
            </w:r>
          </w:p>
          <w:p>
            <w:pPr>
              <w:pStyle w:val="null3"/>
              <w:ind w:firstLine="420"/>
              <w:jc w:val="both"/>
            </w:pPr>
            <w:r>
              <w:rPr>
                <w:rFonts w:ascii="仿宋_GB2312" w:hAnsi="仿宋_GB2312" w:cs="仿宋_GB2312" w:eastAsia="仿宋_GB2312"/>
                <w:sz w:val="21"/>
                <w:color w:val="000000"/>
              </w:rPr>
              <w:t>7.1项目信息的划分</w:t>
            </w:r>
          </w:p>
          <w:p>
            <w:pPr>
              <w:pStyle w:val="null3"/>
              <w:ind w:firstLine="420"/>
              <w:jc w:val="both"/>
            </w:pPr>
            <w:r>
              <w:rPr>
                <w:rFonts w:ascii="仿宋_GB2312" w:hAnsi="仿宋_GB2312" w:cs="仿宋_GB2312" w:eastAsia="仿宋_GB2312"/>
                <w:sz w:val="21"/>
                <w:color w:val="000000"/>
              </w:rPr>
              <w:t>项目信息应划分为：</w:t>
            </w:r>
          </w:p>
          <w:p>
            <w:pPr>
              <w:pStyle w:val="null3"/>
              <w:ind w:firstLine="420"/>
              <w:jc w:val="both"/>
            </w:pPr>
            <w:r>
              <w:rPr>
                <w:rFonts w:ascii="仿宋_GB2312" w:hAnsi="仿宋_GB2312" w:cs="仿宋_GB2312" w:eastAsia="仿宋_GB2312"/>
                <w:sz w:val="21"/>
                <w:color w:val="000000"/>
              </w:rPr>
              <w:t>1）投资控制信息</w:t>
            </w:r>
          </w:p>
          <w:p>
            <w:pPr>
              <w:pStyle w:val="null3"/>
              <w:ind w:firstLine="420"/>
              <w:jc w:val="both"/>
            </w:pPr>
            <w:r>
              <w:rPr>
                <w:rFonts w:ascii="仿宋_GB2312" w:hAnsi="仿宋_GB2312" w:cs="仿宋_GB2312" w:eastAsia="仿宋_GB2312"/>
                <w:sz w:val="21"/>
                <w:color w:val="000000"/>
              </w:rPr>
              <w:t>投资控制信息包括：费用规划信息，如投资计划、投资估算、工程预算等；实际费用信息，如各类费用支出凭证、工程变更情况、工程结算签证，以及物价指数、人工、软件环境、硬件设备等市场价格等；投资控制的分析比较信息，如费用的历史经验数据、现行数据、预测数据及经济与财务分析的评价数据等。</w:t>
            </w:r>
          </w:p>
          <w:p>
            <w:pPr>
              <w:pStyle w:val="null3"/>
              <w:ind w:firstLine="420"/>
              <w:jc w:val="both"/>
            </w:pPr>
            <w:r>
              <w:rPr>
                <w:rFonts w:ascii="仿宋_GB2312" w:hAnsi="仿宋_GB2312" w:cs="仿宋_GB2312" w:eastAsia="仿宋_GB2312"/>
                <w:sz w:val="21"/>
                <w:color w:val="000000"/>
              </w:rPr>
              <w:t>2）进度控制信息</w:t>
            </w:r>
          </w:p>
          <w:p>
            <w:pPr>
              <w:pStyle w:val="null3"/>
              <w:ind w:firstLine="420"/>
              <w:jc w:val="both"/>
            </w:pPr>
            <w:r>
              <w:rPr>
                <w:rFonts w:ascii="仿宋_GB2312" w:hAnsi="仿宋_GB2312" w:cs="仿宋_GB2312" w:eastAsia="仿宋_GB2312"/>
                <w:sz w:val="21"/>
                <w:color w:val="000000"/>
              </w:rPr>
              <w:t>进度控制信息包括：信息工程项目进度规划，如总进度计划、分目标进度计划、各实施阶段的进度计划、单项工程及单位工程实施进度计划、资金及物资供应计划、劳动力及设备的配置计划等；工程实际进度的统计信息，如项目日志、实际完成工程量、实际完成工作量等；进度控制比较信息，如工期定额、实现指标等。</w:t>
            </w:r>
          </w:p>
          <w:p>
            <w:pPr>
              <w:pStyle w:val="null3"/>
              <w:ind w:firstLine="420"/>
              <w:jc w:val="both"/>
            </w:pPr>
            <w:r>
              <w:rPr>
                <w:rFonts w:ascii="仿宋_GB2312" w:hAnsi="仿宋_GB2312" w:cs="仿宋_GB2312" w:eastAsia="仿宋_GB2312"/>
                <w:sz w:val="21"/>
                <w:color w:val="000000"/>
              </w:rPr>
              <w:t>3）质量控制信息</w:t>
            </w:r>
          </w:p>
          <w:p>
            <w:pPr>
              <w:pStyle w:val="null3"/>
              <w:ind w:firstLine="420"/>
              <w:jc w:val="both"/>
            </w:pPr>
            <w:r>
              <w:rPr>
                <w:rFonts w:ascii="仿宋_GB2312" w:hAnsi="仿宋_GB2312" w:cs="仿宋_GB2312" w:eastAsia="仿宋_GB2312"/>
                <w:sz w:val="21"/>
                <w:color w:val="000000"/>
              </w:rPr>
              <w:t>质量控制信息包括：信息工程项目实体质量信息，如质量检查、测试数据、隐蔽验收记录、质量事故处理报告，以及材料、设备质量证明及技术验证单等；信息工程项目的功能及使用价值信息，如有关标准和规范，质量目标指标，设计文件、资料、说明等；信息工程项目的工作质量信息，如质量体系文件，质量管理工作制度，质量管理的考核制度，质量管理工作的组织制度等。</w:t>
            </w:r>
          </w:p>
          <w:p>
            <w:pPr>
              <w:pStyle w:val="null3"/>
              <w:ind w:firstLine="420"/>
              <w:jc w:val="both"/>
            </w:pPr>
            <w:r>
              <w:rPr>
                <w:rFonts w:ascii="仿宋_GB2312" w:hAnsi="仿宋_GB2312" w:cs="仿宋_GB2312" w:eastAsia="仿宋_GB2312"/>
                <w:sz w:val="21"/>
                <w:color w:val="000000"/>
              </w:rPr>
              <w:t>4）合同管理信息</w:t>
            </w:r>
          </w:p>
          <w:p>
            <w:pPr>
              <w:pStyle w:val="null3"/>
              <w:ind w:firstLine="420"/>
              <w:jc w:val="both"/>
            </w:pPr>
            <w:r>
              <w:rPr>
                <w:rFonts w:ascii="仿宋_GB2312" w:hAnsi="仿宋_GB2312" w:cs="仿宋_GB2312" w:eastAsia="仿宋_GB2312"/>
                <w:sz w:val="21"/>
                <w:color w:val="000000"/>
              </w:rPr>
              <w:t>合同管理信息包括：合同管理法规，如招标投标法、经济合同法等；信息系统工程合同文本，如设计合同、实施合同、采购合同等；合同实施信息，如合同执行情况、合同变更、签证记录、工程索赔等。</w:t>
            </w:r>
          </w:p>
          <w:p>
            <w:pPr>
              <w:pStyle w:val="null3"/>
              <w:ind w:firstLine="420"/>
              <w:jc w:val="both"/>
            </w:pPr>
            <w:r>
              <w:rPr>
                <w:rFonts w:ascii="仿宋_GB2312" w:hAnsi="仿宋_GB2312" w:cs="仿宋_GB2312" w:eastAsia="仿宋_GB2312"/>
                <w:sz w:val="21"/>
                <w:color w:val="000000"/>
              </w:rPr>
              <w:t>5）组织协调信息</w:t>
            </w:r>
          </w:p>
          <w:p>
            <w:pPr>
              <w:pStyle w:val="null3"/>
              <w:ind w:firstLine="420"/>
              <w:jc w:val="both"/>
            </w:pPr>
            <w:r>
              <w:rPr>
                <w:rFonts w:ascii="仿宋_GB2312" w:hAnsi="仿宋_GB2312" w:cs="仿宋_GB2312" w:eastAsia="仿宋_GB2312"/>
                <w:sz w:val="21"/>
                <w:color w:val="000000"/>
              </w:rPr>
              <w:t>组织协调信息包括：工程质量调整及信息工程项目调整的指令；工程建设合同变更及其协议书；政府及主管部门对工程项目建设过程中的指令、审批文件；有关信息系统工程有关的法规及技术标准。</w:t>
            </w:r>
          </w:p>
          <w:p>
            <w:pPr>
              <w:pStyle w:val="null3"/>
              <w:ind w:firstLine="420"/>
              <w:jc w:val="both"/>
            </w:pPr>
            <w:r>
              <w:rPr>
                <w:rFonts w:ascii="仿宋_GB2312" w:hAnsi="仿宋_GB2312" w:cs="仿宋_GB2312" w:eastAsia="仿宋_GB2312"/>
                <w:sz w:val="21"/>
                <w:color w:val="000000"/>
              </w:rPr>
              <w:t>6）其他用途的信息</w:t>
            </w:r>
          </w:p>
          <w:p>
            <w:pPr>
              <w:pStyle w:val="null3"/>
              <w:ind w:firstLine="420"/>
              <w:jc w:val="both"/>
            </w:pPr>
            <w:r>
              <w:rPr>
                <w:rFonts w:ascii="仿宋_GB2312" w:hAnsi="仿宋_GB2312" w:cs="仿宋_GB2312" w:eastAsia="仿宋_GB2312"/>
                <w:sz w:val="21"/>
                <w:color w:val="000000"/>
              </w:rPr>
              <w:t>其他用途的信息是除上述五类用途的信息外，对信息系统工程项目建设决策提供辅助支持的某些其他信息，如工程中往来函件等。</w:t>
            </w:r>
          </w:p>
          <w:p>
            <w:pPr>
              <w:pStyle w:val="null3"/>
              <w:ind w:firstLine="420"/>
              <w:jc w:val="both"/>
            </w:pPr>
            <w:r>
              <w:rPr>
                <w:rFonts w:ascii="仿宋_GB2312" w:hAnsi="仿宋_GB2312" w:cs="仿宋_GB2312" w:eastAsia="仿宋_GB2312"/>
                <w:sz w:val="21"/>
                <w:color w:val="000000"/>
              </w:rPr>
              <w:t>7.2目信息管理的方法</w:t>
            </w:r>
          </w:p>
          <w:p>
            <w:pPr>
              <w:pStyle w:val="null3"/>
              <w:ind w:firstLine="420"/>
              <w:jc w:val="both"/>
            </w:pPr>
            <w:r>
              <w:rPr>
                <w:rFonts w:ascii="仿宋_GB2312" w:hAnsi="仿宋_GB2312" w:cs="仿宋_GB2312" w:eastAsia="仿宋_GB2312"/>
                <w:sz w:val="21"/>
                <w:color w:val="000000"/>
              </w:rPr>
              <w:t>7.2.1文档管理过程应该注意事项</w:t>
            </w:r>
          </w:p>
          <w:p>
            <w:pPr>
              <w:pStyle w:val="null3"/>
              <w:ind w:firstLine="420"/>
              <w:jc w:val="both"/>
            </w:pPr>
            <w:r>
              <w:rPr>
                <w:rFonts w:ascii="仿宋_GB2312" w:hAnsi="仿宋_GB2312" w:cs="仿宋_GB2312" w:eastAsia="仿宋_GB2312"/>
                <w:sz w:val="21"/>
                <w:color w:val="000000"/>
              </w:rPr>
              <w:t>文档的格式应该统一。</w:t>
            </w:r>
          </w:p>
          <w:p>
            <w:pPr>
              <w:pStyle w:val="null3"/>
              <w:ind w:firstLine="420"/>
              <w:jc w:val="both"/>
            </w:pPr>
            <w:r>
              <w:rPr>
                <w:rFonts w:ascii="仿宋_GB2312" w:hAnsi="仿宋_GB2312" w:cs="仿宋_GB2312" w:eastAsia="仿宋_GB2312"/>
                <w:sz w:val="21"/>
                <w:color w:val="000000"/>
              </w:rPr>
              <w:t>文档版本的管理。新的版本出来后，旧的版本应该进行相应的改变，同时彻底从管理库中清除，以保持文档版本的统一。</w:t>
            </w:r>
          </w:p>
          <w:p>
            <w:pPr>
              <w:pStyle w:val="null3"/>
              <w:ind w:firstLine="420"/>
              <w:jc w:val="both"/>
            </w:pPr>
            <w:r>
              <w:rPr>
                <w:rFonts w:ascii="仿宋_GB2312" w:hAnsi="仿宋_GB2312" w:cs="仿宋_GB2312" w:eastAsia="仿宋_GB2312"/>
                <w:sz w:val="21"/>
                <w:color w:val="000000"/>
              </w:rPr>
              <w:t>关于文档的存档标准。文档的存档标准是指某一类型的文档究竟应该保存多长时间，这个问题应该由监理单位根据国家档案管理相关的要求，统一进行规定。</w:t>
            </w:r>
          </w:p>
          <w:p>
            <w:pPr>
              <w:pStyle w:val="null3"/>
              <w:ind w:firstLine="420"/>
              <w:jc w:val="both"/>
            </w:pPr>
            <w:r>
              <w:rPr>
                <w:rFonts w:ascii="仿宋_GB2312" w:hAnsi="仿宋_GB2312" w:cs="仿宋_GB2312" w:eastAsia="仿宋_GB2312"/>
                <w:sz w:val="21"/>
                <w:color w:val="000000"/>
              </w:rPr>
              <w:t>7.2.2监理工程师在归集监理资料时注意事项</w:t>
            </w:r>
          </w:p>
          <w:p>
            <w:pPr>
              <w:pStyle w:val="null3"/>
              <w:ind w:firstLine="420"/>
              <w:jc w:val="both"/>
            </w:pPr>
            <w:r>
              <w:rPr>
                <w:rFonts w:ascii="仿宋_GB2312" w:hAnsi="仿宋_GB2312" w:cs="仿宋_GB2312" w:eastAsia="仿宋_GB2312"/>
                <w:sz w:val="21"/>
                <w:color w:val="000000"/>
              </w:rPr>
              <w:t>监理资料应及时整理、真实完整、分类有序；</w:t>
            </w:r>
          </w:p>
          <w:p>
            <w:pPr>
              <w:pStyle w:val="null3"/>
              <w:ind w:firstLine="420"/>
              <w:jc w:val="both"/>
            </w:pPr>
            <w:r>
              <w:rPr>
                <w:rFonts w:ascii="仿宋_GB2312" w:hAnsi="仿宋_GB2312" w:cs="仿宋_GB2312" w:eastAsia="仿宋_GB2312"/>
                <w:sz w:val="21"/>
                <w:color w:val="000000"/>
              </w:rPr>
              <w:t>监理资料的管理应由总监理工程师负责，并指定专人具体实施；</w:t>
            </w:r>
          </w:p>
          <w:p>
            <w:pPr>
              <w:pStyle w:val="null3"/>
              <w:ind w:firstLine="420"/>
              <w:jc w:val="both"/>
            </w:pPr>
            <w:r>
              <w:rPr>
                <w:rFonts w:ascii="仿宋_GB2312" w:hAnsi="仿宋_GB2312" w:cs="仿宋_GB2312" w:eastAsia="仿宋_GB2312"/>
                <w:sz w:val="21"/>
                <w:color w:val="000000"/>
              </w:rPr>
              <w:t>监理资料应在各阶段监理工作结束后及时整理归档；</w:t>
            </w:r>
          </w:p>
          <w:p>
            <w:pPr>
              <w:pStyle w:val="null3"/>
              <w:ind w:firstLine="420"/>
              <w:jc w:val="both"/>
            </w:pPr>
            <w:r>
              <w:rPr>
                <w:rFonts w:ascii="仿宋_GB2312" w:hAnsi="仿宋_GB2312" w:cs="仿宋_GB2312" w:eastAsia="仿宋_GB2312"/>
                <w:sz w:val="21"/>
                <w:color w:val="000000"/>
              </w:rPr>
              <w:t>监理档案的编制及保存应按有关规定执行。</w:t>
            </w:r>
          </w:p>
          <w:p>
            <w:pPr>
              <w:pStyle w:val="null3"/>
              <w:ind w:firstLine="420"/>
              <w:jc w:val="both"/>
            </w:pPr>
            <w:r>
              <w:rPr>
                <w:rFonts w:ascii="仿宋_GB2312" w:hAnsi="仿宋_GB2312" w:cs="仿宋_GB2312" w:eastAsia="仿宋_GB2312"/>
                <w:sz w:val="21"/>
                <w:color w:val="000000"/>
              </w:rPr>
              <w:t>7.3监理机构文档管理的职责</w:t>
            </w:r>
          </w:p>
          <w:p>
            <w:pPr>
              <w:pStyle w:val="null3"/>
              <w:ind w:firstLine="420"/>
              <w:jc w:val="both"/>
            </w:pPr>
            <w:r>
              <w:rPr>
                <w:rFonts w:ascii="仿宋_GB2312" w:hAnsi="仿宋_GB2312" w:cs="仿宋_GB2312" w:eastAsia="仿宋_GB2312"/>
                <w:sz w:val="21"/>
                <w:color w:val="000000"/>
              </w:rPr>
              <w:t>监理单位对文档工作的支持。监理单位应为编写文档的人员提供指导和实际鼓励，并使各种资源有效地用于文档开发。</w:t>
            </w:r>
          </w:p>
          <w:p>
            <w:pPr>
              <w:pStyle w:val="null3"/>
              <w:ind w:firstLine="420"/>
              <w:jc w:val="both"/>
            </w:pPr>
            <w:r>
              <w:rPr>
                <w:rFonts w:ascii="仿宋_GB2312" w:hAnsi="仿宋_GB2312" w:cs="仿宋_GB2312" w:eastAsia="仿宋_GB2312"/>
                <w:sz w:val="21"/>
                <w:color w:val="000000"/>
              </w:rPr>
              <w:t>监理单位的主要职责：</w:t>
            </w:r>
          </w:p>
          <w:p>
            <w:pPr>
              <w:pStyle w:val="null3"/>
              <w:ind w:firstLine="420"/>
              <w:jc w:val="both"/>
            </w:pPr>
            <w:r>
              <w:rPr>
                <w:rFonts w:ascii="仿宋_GB2312" w:hAnsi="仿宋_GB2312" w:cs="仿宋_GB2312" w:eastAsia="仿宋_GB2312"/>
                <w:sz w:val="21"/>
                <w:color w:val="000000"/>
              </w:rPr>
              <w:t>建立编制、登记、出版、分发系统文档和软件文档的各种策略；</w:t>
            </w:r>
          </w:p>
          <w:p>
            <w:pPr>
              <w:pStyle w:val="null3"/>
              <w:ind w:firstLine="420"/>
              <w:jc w:val="both"/>
            </w:pPr>
            <w:r>
              <w:rPr>
                <w:rFonts w:ascii="仿宋_GB2312" w:hAnsi="仿宋_GB2312" w:cs="仿宋_GB2312" w:eastAsia="仿宋_GB2312"/>
                <w:sz w:val="21"/>
                <w:color w:val="000000"/>
              </w:rPr>
              <w:t>把文档计划作为整个开发工作的一个组成部分；</w:t>
            </w:r>
          </w:p>
          <w:p>
            <w:pPr>
              <w:pStyle w:val="null3"/>
              <w:ind w:firstLine="420"/>
              <w:jc w:val="both"/>
            </w:pPr>
            <w:r>
              <w:rPr>
                <w:rFonts w:ascii="仿宋_GB2312" w:hAnsi="仿宋_GB2312" w:cs="仿宋_GB2312" w:eastAsia="仿宋_GB2312"/>
                <w:sz w:val="21"/>
                <w:color w:val="000000"/>
              </w:rPr>
              <w:t>建立确定文档质量、测试质量和评审质量的各种方法的规程；</w:t>
            </w:r>
          </w:p>
          <w:p>
            <w:pPr>
              <w:pStyle w:val="null3"/>
              <w:ind w:firstLine="420"/>
              <w:jc w:val="both"/>
            </w:pPr>
            <w:r>
              <w:rPr>
                <w:rFonts w:ascii="仿宋_GB2312" w:hAnsi="仿宋_GB2312" w:cs="仿宋_GB2312" w:eastAsia="仿宋_GB2312"/>
                <w:sz w:val="21"/>
                <w:color w:val="000000"/>
              </w:rPr>
              <w:t>为文档的各个方面确定和准备各种标准和指南；</w:t>
            </w:r>
          </w:p>
          <w:p>
            <w:pPr>
              <w:pStyle w:val="null3"/>
              <w:ind w:firstLine="420"/>
              <w:jc w:val="both"/>
            </w:pPr>
            <w:r>
              <w:rPr>
                <w:rFonts w:ascii="仿宋_GB2312" w:hAnsi="仿宋_GB2312" w:cs="仿宋_GB2312" w:eastAsia="仿宋_GB2312"/>
                <w:sz w:val="21"/>
                <w:color w:val="000000"/>
              </w:rPr>
              <w:t>积极支持文档工作以形成在开发工作中自觉编制文档的团队风气；</w:t>
            </w:r>
          </w:p>
          <w:p>
            <w:pPr>
              <w:pStyle w:val="null3"/>
              <w:ind w:firstLine="420"/>
              <w:jc w:val="both"/>
            </w:pPr>
            <w:r>
              <w:rPr>
                <w:rFonts w:ascii="仿宋_GB2312" w:hAnsi="仿宋_GB2312" w:cs="仿宋_GB2312" w:eastAsia="仿宋_GB2312"/>
                <w:sz w:val="21"/>
                <w:color w:val="000000"/>
              </w:rPr>
              <w:t>不断检查己建立起来的过程，以保证符合策略和各种规程并遵守有关标准和指南。</w:t>
            </w:r>
          </w:p>
          <w:p>
            <w:pPr>
              <w:pStyle w:val="null3"/>
              <w:ind w:firstLine="420"/>
              <w:jc w:val="both"/>
            </w:pPr>
            <w:r>
              <w:rPr>
                <w:rFonts w:ascii="仿宋_GB2312" w:hAnsi="仿宋_GB2312" w:cs="仿宋_GB2312" w:eastAsia="仿宋_GB2312"/>
                <w:sz w:val="21"/>
                <w:color w:val="000000"/>
              </w:rPr>
              <w:t>8.项目协调</w:t>
            </w:r>
          </w:p>
          <w:p>
            <w:pPr>
              <w:pStyle w:val="null3"/>
              <w:ind w:firstLine="420"/>
              <w:jc w:val="both"/>
            </w:pPr>
            <w:r>
              <w:rPr>
                <w:rFonts w:ascii="仿宋_GB2312" w:hAnsi="仿宋_GB2312" w:cs="仿宋_GB2312" w:eastAsia="仿宋_GB2312"/>
                <w:sz w:val="21"/>
                <w:color w:val="000000"/>
              </w:rPr>
              <w:t>8.1协调的原则</w:t>
            </w:r>
          </w:p>
          <w:p>
            <w:pPr>
              <w:pStyle w:val="null3"/>
              <w:ind w:firstLine="420"/>
              <w:jc w:val="both"/>
            </w:pPr>
            <w:r>
              <w:rPr>
                <w:rFonts w:ascii="仿宋_GB2312" w:hAnsi="仿宋_GB2312" w:cs="仿宋_GB2312" w:eastAsia="仿宋_GB2312"/>
                <w:sz w:val="21"/>
                <w:color w:val="000000"/>
              </w:rPr>
              <w:t>在协调项目实施过程中项目进度、工程质量与合同支付等合同目标之间的矛盾时，遵循以下原则：</w:t>
            </w:r>
          </w:p>
          <w:p>
            <w:pPr>
              <w:pStyle w:val="null3"/>
              <w:ind w:firstLine="420"/>
              <w:jc w:val="both"/>
            </w:pPr>
            <w:r>
              <w:rPr>
                <w:rFonts w:ascii="仿宋_GB2312" w:hAnsi="仿宋_GB2312" w:cs="仿宋_GB2312" w:eastAsia="仿宋_GB2312"/>
                <w:sz w:val="21"/>
                <w:color w:val="000000"/>
              </w:rPr>
              <w:t>8.1.1在确保项目质量的条件下，促进项目实施进展；</w:t>
            </w:r>
          </w:p>
          <w:p>
            <w:pPr>
              <w:pStyle w:val="null3"/>
              <w:ind w:firstLine="420"/>
              <w:jc w:val="both"/>
            </w:pPr>
            <w:r>
              <w:rPr>
                <w:rFonts w:ascii="仿宋_GB2312" w:hAnsi="仿宋_GB2312" w:cs="仿宋_GB2312" w:eastAsia="仿宋_GB2312"/>
                <w:sz w:val="21"/>
                <w:color w:val="000000"/>
              </w:rPr>
              <w:t>8.1.2在寻求建设单位更大投资效益的基础上，正确处理合同目标之间的矛盾；</w:t>
            </w:r>
          </w:p>
          <w:p>
            <w:pPr>
              <w:pStyle w:val="null3"/>
              <w:ind w:firstLine="420"/>
              <w:jc w:val="both"/>
            </w:pPr>
            <w:r>
              <w:rPr>
                <w:rFonts w:ascii="仿宋_GB2312" w:hAnsi="仿宋_GB2312" w:cs="仿宋_GB2312" w:eastAsia="仿宋_GB2312"/>
                <w:sz w:val="21"/>
                <w:color w:val="000000"/>
              </w:rPr>
              <w:t>8.1.3在维护建设单位合同权益的同时，实事求是的维护承建单位地合法权益。</w:t>
            </w:r>
          </w:p>
          <w:p>
            <w:pPr>
              <w:pStyle w:val="null3"/>
              <w:ind w:firstLine="420"/>
              <w:jc w:val="both"/>
            </w:pPr>
            <w:r>
              <w:rPr>
                <w:rFonts w:ascii="仿宋_GB2312" w:hAnsi="仿宋_GB2312" w:cs="仿宋_GB2312" w:eastAsia="仿宋_GB2312"/>
                <w:sz w:val="21"/>
                <w:color w:val="000000"/>
              </w:rPr>
              <w:t>8.2监理协调内容</w:t>
            </w:r>
          </w:p>
          <w:p>
            <w:pPr>
              <w:pStyle w:val="null3"/>
              <w:ind w:firstLine="420"/>
              <w:jc w:val="both"/>
            </w:pPr>
            <w:r>
              <w:rPr>
                <w:rFonts w:ascii="仿宋_GB2312" w:hAnsi="仿宋_GB2312" w:cs="仿宋_GB2312" w:eastAsia="仿宋_GB2312"/>
                <w:sz w:val="21"/>
                <w:color w:val="000000"/>
              </w:rPr>
              <w:t>8.2.1工程项目内部需求关系协调</w:t>
            </w:r>
          </w:p>
          <w:p>
            <w:pPr>
              <w:pStyle w:val="null3"/>
              <w:ind w:firstLine="420"/>
              <w:jc w:val="both"/>
            </w:pPr>
            <w:r>
              <w:rPr>
                <w:rFonts w:ascii="仿宋_GB2312" w:hAnsi="仿宋_GB2312" w:cs="仿宋_GB2312" w:eastAsia="仿宋_GB2312"/>
                <w:sz w:val="21"/>
                <w:color w:val="000000"/>
              </w:rPr>
              <w:t>1）监理过程中抓计划环节，平衡人员、材料、设备、能源动力的需求，要注意抓住期限的及时性，规格上的明确性，数量上的准确性，质量上的规定性，体现计划的严肃性，发挥指导作用。</w:t>
            </w:r>
          </w:p>
          <w:p>
            <w:pPr>
              <w:pStyle w:val="null3"/>
              <w:ind w:firstLine="420"/>
              <w:jc w:val="both"/>
            </w:pPr>
            <w:r>
              <w:rPr>
                <w:rFonts w:ascii="仿宋_GB2312" w:hAnsi="仿宋_GB2312" w:cs="仿宋_GB2312" w:eastAsia="仿宋_GB2312"/>
                <w:sz w:val="21"/>
                <w:color w:val="000000"/>
              </w:rPr>
              <w:t>2）指导承建单位对施工力量的平衡，要抓住瓶颈环节，发现瓶颈环节，要通过资源力量的调整，集中力量打攻坚战。抓关键、抓主要矛盾、运用网络计划技术的关键线路法是有效的工具。</w:t>
            </w:r>
          </w:p>
          <w:p>
            <w:pPr>
              <w:pStyle w:val="null3"/>
              <w:ind w:firstLine="420"/>
              <w:jc w:val="both"/>
            </w:pPr>
            <w:r>
              <w:rPr>
                <w:rFonts w:ascii="仿宋_GB2312" w:hAnsi="仿宋_GB2312" w:cs="仿宋_GB2312" w:eastAsia="仿宋_GB2312"/>
                <w:sz w:val="21"/>
                <w:color w:val="000000"/>
              </w:rPr>
              <w:t>3）对专业工种配合，要抓住调度环节，项目施工中需要机械化施工、土建、机电安装等专业工种交替配合进行，交替进行抓好衔接问题，配合进行抓好步调问题，就是抓好调度协调工作。</w:t>
            </w:r>
          </w:p>
          <w:p>
            <w:pPr>
              <w:pStyle w:val="null3"/>
              <w:ind w:firstLine="420"/>
              <w:jc w:val="both"/>
            </w:pPr>
            <w:r>
              <w:rPr>
                <w:rFonts w:ascii="仿宋_GB2312" w:hAnsi="仿宋_GB2312" w:cs="仿宋_GB2312" w:eastAsia="仿宋_GB2312"/>
                <w:sz w:val="21"/>
                <w:color w:val="000000"/>
              </w:rPr>
              <w:t>4）施工准备阶段的协调：</w:t>
            </w:r>
          </w:p>
          <w:p>
            <w:pPr>
              <w:pStyle w:val="null3"/>
              <w:ind w:firstLine="420"/>
              <w:jc w:val="both"/>
            </w:pPr>
            <w:r>
              <w:rPr>
                <w:rFonts w:ascii="仿宋_GB2312" w:hAnsi="仿宋_GB2312" w:cs="仿宋_GB2312" w:eastAsia="仿宋_GB2312"/>
                <w:sz w:val="21"/>
                <w:color w:val="000000"/>
              </w:rPr>
              <w:t>作好施工准备是顺利组织施工的先决条件。满足开工的条件是：有完善有效的施工设计方案；有政府管理部门签发的施工许可证；财务和材料渠道已落实，能按工程进度需要拨款、供料；施工组织设计已经批准；加工订货和设备已基本落实；施工准备工作已基本完成，现场已</w:t>
            </w:r>
            <w:r>
              <w:rPr>
                <w:rFonts w:ascii="仿宋_GB2312" w:hAnsi="仿宋_GB2312" w:cs="仿宋_GB2312" w:eastAsia="仿宋_GB2312"/>
                <w:sz w:val="21"/>
                <w:color w:val="000000"/>
              </w:rPr>
              <w:t>“五通一平”。监理工程师应协助落实上述开工条件，保持建设单位与承建单位的信息沟通，协商办事，督促双方严格按合同执行。建设单位和承建双方对施工准备工作应有明确的约定和分工，以便协调。</w:t>
            </w:r>
          </w:p>
          <w:p>
            <w:pPr>
              <w:pStyle w:val="null3"/>
              <w:ind w:firstLine="420"/>
              <w:jc w:val="both"/>
            </w:pPr>
            <w:r>
              <w:rPr>
                <w:rFonts w:ascii="仿宋_GB2312" w:hAnsi="仿宋_GB2312" w:cs="仿宋_GB2312" w:eastAsia="仿宋_GB2312"/>
                <w:sz w:val="21"/>
                <w:color w:val="000000"/>
              </w:rPr>
              <w:t>5）施工阶段的协调：</w:t>
            </w:r>
          </w:p>
          <w:p>
            <w:pPr>
              <w:pStyle w:val="null3"/>
              <w:ind w:firstLine="420"/>
              <w:jc w:val="both"/>
            </w:pPr>
            <w:r>
              <w:rPr>
                <w:rFonts w:ascii="仿宋_GB2312" w:hAnsi="仿宋_GB2312" w:cs="仿宋_GB2312" w:eastAsia="仿宋_GB2312"/>
                <w:sz w:val="21"/>
                <w:color w:val="000000"/>
              </w:rPr>
              <w:t>包括解决进度、质量、中间计量与支付、合同纠纷等一系列问题。</w:t>
            </w:r>
          </w:p>
          <w:p>
            <w:pPr>
              <w:pStyle w:val="null3"/>
              <w:ind w:firstLine="420"/>
              <w:jc w:val="both"/>
            </w:pPr>
            <w:r>
              <w:rPr>
                <w:rFonts w:ascii="仿宋_GB2312" w:hAnsi="仿宋_GB2312" w:cs="仿宋_GB2312" w:eastAsia="仿宋_GB2312"/>
                <w:sz w:val="21"/>
                <w:color w:val="000000"/>
              </w:rPr>
              <w:t>进度问题有两项有效协调工作应作好，一是建设单位和承建单位双方商定工程计划方案，并双方负责人在上面签字，作为工程承包合同附件；二是设立进度考核规范，按工程计划节点考核，分期预付。</w:t>
            </w:r>
          </w:p>
          <w:p>
            <w:pPr>
              <w:pStyle w:val="null3"/>
              <w:ind w:firstLine="420"/>
              <w:jc w:val="both"/>
            </w:pPr>
            <w:r>
              <w:rPr>
                <w:rFonts w:ascii="仿宋_GB2312" w:hAnsi="仿宋_GB2312" w:cs="仿宋_GB2312" w:eastAsia="仿宋_GB2312"/>
                <w:sz w:val="21"/>
                <w:color w:val="000000"/>
              </w:rPr>
              <w:t>质量问题的协调：实行监理工程师质量签字认可，对没有出厂证明，不符合使用要求的原材料、设备和构件，不准使用，对不合格的工程部位不予验收签证，也不予计算工程量，不予支付进度款。</w:t>
            </w:r>
          </w:p>
          <w:p>
            <w:pPr>
              <w:pStyle w:val="null3"/>
              <w:ind w:firstLine="420"/>
              <w:jc w:val="both"/>
            </w:pPr>
            <w:r>
              <w:rPr>
                <w:rFonts w:ascii="仿宋_GB2312" w:hAnsi="仿宋_GB2312" w:cs="仿宋_GB2312" w:eastAsia="仿宋_GB2312"/>
                <w:sz w:val="21"/>
                <w:color w:val="000000"/>
              </w:rPr>
              <w:t>合同争议的协调：合同纠纷，应协调解决，不能协调解决时再向合同管理机关申请调解或仲裁。</w:t>
            </w:r>
          </w:p>
          <w:p>
            <w:pPr>
              <w:pStyle w:val="null3"/>
              <w:ind w:firstLine="420"/>
              <w:jc w:val="both"/>
            </w:pPr>
            <w:r>
              <w:rPr>
                <w:rFonts w:ascii="仿宋_GB2312" w:hAnsi="仿宋_GB2312" w:cs="仿宋_GB2312" w:eastAsia="仿宋_GB2312"/>
                <w:sz w:val="21"/>
                <w:color w:val="000000"/>
              </w:rPr>
              <w:t>6）交工验收阶段的协调：</w:t>
            </w:r>
          </w:p>
          <w:p>
            <w:pPr>
              <w:pStyle w:val="null3"/>
              <w:ind w:firstLine="420"/>
              <w:jc w:val="both"/>
            </w:pPr>
            <w:r>
              <w:rPr>
                <w:rFonts w:ascii="仿宋_GB2312" w:hAnsi="仿宋_GB2312" w:cs="仿宋_GB2312" w:eastAsia="仿宋_GB2312"/>
                <w:sz w:val="21"/>
                <w:color w:val="000000"/>
              </w:rPr>
              <w:t>对交工验收中建设单位提出的问题，承建单位应根据技术文件、合同、中间验收签证及验收规范作出解释，对不符合要求应督促其采取补救措施，使其达到设计、合同、规范要求，而后办理竣工结算。</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自合同签订之日起8个月内完成项目建设及验收。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自合同签订之日起，到项目整体验收通过之日止。</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陕西省公安厅交通管理总队（交通管理局）指定地点。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陕西省公安厅交通管理总队（交通管理局）指定地点。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进度款，合同约定的所有设备安装完成后，达到付款条件起10个工作日内，支付合同总金额的40.0%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进度款，项目建设完成且终验合格后，达到付款条件起10个工作日内，支付合同总金额的20.0%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进度款，终验合格后，达到付款条件起10个工作日内，支付合同总金额的60.0%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1、根据招标文件要求、投标文件及合同约定执行。 2、采购人将依据签署的合同，并参照中标供应商提供的投标文件对其提供的全部设备进行到货验收。对产品的验收包括检查产品的型号、规格、数量、外型、外观、包装、资料及文件（如装箱单、保修单、随箱介质等）是否与合同完全一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1、根据招标文件要求、投标文件及合同约定执行。 2、采购及人相关人员组成验收小组完成验收。双方根据最终验收情况，编写验收报告。中标人应完成项目验收资料的准备。 本项目的实施过程中将产生大量的技术及管理文档，中标人应协助采购人，负责建立、维护、交接项目实施过程中产生的各类文档，确保项目文档的内容体现本项目的实施过程，并确保项目文档的完整性和准确性。 投标人按照要求提交全部项目文档。</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（1）质保期不少于3年（质保自终验验收合格之日起计算）。 （2）运维期不少于1年（运维自终验验收合格之日起计算）。 （3）所有产品质量必须符合国家或行业最新规范。所有产品及辅材必须是未使用过的新产品、渠道正当。 （4）质保期出现的质量问题由中标人负责解决并承担所有费用。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中标供应商不能按合同规定的时间提交货物（或服务），或提供的货物（或服务）有瑕疵时，不能满足采购人正常使用的，视为违约，中标供应商应向采购人支付合同总价5%的违约金并承担由此给采购人造成的全部损失，包括但不限于违约金、损失赔偿金等。 （2）中标供应商所交服务不符合国家法律法规、招标文件、投标文件和合同规定的，采购人有权拒收，并由中标供应商承担一切费用。 （3）采购人、中标供应商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（4）合同执行中发生争议的，采购人、中标供应商双方应协商解决，协商达不成一致时，可向采购人所在地人民法院提请诉讼。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中标供应商不能按合同规定的时间提交服务，或提供的服务有瑕疵时，不能满足采购人正常使用的，视为违约，中标供应商应向采购人支付合同总价5%的违约金并承担由此给采购人造成的全部损失，包括但不限于违约金、损失赔偿金等。 （2）中标供应商所交服务不符合国家法律法规、招标文件、投标文件和合同规定的，采购人有权拒收，并由中标供应商承担一切费用。 （3）采购人、中标供应商双方任何一方由于不可抗力原因不能履行合同时，应及时向对方通报不能履行或不能完全履行的理由，以减轻可能给对方造成的损失，在取得有关机构证明后，允许延期履行、部分履行或不履行合同，并根据情况可部分或全部免予承担违约责任。 （4）合同执行中发生争议的，采购人、中标供应商双方应协商解决，协商达不成一致时，可向采购人所在地人民法院提请诉讼。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（1）本项目落实《国务院办公厅关于在政府采购中实施本国产品标准及相关政策的通知 》-（国办发〔2025〕34号）政策，适用于政府采购货物项目和服务项目中涉及的货物：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（2）落实异常低价审查 （2.1）评审中出现下列情形之一的，评标委员会应当启动异常低价投标（响应）审查程序： （2.1.1）投标（响应）报价低于全部通过符合性审查供应商投标（响应）报价平均值65%的，即投标（响应）报价&lt;全部通过符合性审查供应商投标（响应）报价平均值×65%； （2.1.2）投标（响应）报价低于通过符合性审查的次低报价供应商投标（响应）报价65%的，即投标（响应）报价&lt;通过符合性审查的次低报价供应商投标（响应）报价×65%； （2.1.3）投标（响应）报价低于采购项目最高限价65%的，即投标（响应）报价&lt;采购项目最高限价×65%； （2.1.4）评标委员会基于专业判断，认为供应商报价过低，有可能影响产品质量或者不能诚信履约的其他情形。 （2.2）相关法律法规对供应商报价有规定的，从其规定。 （2.3）评标委员会启动异常低价投标（响应）审查后，属于（2.1）中第（2.1.1）项至第（2.1.4）项情形的，应当要求相关供应商在评审现场合理的时间内对投标（响应）价格作出解释，提供项目具体成本测算等与报价合理性相关的书面说明及必要的证明材料，包括但不限于原材料成本、人工成本、制造费用等。其中，属于第（2.1.3）项情形，供应商已随投标（响应）文件一并提交相关书面说明及必要的证明材料的，在评审现场可不再重复提交。 评标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标委员会应当将其作为无效投标（响应）处理。 采购人、采购代理机构应当为评标委员会在评审现场及时获取同类项目中标（成交）价格、类似产品市场价格水平、行业人工费用标准、国家有关部门指导行业协会发布的行业平均成本等相关信息资料提供便利。评标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异常低价投标（响应）审查的启动原因、审查意见和审查结果应当在评审报告中记录，并随供应商提供的相关书面说明及证明材料，以及评标委员会有关互联网浏览、查询历史一并归档。 （3）供应商需要在线提交所有通过电子化交易平台实施的政府采购项目的投标文件，同时，线下提交纸质投标文件贰份；若电子投标文件与纸质投标文件不一致的，以电子投标文件为准；投标文件装订成册密封（在书脊处标明项目名称、供应商名称（机打或手写均可），逐页标注连续页码），在封口处加盖供应商公章；纸质投标文件递交截止时间与线上开评标时间一致；纸质投标文件可邮寄递交，应于递交投标文件截止时间前邮寄到代理机构（地点：西安市高新区丈八一路1号汇鑫中心D座2206陕西德勤招标有限公司）。 （4）如提交保函，建议至少提前一个工作日将保函正本送至采购代理机构，如提供电子保函，应将电子保函发送至代理机构指定邮箱deqinjsl@126.com。</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同时需投标人提供资信证明出具银行为基本户开户银行的承诺函或开户许可证等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提供书面声明，包括声明具有履行合同所必需的设备和专业技术能力；未为本项目提供整体设计、规范编制或者项目管理、监理、检测等服务。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特殊资质要求</w:t>
            </w:r>
          </w:p>
        </w:tc>
        <w:tc>
          <w:tcPr>
            <w:tcW w:type="dxa" w:w="3322"/>
          </w:tcPr>
          <w:p>
            <w:pPr>
              <w:pStyle w:val="null3"/>
            </w:pPr>
            <w:r>
              <w:rPr>
                <w:rFonts w:ascii="仿宋_GB2312" w:hAnsi="仿宋_GB2312" w:cs="仿宋_GB2312" w:eastAsia="仿宋_GB2312"/>
              </w:rPr>
              <w:t>1.具有有效的具备电子与智能化工程专业承包二级（或以上）资质，具有有效的安全生产许可证。 2.拟派的项目经理具备机电工程专业二级（或以上）注册建造师执业资格和有效的安全生产考核合格证书（B证），且无在建工程（提供承诺，格式自拟），需提供近半年内任意一个月的社保缴纳凭证。</w:t>
            </w:r>
          </w:p>
        </w:tc>
        <w:tc>
          <w:tcPr>
            <w:tcW w:type="dxa" w:w="1661"/>
          </w:tcPr>
          <w:p>
            <w:pPr>
              <w:pStyle w:val="null3"/>
            </w:pPr>
            <w:r>
              <w:rPr>
                <w:rFonts w:ascii="仿宋_GB2312" w:hAnsi="仿宋_GB2312" w:cs="仿宋_GB2312" w:eastAsia="仿宋_GB2312"/>
              </w:rPr>
              <w:t>投标人应提交的相关资格证明材料</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提供营业执照/事业单位法人证书/专业服务机构执业许可证/民办非企业单位登记证书/自然人身份证等。</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2025年度经审计的财务报告，报告须具有注册会计师行业统一监管平台赋予的验证码(成立时间至提交响应文件截止时间不足一年的可提供成立后任意时段的资产负债表)，或其开标前三个月内基本开户银行出具的资信证明（同时需投标人提供资信证明出具银行为基本户开户银行的承诺函或开户许可证等证明材料），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提供递交投标文件截止之日前一年内任意一个月的社会保障资金缴存单据或社保机构开具的社会保险参保缴费情况证明。依法不需要缴纳社会保障资金的投标供应商应提供相关文件证明。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提供书面声明，包括声明具有履行合同所必需的设备和专业技术能力；未为本项目提供整体设计、规范编制或者项目管理、检测等服务。</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资格证明文件中)；法定代表人授权他人参加投标的，须提供法定代表人授权委托书，同时需提供被授权人开标前3个月内任意1个月的社保缴纳证明（依法不需要缴纳社保的被授权人应提供相关证明）。招标文件中凡是需要法定代表人盖章之处，非法人单位的负责人均参照执行。法人的分支机构参与投标时，除提供《法定代表人授权委托书》外，还须同时提供法人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投标文件封面 法定代表人授权书</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(1)投标报价符合唯一性要求： (2)开标一览表中投标报价填写符合要求；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保证金汇款声明函、保函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无其他招标文件或法规明确规定投标无效的事项</w:t>
            </w:r>
          </w:p>
        </w:tc>
        <w:tc>
          <w:tcPr>
            <w:tcW w:type="dxa" w:w="1661"/>
          </w:tcPr>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投标文件语言及有效期</w:t>
            </w:r>
          </w:p>
        </w:tc>
        <w:tc>
          <w:tcPr>
            <w:tcW w:type="dxa" w:w="3322"/>
          </w:tcPr>
          <w:p>
            <w:pPr>
              <w:pStyle w:val="null3"/>
            </w:pPr>
            <w:r>
              <w:rPr>
                <w:rFonts w:ascii="仿宋_GB2312" w:hAnsi="仿宋_GB2312" w:cs="仿宋_GB2312" w:eastAsia="仿宋_GB2312"/>
              </w:rPr>
              <w:t>投标文件语言及有效期符合招标文件要求。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投标文件封面、投标函、法定代表人授权委托书三处的项目名称、项目编号</w:t>
            </w:r>
          </w:p>
        </w:tc>
        <w:tc>
          <w:tcPr>
            <w:tcW w:type="dxa" w:w="3322"/>
          </w:tcPr>
          <w:p>
            <w:pPr>
              <w:pStyle w:val="null3"/>
            </w:pPr>
            <w:r>
              <w:rPr>
                <w:rFonts w:ascii="仿宋_GB2312" w:hAnsi="仿宋_GB2312" w:cs="仿宋_GB2312" w:eastAsia="仿宋_GB2312"/>
              </w:rPr>
              <w:t>三处均无遗漏，且与所投项目名称、项目编号一致。</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均按招标文件要求签章(评分标准中要求提供的证明材料除外)。</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(1)投标报价符合唯一性要求： (2)开标一览表中投标报价填写符合要求；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保证金汇款声明函、保函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无其他招标文件或法规明确规定投标无效的事项</w:t>
            </w:r>
          </w:p>
        </w:tc>
        <w:tc>
          <w:tcPr>
            <w:tcW w:type="dxa" w:w="3322"/>
          </w:tcPr>
          <w:p>
            <w:pPr>
              <w:pStyle w:val="null3"/>
            </w:pPr>
            <w:r>
              <w:rPr>
                <w:rFonts w:ascii="仿宋_GB2312" w:hAnsi="仿宋_GB2312" w:cs="仿宋_GB2312" w:eastAsia="仿宋_GB2312"/>
              </w:rPr>
              <w:t>无其他招标文件或法规明确规定投标无效的事项。</w:t>
            </w:r>
          </w:p>
        </w:tc>
        <w:tc>
          <w:tcPr>
            <w:tcW w:type="dxa" w:w="1661"/>
          </w:tcPr>
          <w:p>
            <w:pPr>
              <w:pStyle w:val="null3"/>
            </w:pPr>
            <w:r>
              <w:rPr>
                <w:rFonts w:ascii="仿宋_GB2312" w:hAnsi="仿宋_GB2312" w:cs="仿宋_GB2312" w:eastAsia="仿宋_GB2312"/>
              </w:rPr>
              <w:t>分项报价表 服务内容及服务要求应答表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技术参数指标</w:t>
            </w:r>
          </w:p>
        </w:tc>
        <w:tc>
          <w:tcPr>
            <w:tcW w:type="dxa" w:w="2492"/>
          </w:tcPr>
          <w:p>
            <w:pPr>
              <w:pStyle w:val="null3"/>
            </w:pPr>
            <w:r>
              <w:rPr>
                <w:rFonts w:ascii="仿宋_GB2312" w:hAnsi="仿宋_GB2312" w:cs="仿宋_GB2312" w:eastAsia="仿宋_GB2312"/>
              </w:rPr>
              <w:t>技术参数指标满足招标文件要求（建设内容清单的要求），符合国家相关标准和行业标准，技术指标完全满足招标文件要求得25分。 非“▲”号技术参数：每出现一项负偏离扣 1分；带“▲”号技术参数：▲号项每出现一项负偏离扣 2 分。若分值扣完，则视为未实质性响应招标文件要求，投标无效。 “▲”号参数需提供佐证材料，包括产品检测报告或产品彩页或产品说明书或官网和功能截图等相关佐证材料。</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技术偏离表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根据投标人提供的项目技术方案，包含①外场建设方案；②中心建设方案；③数据接入、汇聚和共享方案、数据应用方案；④售后服务保障方案等内容。方案各部分内容全面详细、阐述条理清晰详尽、符合本项目采购需求得12分；以上分项每缺少一项内容扣3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投标人提供的项目实施方案，包含：①项目实施规划②组织协调方案③供货方案及进度计划④质量保障措施（内容包括但不限于安全保障措施、采购环节控制、运输等）。方案各部分内容全面详细、阐述条理清晰详尽、符合本项目采购需求得8分；以上分项每缺少一项内容扣2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1.项目负责人具备信息系统项目管理师和高级及以上职称得3分，具备1项得1分，本项满分3分。 2.项目团队其他成员（项目负责人除外）具备高级及以上职称2名，系统架构设计师2名、网络规划设计师1名、网络工程师1名、大数据高级工程师1名，每1位得2分，满分14分。 注：提供相关有效期内的证书复印件，及开标前3个月内任意1个月在本单位缴纳的社保证明（或有效期内的劳动合同）。</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提供2023年7月1日至今（以签订合同时间为准）已完成的类似业务的业绩证明材料（附完整合同复印件及发票加盖公章，未提供不得分），每提供 1 份有效业绩得2分，最高得8分。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投标人提供的对项目需求与建设目标理解分析的项目理解方案，包含：①项目建设背景、政策要求与核心建设目标理解；②项目建设范围、核心建设内容与技术标准要求理解；③业务需求与建设方核心监理服务诉求理解；④衔接、利旧改造的核心需求理解。方案各部分内容全面详细、阐述条理清晰详尽、符合本项目采购需求得8分；以上分项每缺少一项内容扣2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针对本项目制定的项目重点难点识别与管控分析方案，包含①项目核心监理管控关键点识别分析；②多点位施工、现有系统利旧割接、公安业务不中断运行等核心重难点分析；③重难点对应的监理管控思路与预控措施分析；④项目实施过程中的潜在风险预判与应对逻辑分析。方案各部分内容全面详细、阐述条理清晰详尽、符合本项目采购需求的得8分，以上分项每缺少一项内容扣2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质量控制方法和措施</w:t>
            </w:r>
          </w:p>
        </w:tc>
        <w:tc>
          <w:tcPr>
            <w:tcW w:type="dxa" w:w="2492"/>
          </w:tcPr>
          <w:p>
            <w:pPr>
              <w:pStyle w:val="null3"/>
            </w:pPr>
            <w:r>
              <w:rPr>
                <w:rFonts w:ascii="仿宋_GB2312" w:hAnsi="仿宋_GB2312" w:cs="仿宋_GB2312" w:eastAsia="仿宋_GB2312"/>
              </w:rPr>
              <w:t>针对本项目制定的全过程质量控制监理方案，包含①质量控制基本原则与管控目标；②质量控制总体思路与监理组织管控框架；③全过程质量控制科学方法与管控流程；④各阶段质量控制专项措施与落地执行标准。方案各部分内容全面详细、阐述条理清晰详尽、符合本项目采购需求得8分；以上分项每缺少一项内容扣2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进度控制方法和措施</w:t>
            </w:r>
          </w:p>
        </w:tc>
        <w:tc>
          <w:tcPr>
            <w:tcW w:type="dxa" w:w="2492"/>
          </w:tcPr>
          <w:p>
            <w:pPr>
              <w:pStyle w:val="null3"/>
            </w:pPr>
            <w:r>
              <w:rPr>
                <w:rFonts w:ascii="仿宋_GB2312" w:hAnsi="仿宋_GB2312" w:cs="仿宋_GB2312" w:eastAsia="仿宋_GB2312"/>
              </w:rPr>
              <w:t>针对本项目制定的进度控制监理原则与方法方案，包含①进度控制基本原则与总管控目标；②适配本项目建设周期的进度控制总思路；③全过程进度跟踪与动态管控科学方法；④进度偏差预警与纠偏管控机制。方案各部分内容全面详细、阐述条理清晰详尽、符合本项目采购需求得8分；以上分项每缺少一项内容扣2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项目安全、合同、变更、信息管理方案</w:t>
            </w:r>
          </w:p>
        </w:tc>
        <w:tc>
          <w:tcPr>
            <w:tcW w:type="dxa" w:w="2492"/>
          </w:tcPr>
          <w:p>
            <w:pPr>
              <w:pStyle w:val="null3"/>
            </w:pPr>
            <w:r>
              <w:rPr>
                <w:rFonts w:ascii="仿宋_GB2312" w:hAnsi="仿宋_GB2312" w:cs="仿宋_GB2312" w:eastAsia="仿宋_GB2312"/>
              </w:rPr>
              <w:t>针对本项目制定的项目全周期管理监理方案，包含①项目施工安全、网络安全与数据安全管理方案；②项目合同履约与索赔管控管理方案；③项目工程变更与现场签证管控管理方案；④项目全过程资料与涉密信息管理方案。方案各部分内容全面详细、阐述条理清晰详尽、符合本项目采购需求的得8分，以上分项每缺少一项内容扣2分，每有一处内容存在缺陷扣0.5分（缺陷是指：存在不适用项目实际情况的情形、凭空编造、前后不一致、前后逻辑错误、涉及的规范及标准错误、套用其他方案、只有简单描述无实质性内容）。</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1.项目负责人具备信息系统监理师证书，得5分。 2.提供2023年1月1日至今作为项目负责人（或类似岗位）完成的同类业绩，每提供一项计2分，满分10分。未提供不计分。（提供类似业绩证明资料，需体现项目负责人姓名。如上述文件不能体现项目负责人姓名的，可提供业绩甲方出具的相关证明扫描件。未提供不得分）。 注：提供相关有效期内的证书复印件，及开标前3个月内任意1个月在本单位缴纳的社保证明（或有效期内的劳动合同）。</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结合本项目服务内容，提供与本项目履约配套、可落地、采购人无需附加额外采购成本的增值服务，须出具增值服务承诺函（格式自拟），列明服务内容、实施频次、保障时限、交付成果等。每提供1项完整、可执行、与本项目相关的增值服务，得2分，满分10分。表述模糊、无法落地、纯粹赠送实物、与本项目无关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项目团队成员</w:t>
            </w:r>
          </w:p>
        </w:tc>
        <w:tc>
          <w:tcPr>
            <w:tcW w:type="dxa" w:w="2492"/>
          </w:tcPr>
          <w:p>
            <w:pPr>
              <w:pStyle w:val="null3"/>
            </w:pPr>
            <w:r>
              <w:rPr>
                <w:rFonts w:ascii="仿宋_GB2312" w:hAnsi="仿宋_GB2312" w:cs="仿宋_GB2312" w:eastAsia="仿宋_GB2312"/>
              </w:rPr>
              <w:t>项目团队成员（除项目负责人外），每1位具备信息系统监理师证书，得5分，满分10分。 注：提供相关有效期内的证书复印件，及开标前3个月内任意1个月在本单位缴纳的社保证明（或有效期内的劳动合同）。</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提供2023年7月1日至今（以签订合同时间为准）已完成的类似业务的业绩证明材料（附完整合同复印件及发票加盖公章，未提供不得分），每提供 1 份有效业绩得3分，最高得15分。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标基准价，其价格分为满分。其他投标人的价格分统一按照下列公式计算:投标报价得分=价格分x(评标基准价/投标报价)价格分计算四舍五入，保留两位小数。 注：本项目落实支持中小企业发展政策，用扣除后的价格参与价格分计算。</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详见附件：技术偏离表</w:t>
      </w:r>
    </w:p>
    <w:p>
      <w:pPr>
        <w:pStyle w:val="null3"/>
        <w:ind w:firstLine="960"/>
      </w:pPr>
      <w:r>
        <w:rPr>
          <w:rFonts w:ascii="仿宋_GB2312" w:hAnsi="仿宋_GB2312" w:cs="仿宋_GB2312" w:eastAsia="仿宋_GB2312"/>
        </w:rPr>
        <w:t>详见附件：保证金汇款声明函、保函</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详见附件：非联合体不分包投标声明</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详见附件：保证金汇款声明函、保函</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