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16B9EE">
      <w:pPr>
        <w:pStyle w:val="4"/>
        <w:spacing w:line="360" w:lineRule="auto"/>
        <w:jc w:val="center"/>
        <w:outlineLvl w:val="1"/>
        <w:rPr>
          <w:rFonts w:ascii="宋体" w:hAnsi="宋体" w:eastAsia="宋体" w:cs="宋体"/>
          <w:b/>
          <w:bCs/>
          <w:color w:val="333333"/>
          <w:sz w:val="39"/>
          <w:szCs w:val="39"/>
          <w:highlight w:val="none"/>
          <w:lang w:eastAsia="zh-CN"/>
        </w:rPr>
      </w:pPr>
      <w:bookmarkStart w:id="0" w:name="_Toc165986917"/>
      <w:r>
        <w:rPr>
          <w:rFonts w:ascii="宋体" w:hAnsi="宋体" w:eastAsia="宋体" w:cs="宋体"/>
          <w:b/>
          <w:bCs/>
          <w:color w:val="333333"/>
          <w:sz w:val="39"/>
          <w:szCs w:val="39"/>
          <w:highlight w:val="none"/>
          <w:lang w:eastAsia="zh-CN"/>
        </w:rPr>
        <w:t>拟签订采购合同文本</w:t>
      </w:r>
      <w:bookmarkEnd w:id="0"/>
    </w:p>
    <w:p w14:paraId="150C3DF4">
      <w:pPr>
        <w:jc w:val="center"/>
        <w:rPr>
          <w:b/>
          <w:bCs/>
          <w:sz w:val="30"/>
          <w:szCs w:val="30"/>
          <w:highlight w:val="none"/>
        </w:rPr>
      </w:pPr>
      <w:bookmarkStart w:id="1" w:name="_Toc26970"/>
    </w:p>
    <w:bookmarkEnd w:id="1"/>
    <w:p w14:paraId="15C3C363">
      <w:pPr>
        <w:spacing w:before="156" w:beforeLines="50" w:line="360" w:lineRule="auto"/>
        <w:jc w:val="center"/>
        <w:rPr>
          <w:rFonts w:hint="eastAsia" w:ascii="宋体" w:hAnsi="宋体"/>
          <w:b/>
          <w:color w:val="000000"/>
          <w:sz w:val="24"/>
          <w:szCs w:val="24"/>
          <w:highlight w:val="none"/>
        </w:rPr>
      </w:pPr>
      <w:r>
        <w:rPr>
          <w:rFonts w:hint="eastAsia" w:ascii="宋体" w:hAnsi="宋体"/>
          <w:b/>
          <w:color w:val="000000"/>
          <w:sz w:val="24"/>
          <w:szCs w:val="24"/>
          <w:highlight w:val="none"/>
        </w:rPr>
        <w:t>（此合同仅作为参考，最终签订的合同以采购人确定的合同内容为准）</w:t>
      </w:r>
    </w:p>
    <w:p w14:paraId="10331085">
      <w:pPr>
        <w:spacing w:line="500" w:lineRule="exact"/>
        <w:ind w:firstLine="482" w:firstLineChars="200"/>
        <w:rPr>
          <w:rFonts w:hint="eastAsia" w:ascii="宋体" w:hAnsi="宋体"/>
          <w:b/>
          <w:bCs/>
          <w:sz w:val="24"/>
          <w:highlight w:val="none"/>
        </w:rPr>
      </w:pPr>
      <w:r>
        <w:rPr>
          <w:rFonts w:hint="eastAsia" w:ascii="宋体" w:hAnsi="宋体"/>
          <w:b/>
          <w:color w:val="000000"/>
          <w:sz w:val="24"/>
          <w:highlight w:val="none"/>
        </w:rPr>
        <w:t xml:space="preserve"> </w:t>
      </w:r>
    </w:p>
    <w:p w14:paraId="6BF94EF0">
      <w:pPr>
        <w:keepNext w:val="0"/>
        <w:keepLines w:val="0"/>
        <w:pageBreakBefore w:val="0"/>
        <w:kinsoku/>
        <w:wordWrap/>
        <w:overflowPunct/>
        <w:topLinePunct w:val="0"/>
        <w:autoSpaceDE/>
        <w:autoSpaceDN/>
        <w:bidi w:val="0"/>
        <w:adjustRightInd/>
        <w:snapToGrid/>
        <w:spacing w:line="360" w:lineRule="auto"/>
        <w:ind w:firstLine="1044" w:firstLineChars="200"/>
        <w:jc w:val="center"/>
        <w:textAlignment w:val="auto"/>
        <w:rPr>
          <w:rFonts w:hint="eastAsia" w:ascii="仿宋" w:hAnsi="仿宋" w:eastAsia="仿宋"/>
          <w:b/>
          <w:bCs w:val="0"/>
          <w:sz w:val="52"/>
          <w:szCs w:val="52"/>
          <w:highlight w:val="none"/>
          <w:u w:val="single"/>
          <w:lang w:val="en-US" w:eastAsia="zh-CN"/>
        </w:rPr>
      </w:pPr>
    </w:p>
    <w:p w14:paraId="416C6359">
      <w:pPr>
        <w:keepNext w:val="0"/>
        <w:keepLines w:val="0"/>
        <w:pageBreakBefore w:val="0"/>
        <w:kinsoku/>
        <w:wordWrap/>
        <w:overflowPunct/>
        <w:topLinePunct w:val="0"/>
        <w:autoSpaceDE/>
        <w:autoSpaceDN/>
        <w:bidi w:val="0"/>
        <w:adjustRightInd/>
        <w:snapToGrid/>
        <w:spacing w:line="360" w:lineRule="auto"/>
        <w:ind w:firstLine="1044" w:firstLineChars="200"/>
        <w:jc w:val="center"/>
        <w:textAlignment w:val="auto"/>
        <w:rPr>
          <w:rFonts w:hint="eastAsia" w:ascii="仿宋" w:hAnsi="仿宋" w:eastAsia="仿宋"/>
          <w:b/>
          <w:bCs w:val="0"/>
          <w:sz w:val="52"/>
          <w:szCs w:val="52"/>
          <w:highlight w:val="none"/>
          <w:u w:val="single"/>
          <w:lang w:val="en-US" w:eastAsia="zh-CN"/>
        </w:rPr>
      </w:pPr>
    </w:p>
    <w:p w14:paraId="130738CC">
      <w:pPr>
        <w:keepNext w:val="0"/>
        <w:keepLines w:val="0"/>
        <w:pageBreakBefore w:val="0"/>
        <w:kinsoku/>
        <w:wordWrap/>
        <w:overflowPunct/>
        <w:topLinePunct w:val="0"/>
        <w:autoSpaceDE/>
        <w:autoSpaceDN/>
        <w:bidi w:val="0"/>
        <w:adjustRightInd/>
        <w:snapToGrid/>
        <w:spacing w:line="360" w:lineRule="auto"/>
        <w:ind w:firstLine="1044" w:firstLineChars="200"/>
        <w:jc w:val="center"/>
        <w:textAlignment w:val="auto"/>
        <w:rPr>
          <w:rFonts w:hint="eastAsia" w:ascii="仿宋" w:hAnsi="仿宋" w:eastAsia="仿宋"/>
          <w:b/>
          <w:bCs w:val="0"/>
          <w:sz w:val="52"/>
          <w:szCs w:val="52"/>
          <w:highlight w:val="none"/>
          <w:u w:val="single"/>
          <w:lang w:val="en-US" w:eastAsia="zh-CN"/>
        </w:rPr>
      </w:pPr>
    </w:p>
    <w:p w14:paraId="2F41D001">
      <w:pPr>
        <w:keepNext w:val="0"/>
        <w:keepLines w:val="0"/>
        <w:pageBreakBefore w:val="0"/>
        <w:kinsoku/>
        <w:wordWrap/>
        <w:overflowPunct/>
        <w:topLinePunct w:val="0"/>
        <w:autoSpaceDE/>
        <w:autoSpaceDN/>
        <w:bidi w:val="0"/>
        <w:adjustRightInd/>
        <w:snapToGrid/>
        <w:spacing w:line="360" w:lineRule="auto"/>
        <w:ind w:firstLine="1044" w:firstLineChars="200"/>
        <w:jc w:val="center"/>
        <w:textAlignment w:val="auto"/>
        <w:rPr>
          <w:rFonts w:hint="eastAsia" w:ascii="仿宋" w:hAnsi="仿宋" w:eastAsia="仿宋"/>
          <w:b/>
          <w:bCs w:val="0"/>
          <w:sz w:val="52"/>
          <w:szCs w:val="52"/>
          <w:highlight w:val="none"/>
          <w:u w:val="single"/>
          <w:lang w:val="en-US" w:eastAsia="zh-CN"/>
        </w:rPr>
      </w:pPr>
    </w:p>
    <w:p w14:paraId="43B057E6">
      <w:pPr>
        <w:keepNext w:val="0"/>
        <w:keepLines w:val="0"/>
        <w:pageBreakBefore w:val="0"/>
        <w:kinsoku/>
        <w:wordWrap/>
        <w:overflowPunct/>
        <w:topLinePunct w:val="0"/>
        <w:autoSpaceDE/>
        <w:autoSpaceDN/>
        <w:bidi w:val="0"/>
        <w:adjustRightInd/>
        <w:snapToGrid/>
        <w:spacing w:line="360" w:lineRule="auto"/>
        <w:ind w:firstLine="1044" w:firstLineChars="200"/>
        <w:jc w:val="center"/>
        <w:textAlignment w:val="auto"/>
        <w:rPr>
          <w:rFonts w:hint="eastAsia" w:ascii="仿宋" w:hAnsi="仿宋" w:eastAsia="仿宋"/>
          <w:b/>
          <w:bCs w:val="0"/>
          <w:sz w:val="52"/>
          <w:szCs w:val="52"/>
          <w:highlight w:val="none"/>
          <w:u w:val="single"/>
          <w:lang w:val="en-US" w:eastAsia="zh-CN"/>
        </w:rPr>
      </w:pPr>
    </w:p>
    <w:p w14:paraId="4ACB3C28">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仿宋" w:hAnsi="仿宋" w:eastAsia="仿宋"/>
          <w:b/>
          <w:sz w:val="44"/>
          <w:szCs w:val="44"/>
          <w:highlight w:val="none"/>
          <w:u w:val="single"/>
          <w:lang w:val="en-US"/>
        </w:rPr>
      </w:pPr>
      <w:r>
        <w:rPr>
          <w:rFonts w:hint="eastAsia" w:ascii="仿宋" w:hAnsi="仿宋" w:eastAsia="仿宋"/>
          <w:b/>
          <w:bCs w:val="0"/>
          <w:sz w:val="52"/>
          <w:szCs w:val="52"/>
          <w:highlight w:val="none"/>
          <w:u w:val="single"/>
          <w:lang w:val="en-US" w:eastAsia="zh-CN"/>
        </w:rPr>
        <w:t xml:space="preserve">  {展会名称}  </w:t>
      </w:r>
    </w:p>
    <w:p w14:paraId="7F013454">
      <w:pPr>
        <w:keepNext w:val="0"/>
        <w:keepLines w:val="0"/>
        <w:pageBreakBefore w:val="0"/>
        <w:kinsoku/>
        <w:wordWrap/>
        <w:overflowPunct/>
        <w:topLinePunct w:val="0"/>
        <w:autoSpaceDE/>
        <w:autoSpaceDN/>
        <w:bidi w:val="0"/>
        <w:adjustRightInd/>
        <w:snapToGrid/>
        <w:spacing w:line="360" w:lineRule="auto"/>
        <w:ind w:firstLine="883" w:firstLineChars="200"/>
        <w:jc w:val="center"/>
        <w:textAlignment w:val="auto"/>
        <w:rPr>
          <w:rFonts w:ascii="仿宋" w:hAnsi="仿宋" w:eastAsia="仿宋"/>
          <w:b/>
          <w:sz w:val="44"/>
          <w:szCs w:val="44"/>
          <w:highlight w:val="none"/>
        </w:rPr>
      </w:pPr>
    </w:p>
    <w:p w14:paraId="470C96D6">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highlight w:val="none"/>
        </w:rPr>
      </w:pPr>
    </w:p>
    <w:p w14:paraId="19E85A77">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highlight w:val="none"/>
        </w:rPr>
      </w:pPr>
    </w:p>
    <w:p w14:paraId="6DE7450A">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华文楷体" w:hAnsi="华文楷体" w:eastAsia="华文楷体"/>
          <w:sz w:val="28"/>
          <w:highlight w:val="none"/>
          <w:u w:val="single"/>
        </w:rPr>
      </w:pPr>
    </w:p>
    <w:p w14:paraId="762D0CCE">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华文楷体" w:hAnsi="华文楷体" w:eastAsia="华文楷体"/>
          <w:sz w:val="28"/>
          <w:highlight w:val="none"/>
          <w:u w:val="single"/>
        </w:rPr>
      </w:pPr>
    </w:p>
    <w:p w14:paraId="7E36A2D2">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华文楷体" w:hAnsi="华文楷体" w:eastAsia="华文楷体"/>
          <w:sz w:val="28"/>
          <w:highlight w:val="none"/>
          <w:u w:val="single"/>
        </w:rPr>
      </w:pPr>
    </w:p>
    <w:p w14:paraId="5CB083FC">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华文楷体" w:hAnsi="华文楷体" w:eastAsia="华文楷体"/>
          <w:sz w:val="28"/>
          <w:highlight w:val="none"/>
          <w:u w:val="single"/>
        </w:rPr>
      </w:pPr>
    </w:p>
    <w:p w14:paraId="7AE7507F">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华文楷体" w:hAnsi="华文楷体" w:eastAsia="华文楷体"/>
          <w:sz w:val="28"/>
          <w:highlight w:val="none"/>
          <w:u w:val="single"/>
        </w:rPr>
      </w:pPr>
    </w:p>
    <w:p w14:paraId="42E2BDBA">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华文楷体" w:hAnsi="华文楷体" w:eastAsia="华文楷体"/>
          <w:sz w:val="28"/>
          <w:highlight w:val="none"/>
          <w:u w:val="single"/>
        </w:rPr>
      </w:pPr>
    </w:p>
    <w:p w14:paraId="0E5E6423">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华文楷体" w:hAnsi="华文楷体" w:eastAsia="华文楷体"/>
          <w:sz w:val="28"/>
          <w:highlight w:val="none"/>
          <w:u w:val="single"/>
        </w:rPr>
      </w:pPr>
    </w:p>
    <w:p w14:paraId="3157D61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w:t>
      </w:r>
    </w:p>
    <w:p w14:paraId="04B3C09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乙方：</w:t>
      </w:r>
      <w:r>
        <w:rPr>
          <w:rFonts w:hint="eastAsia" w:ascii="宋体" w:hAnsi="宋体" w:eastAsia="宋体" w:cs="宋体"/>
          <w:sz w:val="24"/>
          <w:szCs w:val="24"/>
          <w:highlight w:val="none"/>
          <w:lang w:val="en-US" w:eastAsia="zh-CN"/>
        </w:rPr>
        <w:t xml:space="preserve"> </w:t>
      </w:r>
    </w:p>
    <w:p w14:paraId="34F1483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一、合同内容（标的、数量、质量等）</w:t>
      </w:r>
    </w:p>
    <w:p w14:paraId="6A227C5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本政府采购合同所附下列文件是构成本政府采购合同不可分割的部分:</w:t>
      </w:r>
    </w:p>
    <w:p w14:paraId="509A2B5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1.磋商文件;</w:t>
      </w:r>
    </w:p>
    <w:p w14:paraId="1771FAD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2.磋商公告;</w:t>
      </w:r>
    </w:p>
    <w:p w14:paraId="73FB6AB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3.乙方提交的磋商响应文件;</w:t>
      </w:r>
    </w:p>
    <w:p w14:paraId="5B5F18E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4.政府采购合同条款;</w:t>
      </w:r>
    </w:p>
    <w:p w14:paraId="2E3497B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5.成交通知书;</w:t>
      </w:r>
    </w:p>
    <w:p w14:paraId="1FD0D50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6.政府采购合同的其它附件。</w:t>
      </w:r>
    </w:p>
    <w:p w14:paraId="1BE5B37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二、合同价款</w:t>
      </w:r>
    </w:p>
    <w:p w14:paraId="7B70A72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合同总价∶人民币</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元整）</w:t>
      </w:r>
    </w:p>
    <w:p w14:paraId="5B83098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合同总价即中标价，为一次性报价，不受市场价变化影响</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合同价格为含税价，乙方（成交人）提供服务所发生的服务费、税费（包括增值税）等都已包含于合同价款中。</w:t>
      </w:r>
    </w:p>
    <w:p w14:paraId="72678BF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三、合同结算</w:t>
      </w:r>
    </w:p>
    <w:p w14:paraId="57B24F5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.达到付款条件起 15 日内，支付合同总金额的 60%；所有服务验收合格后30日内，乙方向甲方出具全额发票 ，达到付款条件起 30 日内，支付合同总金额的 40%。</w:t>
      </w:r>
    </w:p>
    <w:p w14:paraId="79F02BF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支付方式：银行转账</w:t>
      </w:r>
    </w:p>
    <w:p w14:paraId="00B1773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四、服务期、地点</w:t>
      </w:r>
    </w:p>
    <w:p w14:paraId="54909DB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1</w:t>
      </w:r>
      <w:r>
        <w:rPr>
          <w:rFonts w:hint="eastAsia" w:ascii="宋体" w:hAnsi="宋体" w:eastAsia="宋体" w:cs="宋体"/>
          <w:b w:val="0"/>
          <w:bCs w:val="0"/>
          <w:sz w:val="24"/>
          <w:szCs w:val="24"/>
          <w:highlight w:val="none"/>
          <w:lang w:val="en-US" w:eastAsia="zh-CN"/>
        </w:rPr>
        <w:t>.</w:t>
      </w:r>
      <w:r>
        <w:rPr>
          <w:rFonts w:hint="eastAsia" w:ascii="宋体" w:hAnsi="宋体" w:eastAsia="宋体" w:cs="宋体"/>
          <w:b w:val="0"/>
          <w:bCs w:val="0"/>
          <w:sz w:val="24"/>
          <w:szCs w:val="24"/>
          <w:highlight w:val="none"/>
        </w:rPr>
        <w:t>服务期：合同签订之日起至展会结束后30日（需按</w:t>
      </w:r>
      <w:r>
        <w:rPr>
          <w:rFonts w:hint="eastAsia" w:ascii="宋体" w:hAnsi="宋体" w:eastAsia="宋体" w:cs="宋体"/>
          <w:b w:val="0"/>
          <w:bCs w:val="0"/>
          <w:sz w:val="24"/>
          <w:szCs w:val="24"/>
          <w:highlight w:val="none"/>
          <w:lang w:val="en-US" w:eastAsia="zh-CN"/>
        </w:rPr>
        <w:t>甲方</w:t>
      </w:r>
      <w:r>
        <w:rPr>
          <w:rFonts w:hint="eastAsia" w:ascii="宋体" w:hAnsi="宋体" w:eastAsia="宋体" w:cs="宋体"/>
          <w:b w:val="0"/>
          <w:bCs w:val="0"/>
          <w:sz w:val="24"/>
          <w:szCs w:val="24"/>
          <w:highlight w:val="none"/>
        </w:rPr>
        <w:t>要求提供活动相关资料）。</w:t>
      </w:r>
    </w:p>
    <w:p w14:paraId="4CA11B8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地点：</w:t>
      </w:r>
      <w:r>
        <w:rPr>
          <w:rFonts w:hint="eastAsia" w:ascii="宋体" w:hAnsi="宋体" w:eastAsia="宋体" w:cs="宋体"/>
          <w:sz w:val="24"/>
          <w:szCs w:val="24"/>
          <w:highlight w:val="none"/>
          <w:lang w:val="en-US" w:eastAsia="zh-CN"/>
        </w:rPr>
        <w:t>甲方指定地点。</w:t>
      </w:r>
    </w:p>
    <w:p w14:paraId="54E5952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五、服务内容和要求</w:t>
      </w:r>
    </w:p>
    <w:p w14:paraId="0C4C150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服务内容：</w:t>
      </w:r>
    </w:p>
    <w:p w14:paraId="1CDEF93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要求：</w:t>
      </w:r>
    </w:p>
    <w:p w14:paraId="264BE60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六、双方权利与义务</w:t>
      </w:r>
    </w:p>
    <w:p w14:paraId="638A333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甲方权利与义务。</w:t>
      </w:r>
    </w:p>
    <w:p w14:paraId="5C94B9C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（1）甲方提供乙方开始实施项目中所需的必要资料等;</w:t>
      </w:r>
    </w:p>
    <w:p w14:paraId="75681B5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（2）甲方按照合同要求核销、结算支付合同价款;</w:t>
      </w:r>
    </w:p>
    <w:p w14:paraId="1043D0A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乙方权利与义务。</w:t>
      </w:r>
    </w:p>
    <w:p w14:paraId="3F3C6CE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（1）乙方应按照服务要求完成本次合同约定的全部服务要求;</w:t>
      </w:r>
    </w:p>
    <w:p w14:paraId="763AFB3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（2）乙方按照合同要求提供核销、结算发票及甲方要求的相关资料等。</w:t>
      </w:r>
    </w:p>
    <w:p w14:paraId="72722CC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七、违约责任</w:t>
      </w:r>
    </w:p>
    <w:p w14:paraId="2C1E25A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除本合同另有约定外，任意一方违反本合同约定，违约方应按《中华人民共和国民法典》规定承担相应违约责任。</w:t>
      </w:r>
    </w:p>
    <w:p w14:paraId="79C3186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乙方履约延误</w:t>
      </w:r>
    </w:p>
    <w:p w14:paraId="41F62C1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（1）如乙方事先未征得甲方同意并得到甲方的谅解而单方面延迟执行合同，应按合同总价款20%向甲方支付违约金，同时，甲方有权单方终止合同。</w:t>
      </w:r>
    </w:p>
    <w:p w14:paraId="40E3A90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（2）在履行合同过程</w:t>
      </w:r>
      <w:bookmarkStart w:id="2" w:name="_GoBack"/>
      <w:bookmarkEnd w:id="2"/>
      <w:r>
        <w:rPr>
          <w:rFonts w:hint="eastAsia" w:ascii="宋体" w:hAnsi="宋体" w:eastAsia="宋体" w:cs="宋体"/>
          <w:sz w:val="24"/>
          <w:szCs w:val="24"/>
          <w:highlight w:val="none"/>
        </w:rPr>
        <w:t>中，如果乙方遇到可能妨碍按时提供服务的情况，应及时以书面形式将拖延的事实，可能拖延的期限和理由通知甲方。甲方在收到乙方通知后，应尽快对情况进行评价，并确定是否通过修改合同，酌情延长或修改服务时间或对乙方加收误期赔偿金。</w:t>
      </w:r>
    </w:p>
    <w:p w14:paraId="1A1B100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违约终止合同∶未按合同要求提供服务或不能满足服务标准的，甲方有权终止合同，对乙方违约行为进行追究，同时报政府采购监督机构按政府采购法的有关规定进行相应的处罚</w:t>
      </w:r>
      <w:r>
        <w:rPr>
          <w:rFonts w:hint="eastAsia" w:ascii="宋体" w:hAnsi="宋体" w:eastAsia="宋体" w:cs="宋体"/>
          <w:sz w:val="24"/>
          <w:szCs w:val="24"/>
          <w:highlight w:val="none"/>
          <w:lang w:eastAsia="zh-CN"/>
        </w:rPr>
        <w:t>。</w:t>
      </w:r>
    </w:p>
    <w:p w14:paraId="4C4A763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本合同服务期限内，如乙方不履行本合同义务或履行义务不符合约定的，甲方有权要求乙.方承担继续履行、赔偿损失或支付违约金等违约责任。赔偿损失范围包括但不限于甲方另行委托第三方完成本合同约定服务内容产生的费用以及律师费、诉讼费等。</w:t>
      </w:r>
    </w:p>
    <w:p w14:paraId="1AED329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5</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乙方不得对业务进行分包或转包。否则甲方有权终止合同，乙方承担由此造成的一切经济损失</w:t>
      </w:r>
      <w:r>
        <w:rPr>
          <w:rFonts w:hint="eastAsia" w:ascii="宋体" w:hAnsi="宋体" w:eastAsia="宋体" w:cs="宋体"/>
          <w:sz w:val="24"/>
          <w:szCs w:val="24"/>
          <w:highlight w:val="none"/>
          <w:lang w:eastAsia="zh-CN"/>
        </w:rPr>
        <w:t>。</w:t>
      </w:r>
    </w:p>
    <w:p w14:paraId="2113F0C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乙方不得在服务期间对项目管理人员进行更换，如遇特殊情况须经甲方同意。甲方发现项目管理人员工作不力时，有权提出更换人员，更换人员必须及时到场。</w:t>
      </w:r>
    </w:p>
    <w:p w14:paraId="5C4218D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八、解决争议的方法</w:t>
      </w:r>
    </w:p>
    <w:p w14:paraId="31C40A2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凡因本合同引起的或与本合同有关的争议，双方应友好协商解决。协商不成时，双方均同意向甲方所在地有管辖权的人民法院提起诉讼。甲乙双方在合同中载明的住所地（如约定指定送达地址，以指定送达地址为准）可作为送达函件、对账单及诉讼等其他法律文书的送达地址，因载明的地址有误或未及时告知变更后的地址，导致相关文书未能实际被接收的、邮寄送达的，相关法律文书或函件退回之日即视为送达之日。</w:t>
      </w:r>
    </w:p>
    <w:p w14:paraId="685DE42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九、不可抗力</w:t>
      </w:r>
    </w:p>
    <w:p w14:paraId="489B962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不可抗力”是本合同双方不能合理控制、不可预见或即使预见赤无法避免的事件，该事件妨碍、影响或延误任何一方根据合同履行其全部或部分义务。该事件包括政府行为、疫情、自然灾害、战争或任何其他类似事件。</w:t>
      </w:r>
    </w:p>
    <w:p w14:paraId="502F539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出现不可抗力事件时，知情方应及时、充分地以书面形式通知对方，并告知该类事件对本合同可能产生的影响，并应当在合理期限内提供相关官方证明。</w:t>
      </w:r>
    </w:p>
    <w:p w14:paraId="79BB0CC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由于以上所述不可抗力事件致使本合同不能履行或延迟履行，则双方均不需承担任何违约责任。双方可就合同履行等事项另行协商确定。</w:t>
      </w:r>
    </w:p>
    <w:p w14:paraId="78A78EA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十、合同生效及其它</w:t>
      </w:r>
    </w:p>
    <w:p w14:paraId="4514174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合同未尽事宜、由甲、乙双方协商并签订补充协议予以确定，补充协议与本合同具有同等法律效力。</w:t>
      </w:r>
    </w:p>
    <w:p w14:paraId="0D3B140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本合同一式柒份，甲方执肆份、乙方执贰份，陕西省采购招标有限责任公司备案壹份，均具有同等法律效力。</w:t>
      </w:r>
    </w:p>
    <w:p w14:paraId="20365AE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合同经甲方负责人或其授权代表、乙方法定代表人或其授权代表签字并加盖双方公章后生效，合同签订地点为西安市。</w:t>
      </w:r>
    </w:p>
    <w:p w14:paraId="3F91EA9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highlight w:val="none"/>
        </w:rPr>
      </w:pPr>
    </w:p>
    <w:p w14:paraId="4C717ED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（以下无正文，为合同盖章签署页）</w:t>
      </w:r>
    </w:p>
    <w:p w14:paraId="64733519">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sz w:val="20"/>
          <w:szCs w:val="20"/>
          <w:highlight w:val="none"/>
        </w:rPr>
      </w:pPr>
    </w:p>
    <w:p w14:paraId="7B046CA9">
      <w:pPr>
        <w:rPr>
          <w:rFonts w:hint="eastAsia" w:ascii="宋体" w:hAnsi="宋体" w:eastAsia="宋体" w:cs="宋体"/>
          <w:sz w:val="20"/>
          <w:szCs w:val="20"/>
          <w:highlight w:val="none"/>
        </w:rPr>
      </w:pPr>
      <w:r>
        <w:rPr>
          <w:rFonts w:hint="eastAsia" w:ascii="宋体" w:hAnsi="宋体" w:eastAsia="宋体" w:cs="宋体"/>
          <w:sz w:val="20"/>
          <w:szCs w:val="20"/>
          <w:highlight w:val="none"/>
        </w:rPr>
        <w:br w:type="page"/>
      </w:r>
    </w:p>
    <w:p w14:paraId="3D37A4A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p>
    <w:p w14:paraId="1BAA7FE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p>
    <w:p w14:paraId="0402BDF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p>
    <w:p w14:paraId="0142E7E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甲方名称（盖章）：</w:t>
      </w:r>
    </w:p>
    <w:p w14:paraId="56491C1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负责人或授权代表（签字）：</w:t>
      </w:r>
    </w:p>
    <w:p w14:paraId="41F3C73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纳税人识别号：</w:t>
      </w:r>
    </w:p>
    <w:p w14:paraId="47D307D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银行账号：</w:t>
      </w:r>
    </w:p>
    <w:p w14:paraId="128EA48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开户银行：</w:t>
      </w:r>
    </w:p>
    <w:p w14:paraId="6AC8EA2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p>
    <w:p w14:paraId="6E14841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p>
    <w:p w14:paraId="68376CE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乙方名称（盖章）：</w:t>
      </w:r>
      <w:r>
        <w:rPr>
          <w:rFonts w:hint="eastAsia" w:ascii="宋体" w:hAnsi="宋体" w:eastAsia="宋体" w:cs="宋体"/>
          <w:sz w:val="24"/>
          <w:szCs w:val="24"/>
          <w:highlight w:val="none"/>
          <w:lang w:val="en-US" w:eastAsia="zh-CN"/>
        </w:rPr>
        <w:t xml:space="preserve"> </w:t>
      </w:r>
    </w:p>
    <w:p w14:paraId="01A5C78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负责人或授权代表（签字）：</w:t>
      </w:r>
    </w:p>
    <w:p w14:paraId="5AE04A4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账户名称：</w:t>
      </w:r>
    </w:p>
    <w:p w14:paraId="74BD817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纳税人识别号：</w:t>
      </w:r>
    </w:p>
    <w:p w14:paraId="751EBD8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银行账号：</w:t>
      </w:r>
    </w:p>
    <w:p w14:paraId="1F6C06A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开户银行：</w:t>
      </w:r>
    </w:p>
    <w:p w14:paraId="26A77F5E">
      <w:pPr>
        <w:pStyle w:val="4"/>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highlight w:val="none"/>
          <w:lang w:val="en-US" w:eastAsia="zh-Hans"/>
        </w:rPr>
      </w:pPr>
    </w:p>
    <w:p w14:paraId="5CA9859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D1D1EF8"/>
    <w:rsid w:val="7D3A6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1777</Words>
  <Characters>1816</Characters>
  <Lines>0</Lines>
  <Paragraphs>0</Paragraphs>
  <TotalTime>0</TotalTime>
  <ScaleCrop>false</ScaleCrop>
  <LinksUpToDate>false</LinksUpToDate>
  <CharactersWithSpaces>1851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2026-07-03T08:32:00Z</dcterms:created>
  <dc:creator>Administrator</dc:creator>
  <cp:lastModifiedBy>余白</cp:lastModifiedBy>
  <dcterms:modified xsi:type="dcterms:W3CDTF">2026-08-20T09:40:46Z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eyJoZGlkIjoiNjRmMzhiZjkzZWI0YTdkODBlZGI5MzIzMDQ4ZDFmYmMiLCJ1c2VySWQiOiIzNzYxMDc1OTkifQ==</vt:lpwstr>
  </property>
  <property fmtid="{D5CDD505-2E9C-101B-9397-08002B2CF9AE}" pid="4" name="ICV">
    <vt:lpwstr>A53EECA49D624AFEBD817861E7CBDDBC_12</vt:lpwstr>
  </property>
</Properties>
</file>