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版本号：0617-2613FZ099020260512001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离退处教职工体检项目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0617-2613FZ0990</w:t>
      </w:r>
      <w:r>
        <w:br/>
      </w:r>
      <w:r>
        <w:br/>
      </w:r>
      <w:r>
        <w:br/>
      </w:r>
    </w:p>
    <w:p>
      <w:pPr>
        <w:pStyle w:val="null3"/>
        <w:jc w:val="center"/>
        <w:outlineLvl w:val="2"/>
      </w:pPr>
      <w:r>
        <w:rPr>
          <w:rFonts w:ascii="仿宋_GB2312" w:hAnsi="仿宋_GB2312" w:cs="仿宋_GB2312" w:eastAsia="仿宋_GB2312"/>
          <w:sz w:val="28"/>
          <w:b/>
        </w:rPr>
        <w:t>西安财经大学</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西安财经大学</w:t>
      </w:r>
      <w:r>
        <w:rPr>
          <w:rFonts w:ascii="仿宋_GB2312" w:hAnsi="仿宋_GB2312" w:cs="仿宋_GB2312" w:eastAsia="仿宋_GB2312"/>
        </w:rPr>
        <w:t>委托，拟对</w:t>
      </w:r>
      <w:r>
        <w:rPr>
          <w:rFonts w:ascii="仿宋_GB2312" w:hAnsi="仿宋_GB2312" w:cs="仿宋_GB2312" w:eastAsia="仿宋_GB2312"/>
        </w:rPr>
        <w:t>离退处教职工体检项目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0617-2613FZ0990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离退处教职工体检项目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为离退处教职工进行体检。</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1、本项目的特定资格要求：供应商具有卫生行政部门核准登记取得的《医疗机构执业许可证》和《放射诊疗许可证》。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西安财经大学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西安市长安区常宁大街360号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高飞翔</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68570181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习郭莹、靖悦、侯润泽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029-85257747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采购包1：923,000.00元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代理服务费收费标准：参照国家发改委《招标代理服务收费暂行办法》（计价格[2002]1980号）文件的计费方法，下浮48%计取代理费(包括货物、服务和工程三类)，采购代理服务收费按差额定率累进法计算。 收款账号如下： 开户名称：西北（陕西）国际招标有限公司 开户银行：交通银行西安长安大学支行 账 号：611301151018010003843</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西安财经大学</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西安财经大学</w:t>
      </w:r>
      <w:r>
        <w:rPr>
          <w:rFonts w:ascii="仿宋_GB2312" w:hAnsi="仿宋_GB2312" w:cs="仿宋_GB2312" w:eastAsia="仿宋_GB2312"/>
        </w:rPr>
        <w:t>负责解释。除上述磋商文件内容，其他内容由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西安财经大学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符合合同要求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联系人：西北（陕西）国际招标有限公司综合监督处</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地址：陕西省西安市南二环西段58号成长大厦12楼1203室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为离退处教职工进行体检。</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923,000.00</w:t>
      </w:r>
    </w:p>
    <w:p>
      <w:pPr>
        <w:pStyle w:val="null3"/>
      </w:pPr>
      <w:r>
        <w:rPr>
          <w:rFonts w:ascii="仿宋_GB2312" w:hAnsi="仿宋_GB2312" w:cs="仿宋_GB2312" w:eastAsia="仿宋_GB2312"/>
        </w:rPr>
        <w:t>采购包最高限价（元）: 923,000.00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离退处教职工体检</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923,000.00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标的名称：离退处教职工体检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具体体检项目和主要服务内容要求如下（包含但不限于以下内容）：</w:t>
            </w:r>
          </w:p>
          <w:tbl>
            <w:tblPr>
              <w:tblBorders>
                <w:top w:val="none" w:color="000000" w:sz="4"/>
                <w:left w:val="none" w:color="000000" w:sz="4"/>
                <w:bottom w:val="none" w:color="000000" w:sz="4"/>
                <w:right w:val="none" w:color="000000" w:sz="4"/>
                <w:insideH w:val="none"/>
                <w:insideV w:val="none"/>
              </w:tblBorders>
            </w:tblPr>
            <w:tblGrid>
              <w:gridCol w:w="458"/>
              <w:gridCol w:w="310"/>
              <w:gridCol w:w="1770"/>
            </w:tblGrid>
            <w:tr>
              <w:tc>
                <w:tcPr>
                  <w:tcW w:type="dxa" w:w="4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项目</w:t>
                  </w:r>
                </w:p>
              </w:tc>
              <w:tc>
                <w:tcPr>
                  <w:tcW w:type="dxa" w:w="208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检查内容及临床意义</w:t>
                  </w:r>
                </w:p>
              </w:tc>
            </w:tr>
            <w:tr>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一般检查及专科项目</w:t>
                  </w:r>
                </w:p>
              </w:tc>
              <w:tc>
                <w:tcPr>
                  <w:tcW w:type="dxa" w:w="208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一般检查</w:t>
                  </w:r>
                </w:p>
              </w:tc>
              <w:tc>
                <w:tcPr>
                  <w:tcW w:type="dxa" w:w="208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体重、身高、血压有无异常。（超重、肥胖、高、低血压</w:t>
                  </w:r>
                  <w:r>
                    <w:rPr>
                      <w:rFonts w:ascii="仿宋_GB2312" w:hAnsi="仿宋_GB2312" w:cs="仿宋_GB2312" w:eastAsia="仿宋_GB2312"/>
                      <w:sz w:val="21"/>
                    </w:rPr>
                    <w:t>),了解营养状况等。</w:t>
                  </w:r>
                </w:p>
              </w:tc>
            </w:tr>
            <w:tr>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内科</w:t>
                  </w:r>
                </w:p>
              </w:tc>
              <w:tc>
                <w:tcPr>
                  <w:tcW w:type="dxa" w:w="208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心脏听诊：心律、心率、心脏杂音、双肺听诊：有无异常呼吸音，腹部触诊：有无肝脾肿大等</w:t>
                  </w:r>
                </w:p>
              </w:tc>
            </w:tr>
            <w:tr>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外科</w:t>
                  </w:r>
                </w:p>
              </w:tc>
              <w:tc>
                <w:tcPr>
                  <w:tcW w:type="dxa" w:w="208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甲状腺、淋巴结、体表包块、四肢关节等</w:t>
                  </w:r>
                </w:p>
              </w:tc>
            </w:tr>
            <w:tr>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耳鼻喉科检查</w:t>
                  </w:r>
                </w:p>
              </w:tc>
              <w:tc>
                <w:tcPr>
                  <w:tcW w:type="dxa" w:w="208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鼻、咽、喉、外耳部位的病变</w:t>
                  </w:r>
                </w:p>
              </w:tc>
            </w:tr>
            <w:tr>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口腔科检查</w:t>
                  </w:r>
                </w:p>
              </w:tc>
              <w:tc>
                <w:tcPr>
                  <w:tcW w:type="dxa" w:w="208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牙齿、牙龈的情况（有无龋齿、缺齿、牙周炎等）</w:t>
                  </w:r>
                </w:p>
              </w:tc>
            </w:tr>
            <w:tr>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眼科检查</w:t>
                  </w:r>
                </w:p>
              </w:tc>
              <w:tc>
                <w:tcPr>
                  <w:tcW w:type="dxa" w:w="208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视力、色觉</w:t>
                  </w:r>
                </w:p>
              </w:tc>
            </w:tr>
            <w:tr>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眼底检查</w:t>
                  </w:r>
                </w:p>
              </w:tc>
              <w:tc>
                <w:tcPr>
                  <w:tcW w:type="dxa" w:w="208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眼底血管、（有无糖尿病、动脉硬化眼底改变）视乳头、黄斑部病变</w:t>
                  </w:r>
                </w:p>
              </w:tc>
            </w:tr>
            <w:tr>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裂隙灯检查</w:t>
                  </w:r>
                </w:p>
              </w:tc>
              <w:tc>
                <w:tcPr>
                  <w:tcW w:type="dxa" w:w="208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玻璃体、晶状体（有无白内障）、结膜、角膜炎等</w:t>
                  </w:r>
                </w:p>
              </w:tc>
            </w:tr>
            <w:tr>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眼压检查</w:t>
                  </w:r>
                </w:p>
              </w:tc>
              <w:tc>
                <w:tcPr>
                  <w:tcW w:type="dxa" w:w="208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通过眼压仪对眼压的测定，了解是否有青光眼及高眼压症</w:t>
                  </w:r>
                </w:p>
              </w:tc>
            </w:tr>
            <w:tr>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骨密度检测</w:t>
                  </w:r>
                </w:p>
              </w:tc>
              <w:tc>
                <w:tcPr>
                  <w:tcW w:type="dxa" w:w="208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有无骨量减少、骨质疏松</w:t>
                  </w:r>
                </w:p>
              </w:tc>
            </w:tr>
            <w:tr>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心电图及超声检查</w:t>
                  </w:r>
                </w:p>
              </w:tc>
              <w:tc>
                <w:tcPr>
                  <w:tcW w:type="dxa" w:w="208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心电图（</w:t>
                  </w:r>
                  <w:r>
                    <w:rPr>
                      <w:rFonts w:ascii="仿宋_GB2312" w:hAnsi="仿宋_GB2312" w:cs="仿宋_GB2312" w:eastAsia="仿宋_GB2312"/>
                      <w:sz w:val="21"/>
                    </w:rPr>
                    <w:t>12导）</w:t>
                  </w:r>
                </w:p>
              </w:tc>
              <w:tc>
                <w:tcPr>
                  <w:tcW w:type="dxa" w:w="208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有无心肌缺血、心律失常等、心肌肥大、心梗、心肌炎、传导阻滞等。</w:t>
                  </w:r>
                </w:p>
              </w:tc>
            </w:tr>
            <w:tr>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腹部彩超</w:t>
                  </w:r>
                </w:p>
              </w:tc>
              <w:tc>
                <w:tcPr>
                  <w:tcW w:type="dxa" w:w="208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检查肝、胆、脾、胰、双肾（有无脂肪肝、肝肾肿瘤、肝内胆管结石、胆石症、胆囊炎、胆囊息肉、脾肿大等）</w:t>
                  </w:r>
                </w:p>
              </w:tc>
            </w:tr>
            <w:tr>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盆腔彩超（男）</w:t>
                  </w:r>
                </w:p>
              </w:tc>
              <w:tc>
                <w:tcPr>
                  <w:tcW w:type="dxa" w:w="208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男：前列腺、膀胱。</w:t>
                  </w:r>
                </w:p>
              </w:tc>
            </w:tr>
            <w:tr>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盆腔彩超（女）</w:t>
                  </w:r>
                </w:p>
              </w:tc>
              <w:tc>
                <w:tcPr>
                  <w:tcW w:type="dxa" w:w="208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女：子宫、附件（卵巢）。</w:t>
                  </w:r>
                </w:p>
              </w:tc>
            </w:tr>
            <w:tr>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甲状腺彩超</w:t>
                  </w:r>
                </w:p>
              </w:tc>
              <w:tc>
                <w:tcPr>
                  <w:tcW w:type="dxa" w:w="208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有无甲状腺结节、甲状腺囊肿、甲状腺肿瘤等。</w:t>
                  </w:r>
                </w:p>
              </w:tc>
            </w:tr>
            <w:tr>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颈动脉彩超（双侧）</w:t>
                  </w:r>
                </w:p>
              </w:tc>
              <w:tc>
                <w:tcPr>
                  <w:tcW w:type="dxa" w:w="208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检查颈动脉内膜病变，有无动脉粥样斑块</w:t>
                  </w:r>
                </w:p>
              </w:tc>
            </w:tr>
            <w:tr>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数字化肝脏彩超</w:t>
                  </w:r>
                </w:p>
              </w:tc>
              <w:tc>
                <w:tcPr>
                  <w:tcW w:type="dxa" w:w="208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快速无创，用数字来分析脂肪肝和纤维化的程度，能够协助临床及早发现肝纤维化早、中期患者</w:t>
                  </w:r>
                </w:p>
              </w:tc>
            </w:tr>
            <w:tr>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经颅多普勒（</w:t>
                  </w:r>
                  <w:r>
                    <w:rPr>
                      <w:rFonts w:ascii="仿宋_GB2312" w:hAnsi="仿宋_GB2312" w:cs="仿宋_GB2312" w:eastAsia="仿宋_GB2312"/>
                      <w:sz w:val="21"/>
                    </w:rPr>
                    <w:t>TCD）</w:t>
                  </w:r>
                </w:p>
              </w:tc>
              <w:tc>
                <w:tcPr>
                  <w:tcW w:type="dxa" w:w="208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检查颅内血管功能，有无脑动脉硬化、脑血管痉挛脑供血不足等情况</w:t>
                  </w:r>
                </w:p>
              </w:tc>
            </w:tr>
            <w:tr>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动脉硬化检测</w:t>
                  </w:r>
                </w:p>
              </w:tc>
              <w:tc>
                <w:tcPr>
                  <w:tcW w:type="dxa" w:w="208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检测外周血管疾病及有无下肢动脉血管阻塞性疾病</w:t>
                  </w:r>
                </w:p>
              </w:tc>
            </w:tr>
            <w:tr>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超声图文</w:t>
                  </w:r>
                </w:p>
              </w:tc>
              <w:tc>
                <w:tcPr>
                  <w:tcW w:type="dxa" w:w="208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X光检查</w:t>
                  </w:r>
                </w:p>
              </w:tc>
              <w:tc>
                <w:tcPr>
                  <w:tcW w:type="dxa" w:w="208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胸部低剂量螺旋</w:t>
                  </w:r>
                  <w:r>
                    <w:rPr>
                      <w:rFonts w:ascii="仿宋_GB2312" w:hAnsi="仿宋_GB2312" w:cs="仿宋_GB2312" w:eastAsia="仿宋_GB2312"/>
                      <w:sz w:val="21"/>
                    </w:rPr>
                    <w:t>CT</w:t>
                  </w:r>
                </w:p>
              </w:tc>
              <w:tc>
                <w:tcPr>
                  <w:tcW w:type="dxa" w:w="208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检查肺、气管、支气管、纵膈、胸膜、胸壁等部位的炎症，扩张、狭窄、阻塞、肥厚、淋巴结肿大、占位性病变等。</w:t>
                  </w:r>
                </w:p>
              </w:tc>
            </w:tr>
            <w:tr>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头颅</w:t>
                  </w:r>
                  <w:r>
                    <w:rPr>
                      <w:rFonts w:ascii="仿宋_GB2312" w:hAnsi="仿宋_GB2312" w:cs="仿宋_GB2312" w:eastAsia="仿宋_GB2312"/>
                      <w:sz w:val="21"/>
                    </w:rPr>
                    <w:t>CT</w:t>
                  </w:r>
                  <w:r>
                    <w:rPr>
                      <w:rFonts w:ascii="仿宋_GB2312" w:hAnsi="仿宋_GB2312" w:cs="仿宋_GB2312" w:eastAsia="仿宋_GB2312"/>
                      <w:sz w:val="21"/>
                    </w:rPr>
                    <w:t>/</w:t>
                  </w:r>
                  <w:r>
                    <w:rPr>
                      <w:rFonts w:ascii="仿宋_GB2312" w:hAnsi="仿宋_GB2312" w:cs="仿宋_GB2312" w:eastAsia="仿宋_GB2312"/>
                      <w:sz w:val="21"/>
                    </w:rPr>
                    <w:t>头颅核磁（二选一）</w:t>
                  </w:r>
                </w:p>
              </w:tc>
              <w:tc>
                <w:tcPr>
                  <w:tcW w:type="dxa" w:w="208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了解大脑基本情况，对各种原因所致的脑出血、脑损伤、肿瘤、脓肿、梗塞、积水、萎缩、肉芽肿等</w:t>
                  </w:r>
                </w:p>
              </w:tc>
            </w:tr>
            <w:tr>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妇科检查</w:t>
                  </w:r>
                </w:p>
              </w:tc>
              <w:tc>
                <w:tcPr>
                  <w:tcW w:type="dxa" w:w="208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妇科检查</w:t>
                  </w:r>
                </w:p>
              </w:tc>
              <w:tc>
                <w:tcPr>
                  <w:tcW w:type="dxa" w:w="208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阴道、子宫、宫颈。（有无阴道炎、宫颈炎、宫颈糜烂、盆腔炎、卵巢肿瘤）等。</w:t>
                  </w:r>
                </w:p>
              </w:tc>
            </w:tr>
            <w:tr>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液基薄层（</w:t>
                  </w:r>
                  <w:r>
                    <w:rPr>
                      <w:rFonts w:ascii="仿宋_GB2312" w:hAnsi="仿宋_GB2312" w:cs="仿宋_GB2312" w:eastAsia="仿宋_GB2312"/>
                      <w:sz w:val="21"/>
                    </w:rPr>
                    <w:t>TCT）</w:t>
                  </w:r>
                </w:p>
              </w:tc>
              <w:tc>
                <w:tcPr>
                  <w:tcW w:type="dxa" w:w="208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为宫颈脱落细胞检查方法，作为筛查早期宫颈癌的重要项目，敏感度高特异性强</w:t>
                  </w:r>
                </w:p>
              </w:tc>
            </w:tr>
            <w:tr>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白带常规</w:t>
                  </w:r>
                </w:p>
              </w:tc>
              <w:tc>
                <w:tcPr>
                  <w:tcW w:type="dxa" w:w="208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白带有无霉菌、滴虫感染、阴道炎等。</w:t>
                  </w:r>
                </w:p>
              </w:tc>
            </w:tr>
            <w:tr>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双乳腺彩超</w:t>
                  </w:r>
                </w:p>
              </w:tc>
              <w:tc>
                <w:tcPr>
                  <w:tcW w:type="dxa" w:w="208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有无乳腺增生、乳腺肿瘤等。</w:t>
                  </w:r>
                </w:p>
              </w:tc>
            </w:tr>
            <w:tr>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实验室检查</w:t>
                  </w:r>
                </w:p>
              </w:tc>
              <w:tc>
                <w:tcPr>
                  <w:tcW w:type="dxa" w:w="208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采血耗材费</w:t>
                  </w:r>
                </w:p>
              </w:tc>
              <w:tc>
                <w:tcPr>
                  <w:tcW w:type="dxa" w:w="208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血常规（五分类）</w:t>
                  </w:r>
                </w:p>
              </w:tc>
              <w:tc>
                <w:tcPr>
                  <w:tcW w:type="dxa" w:w="208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通过血液分析可提示小细胞性贫血、巨幼细胞贫血、再生障碍性贫血、各种类型白血病、粒细胞减少、淋巴细胞减少、血小板减少及感染等。</w:t>
                  </w:r>
                </w:p>
              </w:tc>
            </w:tr>
            <w:tr>
              <w:tc>
                <w:tcPr>
                  <w:tcW w:type="dxa" w:w="4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尿液分析</w:t>
                  </w:r>
                  <w:r>
                    <w:rPr>
                      <w:rFonts w:ascii="仿宋_GB2312" w:hAnsi="仿宋_GB2312" w:cs="仿宋_GB2312" w:eastAsia="仿宋_GB2312"/>
                      <w:sz w:val="21"/>
                    </w:rPr>
                    <w:t>11项+镜检</w:t>
                  </w:r>
                </w:p>
              </w:tc>
              <w:tc>
                <w:tcPr>
                  <w:tcW w:type="dxa" w:w="208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检查有无泌尿系感染、急、慢性肾炎等。</w:t>
                  </w:r>
                </w:p>
              </w:tc>
            </w:tr>
            <w:tr>
              <w:tc>
                <w:tcPr>
                  <w:tcW w:type="dxa" w:w="458"/>
                  <w:vMerge/>
                  <w:tcBorders>
                    <w:top w:val="none" w:color="000000" w:sz="4"/>
                    <w:left w:val="single" w:color="000000" w:sz="4"/>
                    <w:bottom w:val="single" w:color="000000" w:sz="4"/>
                    <w:right w:val="single" w:color="000000" w:sz="4"/>
                  </w:tcBorders>
                </w:tcP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1、白细胞</w:t>
                  </w:r>
                </w:p>
              </w:tc>
              <w:tc>
                <w:tcPr>
                  <w:tcW w:type="dxa" w:w="177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尿检主要应用于肾脏疾病的诊断、治疗观察、预后判断。尿糖检查协助糖尿病筛查，不是诊断标准。尿潜血异常有助于血管内溶血的疾病的诊断。尿镜检：弥补尿液理化检查的不足，了解泌尿系统各部位的变化，可协助泌尿系统疾病的定位诊断。</w:t>
                  </w:r>
                </w:p>
              </w:tc>
            </w:tr>
            <w:tr>
              <w:tc>
                <w:tcPr>
                  <w:tcW w:type="dxa" w:w="458"/>
                  <w:vMerge/>
                  <w:tcBorders>
                    <w:top w:val="none" w:color="000000" w:sz="4"/>
                    <w:left w:val="single" w:color="000000" w:sz="4"/>
                    <w:bottom w:val="single" w:color="000000" w:sz="4"/>
                    <w:right w:val="single" w:color="000000" w:sz="4"/>
                  </w:tcBorders>
                </w:tcP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2、亚硝酸盐</w:t>
                  </w:r>
                </w:p>
              </w:tc>
              <w:tc>
                <w:tcPr>
                  <w:tcW w:type="dxa" w:w="1770"/>
                  <w:vMerge/>
                  <w:tcBorders>
                    <w:top w:val="single" w:color="000000" w:sz="4"/>
                    <w:left w:val="none" w:color="000000" w:sz="4"/>
                    <w:bottom w:val="single" w:color="000000" w:sz="4"/>
                    <w:right w:val="single" w:color="000000" w:sz="4"/>
                  </w:tcBorders>
                </w:tcPr>
                <w:p/>
              </w:tc>
            </w:tr>
            <w:tr>
              <w:tc>
                <w:tcPr>
                  <w:tcW w:type="dxa" w:w="458"/>
                  <w:vMerge/>
                  <w:tcBorders>
                    <w:top w:val="none" w:color="000000" w:sz="4"/>
                    <w:left w:val="single" w:color="000000" w:sz="4"/>
                    <w:bottom w:val="single" w:color="000000" w:sz="4"/>
                    <w:right w:val="single" w:color="000000" w:sz="4"/>
                  </w:tcBorders>
                </w:tcP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3、尿胆素原</w:t>
                  </w:r>
                </w:p>
              </w:tc>
              <w:tc>
                <w:tcPr>
                  <w:tcW w:type="dxa" w:w="1770"/>
                  <w:vMerge/>
                  <w:tcBorders>
                    <w:top w:val="single" w:color="000000" w:sz="4"/>
                    <w:left w:val="none" w:color="000000" w:sz="4"/>
                    <w:bottom w:val="single" w:color="000000" w:sz="4"/>
                    <w:right w:val="single" w:color="000000" w:sz="4"/>
                  </w:tcBorders>
                </w:tcPr>
                <w:p/>
              </w:tc>
            </w:tr>
            <w:tr>
              <w:tc>
                <w:tcPr>
                  <w:tcW w:type="dxa" w:w="458"/>
                  <w:vMerge/>
                  <w:tcBorders>
                    <w:top w:val="none" w:color="000000" w:sz="4"/>
                    <w:left w:val="single" w:color="000000" w:sz="4"/>
                    <w:bottom w:val="single" w:color="000000" w:sz="4"/>
                    <w:right w:val="single" w:color="000000" w:sz="4"/>
                  </w:tcBorders>
                </w:tcP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4、尿蛋白</w:t>
                  </w:r>
                </w:p>
              </w:tc>
              <w:tc>
                <w:tcPr>
                  <w:tcW w:type="dxa" w:w="1770"/>
                  <w:vMerge/>
                  <w:tcBorders>
                    <w:top w:val="single" w:color="000000" w:sz="4"/>
                    <w:left w:val="none" w:color="000000" w:sz="4"/>
                    <w:bottom w:val="single" w:color="000000" w:sz="4"/>
                    <w:right w:val="single" w:color="000000" w:sz="4"/>
                  </w:tcBorders>
                </w:tcPr>
                <w:p/>
              </w:tc>
            </w:tr>
            <w:tr>
              <w:tc>
                <w:tcPr>
                  <w:tcW w:type="dxa" w:w="458"/>
                  <w:vMerge/>
                  <w:tcBorders>
                    <w:top w:val="none" w:color="000000" w:sz="4"/>
                    <w:left w:val="single" w:color="000000" w:sz="4"/>
                    <w:bottom w:val="single" w:color="000000" w:sz="4"/>
                    <w:right w:val="single" w:color="000000" w:sz="4"/>
                  </w:tcBorders>
                </w:tcP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5、PH值</w:t>
                  </w:r>
                </w:p>
              </w:tc>
              <w:tc>
                <w:tcPr>
                  <w:tcW w:type="dxa" w:w="1770"/>
                  <w:vMerge/>
                  <w:tcBorders>
                    <w:top w:val="single" w:color="000000" w:sz="4"/>
                    <w:left w:val="none" w:color="000000" w:sz="4"/>
                    <w:bottom w:val="single" w:color="000000" w:sz="4"/>
                    <w:right w:val="single" w:color="000000" w:sz="4"/>
                  </w:tcBorders>
                </w:tcPr>
                <w:p/>
              </w:tc>
            </w:tr>
            <w:tr>
              <w:tc>
                <w:tcPr>
                  <w:tcW w:type="dxa" w:w="458"/>
                  <w:vMerge/>
                  <w:tcBorders>
                    <w:top w:val="none" w:color="000000" w:sz="4"/>
                    <w:left w:val="single" w:color="000000" w:sz="4"/>
                    <w:bottom w:val="single" w:color="000000" w:sz="4"/>
                    <w:right w:val="single" w:color="000000" w:sz="4"/>
                  </w:tcBorders>
                </w:tcP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6、红细胞定性（隐血）</w:t>
                  </w:r>
                </w:p>
              </w:tc>
              <w:tc>
                <w:tcPr>
                  <w:tcW w:type="dxa" w:w="1770"/>
                  <w:vMerge/>
                  <w:tcBorders>
                    <w:top w:val="single" w:color="000000" w:sz="4"/>
                    <w:left w:val="none" w:color="000000" w:sz="4"/>
                    <w:bottom w:val="single" w:color="000000" w:sz="4"/>
                    <w:right w:val="single" w:color="000000" w:sz="4"/>
                  </w:tcBorders>
                </w:tcPr>
                <w:p/>
              </w:tc>
            </w:tr>
            <w:tr>
              <w:tc>
                <w:tcPr>
                  <w:tcW w:type="dxa" w:w="458"/>
                  <w:vMerge/>
                  <w:tcBorders>
                    <w:top w:val="none" w:color="000000" w:sz="4"/>
                    <w:left w:val="single" w:color="000000" w:sz="4"/>
                    <w:bottom w:val="single" w:color="000000" w:sz="4"/>
                    <w:right w:val="single" w:color="000000" w:sz="4"/>
                  </w:tcBorders>
                </w:tcP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7、尿比重</w:t>
                  </w:r>
                </w:p>
              </w:tc>
              <w:tc>
                <w:tcPr>
                  <w:tcW w:type="dxa" w:w="1770"/>
                  <w:vMerge/>
                  <w:tcBorders>
                    <w:top w:val="single" w:color="000000" w:sz="4"/>
                    <w:left w:val="none" w:color="000000" w:sz="4"/>
                    <w:bottom w:val="single" w:color="000000" w:sz="4"/>
                    <w:right w:val="single" w:color="000000" w:sz="4"/>
                  </w:tcBorders>
                </w:tcPr>
                <w:p/>
              </w:tc>
            </w:tr>
            <w:tr>
              <w:tc>
                <w:tcPr>
                  <w:tcW w:type="dxa" w:w="458"/>
                  <w:vMerge/>
                  <w:tcBorders>
                    <w:top w:val="none" w:color="000000" w:sz="4"/>
                    <w:left w:val="single" w:color="000000" w:sz="4"/>
                    <w:bottom w:val="single" w:color="000000" w:sz="4"/>
                    <w:right w:val="single" w:color="000000" w:sz="4"/>
                  </w:tcBorders>
                </w:tcP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8、维生素C</w:t>
                  </w:r>
                </w:p>
              </w:tc>
              <w:tc>
                <w:tcPr>
                  <w:tcW w:type="dxa" w:w="1770"/>
                  <w:vMerge/>
                  <w:tcBorders>
                    <w:top w:val="single" w:color="000000" w:sz="4"/>
                    <w:left w:val="none" w:color="000000" w:sz="4"/>
                    <w:bottom w:val="single" w:color="000000" w:sz="4"/>
                    <w:right w:val="single" w:color="000000" w:sz="4"/>
                  </w:tcBorders>
                </w:tcPr>
                <w:p/>
              </w:tc>
            </w:tr>
            <w:tr>
              <w:tc>
                <w:tcPr>
                  <w:tcW w:type="dxa" w:w="458"/>
                  <w:vMerge/>
                  <w:tcBorders>
                    <w:top w:val="none" w:color="000000" w:sz="4"/>
                    <w:left w:val="single" w:color="000000" w:sz="4"/>
                    <w:bottom w:val="single" w:color="000000" w:sz="4"/>
                    <w:right w:val="single" w:color="000000" w:sz="4"/>
                  </w:tcBorders>
                </w:tcP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9、酮体</w:t>
                  </w:r>
                </w:p>
              </w:tc>
              <w:tc>
                <w:tcPr>
                  <w:tcW w:type="dxa" w:w="1770"/>
                  <w:vMerge/>
                  <w:tcBorders>
                    <w:top w:val="single" w:color="000000" w:sz="4"/>
                    <w:left w:val="none" w:color="000000" w:sz="4"/>
                    <w:bottom w:val="single" w:color="000000" w:sz="4"/>
                    <w:right w:val="single" w:color="000000" w:sz="4"/>
                  </w:tcBorders>
                </w:tcPr>
                <w:p/>
              </w:tc>
            </w:tr>
            <w:tr>
              <w:tc>
                <w:tcPr>
                  <w:tcW w:type="dxa" w:w="458"/>
                  <w:vMerge/>
                  <w:tcBorders>
                    <w:top w:val="none" w:color="000000" w:sz="4"/>
                    <w:left w:val="single" w:color="000000" w:sz="4"/>
                    <w:bottom w:val="single" w:color="000000" w:sz="4"/>
                    <w:right w:val="single" w:color="000000" w:sz="4"/>
                  </w:tcBorders>
                </w:tcP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10、胆红素</w:t>
                  </w:r>
                </w:p>
              </w:tc>
              <w:tc>
                <w:tcPr>
                  <w:tcW w:type="dxa" w:w="1770"/>
                  <w:vMerge/>
                  <w:tcBorders>
                    <w:top w:val="single" w:color="000000" w:sz="4"/>
                    <w:left w:val="none" w:color="000000" w:sz="4"/>
                    <w:bottom w:val="single" w:color="000000" w:sz="4"/>
                    <w:right w:val="single" w:color="000000" w:sz="4"/>
                  </w:tcBorders>
                </w:tcPr>
                <w:p/>
              </w:tc>
            </w:tr>
            <w:tr>
              <w:tc>
                <w:tcPr>
                  <w:tcW w:type="dxa" w:w="458"/>
                  <w:vMerge/>
                  <w:tcBorders>
                    <w:top w:val="none" w:color="000000" w:sz="4"/>
                    <w:left w:val="single" w:color="000000" w:sz="4"/>
                    <w:bottom w:val="single" w:color="000000" w:sz="4"/>
                    <w:right w:val="single" w:color="000000" w:sz="4"/>
                  </w:tcBorders>
                </w:tcP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11、葡萄糖</w:t>
                  </w:r>
                </w:p>
              </w:tc>
              <w:tc>
                <w:tcPr>
                  <w:tcW w:type="dxa" w:w="1770"/>
                  <w:vMerge/>
                  <w:tcBorders>
                    <w:top w:val="single" w:color="000000" w:sz="4"/>
                    <w:left w:val="none" w:color="000000" w:sz="4"/>
                    <w:bottom w:val="single" w:color="000000" w:sz="4"/>
                    <w:right w:val="single" w:color="000000" w:sz="4"/>
                  </w:tcBorders>
                </w:tcPr>
                <w:p/>
              </w:tc>
            </w:tr>
            <w:tr>
              <w:tc>
                <w:tcPr>
                  <w:tcW w:type="dxa" w:w="458"/>
                  <w:vMerge/>
                  <w:tcBorders>
                    <w:top w:val="none" w:color="000000" w:sz="4"/>
                    <w:left w:val="single" w:color="000000" w:sz="4"/>
                    <w:bottom w:val="single" w:color="000000" w:sz="4"/>
                    <w:right w:val="single" w:color="000000" w:sz="4"/>
                  </w:tcBorders>
                </w:tcP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12、镜检</w:t>
                  </w:r>
                </w:p>
              </w:tc>
              <w:tc>
                <w:tcPr>
                  <w:tcW w:type="dxa" w:w="1770"/>
                  <w:vMerge/>
                  <w:tcBorders>
                    <w:top w:val="single" w:color="000000" w:sz="4"/>
                    <w:left w:val="none" w:color="000000" w:sz="4"/>
                    <w:bottom w:val="single" w:color="000000" w:sz="4"/>
                    <w:right w:val="single" w:color="000000" w:sz="4"/>
                  </w:tcBorders>
                </w:tcPr>
                <w:p/>
              </w:tc>
            </w:tr>
            <w:tr>
              <w:tc>
                <w:tcPr>
                  <w:tcW w:type="dxa" w:w="4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肝功十项</w:t>
                  </w:r>
                </w:p>
              </w:tc>
              <w:tc>
                <w:tcPr>
                  <w:tcW w:type="dxa" w:w="208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了解肝功能改变情况及胆红素代谢情况，诊断肝炎、肝硬化的生化指标</w:t>
                  </w:r>
                </w:p>
              </w:tc>
            </w:tr>
            <w:tr>
              <w:tc>
                <w:tcPr>
                  <w:tcW w:type="dxa" w:w="458"/>
                  <w:vMerge/>
                  <w:tcBorders>
                    <w:top w:val="none" w:color="000000" w:sz="4"/>
                    <w:left w:val="single" w:color="000000" w:sz="4"/>
                    <w:bottom w:val="single" w:color="000000" w:sz="4"/>
                    <w:right w:val="single" w:color="000000" w:sz="4"/>
                  </w:tcBorders>
                </w:tcPr>
                <w:p/>
              </w:tc>
              <w:tc>
                <w:tcPr>
                  <w:tcW w:type="dxa" w:w="208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1、谷丙转氨酶（GPT或ALT）</w:t>
                  </w:r>
                </w:p>
              </w:tc>
            </w:tr>
            <w:tr>
              <w:tc>
                <w:tcPr>
                  <w:tcW w:type="dxa" w:w="458"/>
                  <w:vMerge/>
                  <w:tcBorders>
                    <w:top w:val="none" w:color="000000" w:sz="4"/>
                    <w:left w:val="single" w:color="000000" w:sz="4"/>
                    <w:bottom w:val="single" w:color="000000" w:sz="4"/>
                    <w:right w:val="single" w:color="000000" w:sz="4"/>
                  </w:tcBorders>
                </w:tcPr>
                <w:p/>
              </w:tc>
              <w:tc>
                <w:tcPr>
                  <w:tcW w:type="dxa" w:w="208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2、天门冬氨酸氨基转移酶（AST）</w:t>
                  </w:r>
                </w:p>
              </w:tc>
            </w:tr>
            <w:tr>
              <w:tc>
                <w:tcPr>
                  <w:tcW w:type="dxa" w:w="458"/>
                  <w:vMerge/>
                  <w:tcBorders>
                    <w:top w:val="none" w:color="000000" w:sz="4"/>
                    <w:left w:val="single" w:color="000000" w:sz="4"/>
                    <w:bottom w:val="single" w:color="000000" w:sz="4"/>
                    <w:right w:val="single" w:color="000000" w:sz="4"/>
                  </w:tcBorders>
                </w:tcPr>
                <w:p/>
              </w:tc>
              <w:tc>
                <w:tcPr>
                  <w:tcW w:type="dxa" w:w="208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3、血清总蛋白（TP）</w:t>
                  </w:r>
                </w:p>
              </w:tc>
            </w:tr>
            <w:tr>
              <w:tc>
                <w:tcPr>
                  <w:tcW w:type="dxa" w:w="458"/>
                  <w:vMerge/>
                  <w:tcBorders>
                    <w:top w:val="none" w:color="000000" w:sz="4"/>
                    <w:left w:val="single" w:color="000000" w:sz="4"/>
                    <w:bottom w:val="single" w:color="000000" w:sz="4"/>
                    <w:right w:val="single" w:color="000000" w:sz="4"/>
                  </w:tcBorders>
                </w:tcPr>
                <w:p/>
              </w:tc>
              <w:tc>
                <w:tcPr>
                  <w:tcW w:type="dxa" w:w="208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4、血清白蛋白（ALB）</w:t>
                  </w:r>
                </w:p>
              </w:tc>
            </w:tr>
            <w:tr>
              <w:tc>
                <w:tcPr>
                  <w:tcW w:type="dxa" w:w="458"/>
                  <w:vMerge/>
                  <w:tcBorders>
                    <w:top w:val="none" w:color="000000" w:sz="4"/>
                    <w:left w:val="single" w:color="000000" w:sz="4"/>
                    <w:bottom w:val="single" w:color="000000" w:sz="4"/>
                    <w:right w:val="single" w:color="000000" w:sz="4"/>
                  </w:tcBorders>
                </w:tcPr>
                <w:p/>
              </w:tc>
              <w:tc>
                <w:tcPr>
                  <w:tcW w:type="dxa" w:w="208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5、血清球蛋白（GLD）</w:t>
                  </w:r>
                </w:p>
              </w:tc>
            </w:tr>
            <w:tr>
              <w:tc>
                <w:tcPr>
                  <w:tcW w:type="dxa" w:w="458"/>
                  <w:vMerge/>
                  <w:tcBorders>
                    <w:top w:val="none" w:color="000000" w:sz="4"/>
                    <w:left w:val="single" w:color="000000" w:sz="4"/>
                    <w:bottom w:val="single" w:color="000000" w:sz="4"/>
                    <w:right w:val="single" w:color="000000" w:sz="4"/>
                  </w:tcBorders>
                </w:tcPr>
                <w:p/>
              </w:tc>
              <w:tc>
                <w:tcPr>
                  <w:tcW w:type="dxa" w:w="208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6、白/球蛋白比值 (A/G)</w:t>
                  </w:r>
                </w:p>
              </w:tc>
            </w:tr>
            <w:tr>
              <w:tc>
                <w:tcPr>
                  <w:tcW w:type="dxa" w:w="458"/>
                  <w:vMerge/>
                  <w:tcBorders>
                    <w:top w:val="none" w:color="000000" w:sz="4"/>
                    <w:left w:val="single" w:color="000000" w:sz="4"/>
                    <w:bottom w:val="single" w:color="000000" w:sz="4"/>
                    <w:right w:val="single" w:color="000000" w:sz="4"/>
                  </w:tcBorders>
                </w:tcPr>
                <w:p/>
              </w:tc>
              <w:tc>
                <w:tcPr>
                  <w:tcW w:type="dxa" w:w="208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7、总胆红素（T-BIL）</w:t>
                  </w:r>
                </w:p>
              </w:tc>
            </w:tr>
            <w:tr>
              <w:tc>
                <w:tcPr>
                  <w:tcW w:type="dxa" w:w="458"/>
                  <w:vMerge/>
                  <w:tcBorders>
                    <w:top w:val="none" w:color="000000" w:sz="4"/>
                    <w:left w:val="single" w:color="000000" w:sz="4"/>
                    <w:bottom w:val="single" w:color="000000" w:sz="4"/>
                    <w:right w:val="single" w:color="000000" w:sz="4"/>
                  </w:tcBorders>
                </w:tcPr>
                <w:p/>
              </w:tc>
              <w:tc>
                <w:tcPr>
                  <w:tcW w:type="dxa" w:w="208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8、ALT\AST（对比值）</w:t>
                  </w:r>
                </w:p>
              </w:tc>
            </w:tr>
            <w:tr>
              <w:tc>
                <w:tcPr>
                  <w:tcW w:type="dxa" w:w="458"/>
                  <w:vMerge/>
                  <w:tcBorders>
                    <w:top w:val="none" w:color="000000" w:sz="4"/>
                    <w:left w:val="single" w:color="000000" w:sz="4"/>
                    <w:bottom w:val="single" w:color="000000" w:sz="4"/>
                    <w:right w:val="single" w:color="000000" w:sz="4"/>
                  </w:tcBorders>
                </w:tcPr>
                <w:p/>
              </w:tc>
              <w:tc>
                <w:tcPr>
                  <w:tcW w:type="dxa" w:w="208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9、碱性磷酸酶(ALP)</w:t>
                  </w:r>
                </w:p>
              </w:tc>
            </w:tr>
            <w:tr>
              <w:tc>
                <w:tcPr>
                  <w:tcW w:type="dxa" w:w="458"/>
                  <w:vMerge/>
                  <w:tcBorders>
                    <w:top w:val="none" w:color="000000" w:sz="4"/>
                    <w:left w:val="single" w:color="000000" w:sz="4"/>
                    <w:bottom w:val="single" w:color="000000" w:sz="4"/>
                    <w:right w:val="single" w:color="000000" w:sz="4"/>
                  </w:tcBorders>
                </w:tcPr>
                <w:p/>
              </w:tc>
              <w:tc>
                <w:tcPr>
                  <w:tcW w:type="dxa" w:w="208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10、r-谷氨酰基转移酶（GGT）</w:t>
                  </w:r>
                </w:p>
              </w:tc>
            </w:tr>
            <w:tr>
              <w:tc>
                <w:tcPr>
                  <w:tcW w:type="dxa" w:w="4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肾功三项</w:t>
                  </w:r>
                </w:p>
              </w:tc>
              <w:tc>
                <w:tcPr>
                  <w:tcW w:type="dxa" w:w="208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了解肾功能情况，有助于急、慢性肾病的诊断。早期发现及诊断痛风生化指标</w:t>
                  </w:r>
                </w:p>
              </w:tc>
            </w:tr>
            <w:tr>
              <w:tc>
                <w:tcPr>
                  <w:tcW w:type="dxa" w:w="458"/>
                  <w:vMerge/>
                  <w:tcBorders>
                    <w:top w:val="none" w:color="000000" w:sz="4"/>
                    <w:left w:val="single" w:color="000000" w:sz="4"/>
                    <w:bottom w:val="single" w:color="000000" w:sz="4"/>
                    <w:right w:val="single" w:color="000000" w:sz="4"/>
                  </w:tcBorders>
                </w:tcPr>
                <w:p/>
              </w:tc>
              <w:tc>
                <w:tcPr>
                  <w:tcW w:type="dxa" w:w="208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1、肌酐</w:t>
                  </w:r>
                </w:p>
              </w:tc>
            </w:tr>
            <w:tr>
              <w:tc>
                <w:tcPr>
                  <w:tcW w:type="dxa" w:w="458"/>
                  <w:vMerge/>
                  <w:tcBorders>
                    <w:top w:val="none" w:color="000000" w:sz="4"/>
                    <w:left w:val="single" w:color="000000" w:sz="4"/>
                    <w:bottom w:val="single" w:color="000000" w:sz="4"/>
                    <w:right w:val="single" w:color="000000" w:sz="4"/>
                  </w:tcBorders>
                </w:tcPr>
                <w:p/>
              </w:tc>
              <w:tc>
                <w:tcPr>
                  <w:tcW w:type="dxa" w:w="208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2、尿素</w:t>
                  </w:r>
                </w:p>
              </w:tc>
            </w:tr>
            <w:tr>
              <w:tc>
                <w:tcPr>
                  <w:tcW w:type="dxa" w:w="458"/>
                  <w:vMerge/>
                  <w:tcBorders>
                    <w:top w:val="none" w:color="000000" w:sz="4"/>
                    <w:left w:val="single" w:color="000000" w:sz="4"/>
                    <w:bottom w:val="single" w:color="000000" w:sz="4"/>
                    <w:right w:val="single" w:color="000000" w:sz="4"/>
                  </w:tcBorders>
                </w:tcPr>
                <w:p/>
              </w:tc>
              <w:tc>
                <w:tcPr>
                  <w:tcW w:type="dxa" w:w="208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3、血尿酸</w:t>
                  </w:r>
                </w:p>
              </w:tc>
            </w:tr>
            <w:tr>
              <w:tc>
                <w:tcPr>
                  <w:tcW w:type="dxa" w:w="4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血脂四项</w:t>
                  </w:r>
                </w:p>
              </w:tc>
              <w:tc>
                <w:tcPr>
                  <w:tcW w:type="dxa" w:w="208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检查有无血脂异常有助于高血压、动脉硬化、肥胖、冠心病、等的脂代谢异常诊断和治疗观察</w:t>
                  </w:r>
                </w:p>
              </w:tc>
            </w:tr>
            <w:tr>
              <w:tc>
                <w:tcPr>
                  <w:tcW w:type="dxa" w:w="458"/>
                  <w:vMerge/>
                  <w:tcBorders>
                    <w:top w:val="none" w:color="000000" w:sz="4"/>
                    <w:left w:val="single" w:color="000000" w:sz="4"/>
                    <w:bottom w:val="single" w:color="000000" w:sz="4"/>
                    <w:right w:val="single" w:color="000000" w:sz="4"/>
                  </w:tcBorders>
                </w:tcPr>
                <w:p/>
              </w:tc>
              <w:tc>
                <w:tcPr>
                  <w:tcW w:type="dxa" w:w="208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1、总胆固醇(CHOL）</w:t>
                  </w:r>
                </w:p>
              </w:tc>
            </w:tr>
            <w:tr>
              <w:tc>
                <w:tcPr>
                  <w:tcW w:type="dxa" w:w="458"/>
                  <w:vMerge/>
                  <w:tcBorders>
                    <w:top w:val="none" w:color="000000" w:sz="4"/>
                    <w:left w:val="single" w:color="000000" w:sz="4"/>
                    <w:bottom w:val="single" w:color="000000" w:sz="4"/>
                    <w:right w:val="single" w:color="000000" w:sz="4"/>
                  </w:tcBorders>
                </w:tcPr>
                <w:p/>
              </w:tc>
              <w:tc>
                <w:tcPr>
                  <w:tcW w:type="dxa" w:w="208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2、甘油三酯（TG)</w:t>
                  </w:r>
                </w:p>
              </w:tc>
            </w:tr>
            <w:tr>
              <w:tc>
                <w:tcPr>
                  <w:tcW w:type="dxa" w:w="458"/>
                  <w:vMerge/>
                  <w:tcBorders>
                    <w:top w:val="none" w:color="000000" w:sz="4"/>
                    <w:left w:val="single" w:color="000000" w:sz="4"/>
                    <w:bottom w:val="single" w:color="000000" w:sz="4"/>
                    <w:right w:val="single" w:color="000000" w:sz="4"/>
                  </w:tcBorders>
                </w:tcPr>
                <w:p/>
              </w:tc>
              <w:tc>
                <w:tcPr>
                  <w:tcW w:type="dxa" w:w="208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3、高密度脂蛋白（HDL)</w:t>
                  </w:r>
                </w:p>
              </w:tc>
            </w:tr>
            <w:tr>
              <w:tc>
                <w:tcPr>
                  <w:tcW w:type="dxa" w:w="458"/>
                  <w:vMerge/>
                  <w:tcBorders>
                    <w:top w:val="none" w:color="000000" w:sz="4"/>
                    <w:left w:val="single" w:color="000000" w:sz="4"/>
                    <w:bottom w:val="single" w:color="000000" w:sz="4"/>
                    <w:right w:val="single" w:color="000000" w:sz="4"/>
                  </w:tcBorders>
                </w:tcPr>
                <w:p/>
              </w:tc>
              <w:tc>
                <w:tcPr>
                  <w:tcW w:type="dxa" w:w="208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4、低密度胆固醇（LDL）</w:t>
                  </w:r>
                </w:p>
              </w:tc>
            </w:tr>
            <w:tr>
              <w:tc>
                <w:tcPr>
                  <w:tcW w:type="dxa" w:w="4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血液变学</w:t>
                  </w:r>
                </w:p>
              </w:tc>
              <w:tc>
                <w:tcPr>
                  <w:tcW w:type="dxa" w:w="208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血液粘稠度的检测方法之一（脑中风先兆参考）</w:t>
                  </w:r>
                </w:p>
              </w:tc>
            </w:tr>
            <w:tr>
              <w:tc>
                <w:tcPr>
                  <w:tcW w:type="dxa" w:w="458"/>
                  <w:vMerge/>
                  <w:tcBorders>
                    <w:top w:val="none" w:color="000000" w:sz="4"/>
                    <w:left w:val="single" w:color="000000" w:sz="4"/>
                    <w:bottom w:val="single" w:color="000000" w:sz="4"/>
                    <w:right w:val="single" w:color="000000" w:sz="4"/>
                  </w:tcBorders>
                </w:tcP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1、红细胞变形指数TK</w:t>
                  </w:r>
                </w:p>
              </w:tc>
              <w:tc>
                <w:tcPr>
                  <w:tcW w:type="dxa" w:w="177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了解血液及其有形成分的流动性与变形规律（血管的血液流变性、血液的流动性、粘滞性、变形性及凝固性等）。血液流变学作为脑中风先兆参考的检查方法之一，协助高粘滞血症疾病的诊断、治疗、疗效判定和预防等检测方法。</w:t>
                  </w:r>
                </w:p>
              </w:tc>
            </w:tr>
            <w:tr>
              <w:tc>
                <w:tcPr>
                  <w:tcW w:type="dxa" w:w="458"/>
                  <w:vMerge/>
                  <w:tcBorders>
                    <w:top w:val="none" w:color="000000" w:sz="4"/>
                    <w:left w:val="single" w:color="000000" w:sz="4"/>
                    <w:bottom w:val="single" w:color="000000" w:sz="4"/>
                    <w:right w:val="single" w:color="000000" w:sz="4"/>
                  </w:tcBorders>
                </w:tcP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2、红细胞刚性指数</w:t>
                  </w:r>
                </w:p>
              </w:tc>
              <w:tc>
                <w:tcPr>
                  <w:tcW w:type="dxa" w:w="1770"/>
                  <w:vMerge/>
                  <w:tcBorders>
                    <w:top w:val="single" w:color="000000" w:sz="4"/>
                    <w:left w:val="none" w:color="000000" w:sz="4"/>
                    <w:bottom w:val="single" w:color="000000" w:sz="4"/>
                    <w:right w:val="single" w:color="000000" w:sz="4"/>
                  </w:tcBorders>
                </w:tcPr>
                <w:p/>
              </w:tc>
            </w:tr>
            <w:tr>
              <w:tc>
                <w:tcPr>
                  <w:tcW w:type="dxa" w:w="458"/>
                  <w:vMerge/>
                  <w:tcBorders>
                    <w:top w:val="none" w:color="000000" w:sz="4"/>
                    <w:left w:val="single" w:color="000000" w:sz="4"/>
                    <w:bottom w:val="single" w:color="000000" w:sz="4"/>
                    <w:right w:val="single" w:color="000000" w:sz="4"/>
                  </w:tcBorders>
                </w:tcP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3、全血高切还原粘度</w:t>
                  </w:r>
                </w:p>
              </w:tc>
              <w:tc>
                <w:tcPr>
                  <w:tcW w:type="dxa" w:w="1770"/>
                  <w:vMerge/>
                  <w:tcBorders>
                    <w:top w:val="single" w:color="000000" w:sz="4"/>
                    <w:left w:val="none" w:color="000000" w:sz="4"/>
                    <w:bottom w:val="single" w:color="000000" w:sz="4"/>
                    <w:right w:val="single" w:color="000000" w:sz="4"/>
                  </w:tcBorders>
                </w:tcPr>
                <w:p/>
              </w:tc>
            </w:tr>
            <w:tr>
              <w:tc>
                <w:tcPr>
                  <w:tcW w:type="dxa" w:w="458"/>
                  <w:vMerge/>
                  <w:tcBorders>
                    <w:top w:val="none" w:color="000000" w:sz="4"/>
                    <w:left w:val="single" w:color="000000" w:sz="4"/>
                    <w:bottom w:val="single" w:color="000000" w:sz="4"/>
                    <w:right w:val="single" w:color="000000" w:sz="4"/>
                  </w:tcBorders>
                </w:tcP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4、全血低切还原粘度</w:t>
                  </w:r>
                </w:p>
              </w:tc>
              <w:tc>
                <w:tcPr>
                  <w:tcW w:type="dxa" w:w="1770"/>
                  <w:vMerge/>
                  <w:tcBorders>
                    <w:top w:val="single" w:color="000000" w:sz="4"/>
                    <w:left w:val="none" w:color="000000" w:sz="4"/>
                    <w:bottom w:val="single" w:color="000000" w:sz="4"/>
                    <w:right w:val="single" w:color="000000" w:sz="4"/>
                  </w:tcBorders>
                </w:tcPr>
                <w:p/>
              </w:tc>
            </w:tr>
            <w:tr>
              <w:tc>
                <w:tcPr>
                  <w:tcW w:type="dxa" w:w="458"/>
                  <w:vMerge/>
                  <w:tcBorders>
                    <w:top w:val="none" w:color="000000" w:sz="4"/>
                    <w:left w:val="single" w:color="000000" w:sz="4"/>
                    <w:bottom w:val="single" w:color="000000" w:sz="4"/>
                    <w:right w:val="single" w:color="000000" w:sz="4"/>
                  </w:tcBorders>
                </w:tcP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5、红细胞聚集指数</w:t>
                  </w:r>
                </w:p>
              </w:tc>
              <w:tc>
                <w:tcPr>
                  <w:tcW w:type="dxa" w:w="1770"/>
                  <w:vMerge/>
                  <w:tcBorders>
                    <w:top w:val="single" w:color="000000" w:sz="4"/>
                    <w:left w:val="none" w:color="000000" w:sz="4"/>
                    <w:bottom w:val="single" w:color="000000" w:sz="4"/>
                    <w:right w:val="single" w:color="000000" w:sz="4"/>
                  </w:tcBorders>
                </w:tcPr>
                <w:p/>
              </w:tc>
            </w:tr>
            <w:tr>
              <w:tc>
                <w:tcPr>
                  <w:tcW w:type="dxa" w:w="458"/>
                  <w:vMerge/>
                  <w:tcBorders>
                    <w:top w:val="none" w:color="000000" w:sz="4"/>
                    <w:left w:val="single" w:color="000000" w:sz="4"/>
                    <w:bottom w:val="single" w:color="000000" w:sz="4"/>
                    <w:right w:val="single" w:color="000000" w:sz="4"/>
                  </w:tcBorders>
                </w:tcP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6、血沉方程K值</w:t>
                  </w:r>
                </w:p>
              </w:tc>
              <w:tc>
                <w:tcPr>
                  <w:tcW w:type="dxa" w:w="1770"/>
                  <w:vMerge/>
                  <w:tcBorders>
                    <w:top w:val="single" w:color="000000" w:sz="4"/>
                    <w:left w:val="none" w:color="000000" w:sz="4"/>
                    <w:bottom w:val="single" w:color="000000" w:sz="4"/>
                    <w:right w:val="single" w:color="000000" w:sz="4"/>
                  </w:tcBorders>
                </w:tcPr>
                <w:p/>
              </w:tc>
            </w:tr>
            <w:tr>
              <w:tc>
                <w:tcPr>
                  <w:tcW w:type="dxa" w:w="458"/>
                  <w:vMerge/>
                  <w:tcBorders>
                    <w:top w:val="none" w:color="000000" w:sz="4"/>
                    <w:left w:val="single" w:color="000000" w:sz="4"/>
                    <w:bottom w:val="single" w:color="000000" w:sz="4"/>
                    <w:right w:val="single" w:color="000000" w:sz="4"/>
                  </w:tcBorders>
                </w:tcP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7、全血低切相对指数</w:t>
                  </w:r>
                </w:p>
              </w:tc>
              <w:tc>
                <w:tcPr>
                  <w:tcW w:type="dxa" w:w="1770"/>
                  <w:vMerge/>
                  <w:tcBorders>
                    <w:top w:val="single" w:color="000000" w:sz="4"/>
                    <w:left w:val="none" w:color="000000" w:sz="4"/>
                    <w:bottom w:val="single" w:color="000000" w:sz="4"/>
                    <w:right w:val="single" w:color="000000" w:sz="4"/>
                  </w:tcBorders>
                </w:tcPr>
                <w:p/>
              </w:tc>
            </w:tr>
            <w:tr>
              <w:tc>
                <w:tcPr>
                  <w:tcW w:type="dxa" w:w="458"/>
                  <w:vMerge/>
                  <w:tcBorders>
                    <w:top w:val="none" w:color="000000" w:sz="4"/>
                    <w:left w:val="single" w:color="000000" w:sz="4"/>
                    <w:bottom w:val="single" w:color="000000" w:sz="4"/>
                    <w:right w:val="single" w:color="000000" w:sz="4"/>
                  </w:tcBorders>
                </w:tcP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8、全血高切相对指数</w:t>
                  </w:r>
                </w:p>
              </w:tc>
              <w:tc>
                <w:tcPr>
                  <w:tcW w:type="dxa" w:w="1770"/>
                  <w:vMerge/>
                  <w:tcBorders>
                    <w:top w:val="single" w:color="000000" w:sz="4"/>
                    <w:left w:val="none" w:color="000000" w:sz="4"/>
                    <w:bottom w:val="single" w:color="000000" w:sz="4"/>
                    <w:right w:val="single" w:color="000000" w:sz="4"/>
                  </w:tcBorders>
                </w:tcPr>
                <w:p/>
              </w:tc>
            </w:tr>
            <w:tr>
              <w:tc>
                <w:tcPr>
                  <w:tcW w:type="dxa" w:w="458"/>
                  <w:vMerge/>
                  <w:tcBorders>
                    <w:top w:val="none" w:color="000000" w:sz="4"/>
                    <w:left w:val="single" w:color="000000" w:sz="4"/>
                    <w:bottom w:val="single" w:color="000000" w:sz="4"/>
                    <w:right w:val="single" w:color="000000" w:sz="4"/>
                  </w:tcBorders>
                </w:tcP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9、红细胞压积</w:t>
                  </w:r>
                </w:p>
              </w:tc>
              <w:tc>
                <w:tcPr>
                  <w:tcW w:type="dxa" w:w="1770"/>
                  <w:vMerge/>
                  <w:tcBorders>
                    <w:top w:val="single" w:color="000000" w:sz="4"/>
                    <w:left w:val="none" w:color="000000" w:sz="4"/>
                    <w:bottom w:val="single" w:color="000000" w:sz="4"/>
                    <w:right w:val="single" w:color="000000" w:sz="4"/>
                  </w:tcBorders>
                </w:tcPr>
                <w:p/>
              </w:tc>
            </w:tr>
            <w:tr>
              <w:tc>
                <w:tcPr>
                  <w:tcW w:type="dxa" w:w="458"/>
                  <w:vMerge/>
                  <w:tcBorders>
                    <w:top w:val="none" w:color="000000" w:sz="4"/>
                    <w:left w:val="single" w:color="000000" w:sz="4"/>
                    <w:bottom w:val="single" w:color="000000" w:sz="4"/>
                    <w:right w:val="single" w:color="000000" w:sz="4"/>
                  </w:tcBorders>
                </w:tcP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10、血沉</w:t>
                  </w:r>
                </w:p>
              </w:tc>
              <w:tc>
                <w:tcPr>
                  <w:tcW w:type="dxa" w:w="1770"/>
                  <w:vMerge/>
                  <w:tcBorders>
                    <w:top w:val="single" w:color="000000" w:sz="4"/>
                    <w:left w:val="none" w:color="000000" w:sz="4"/>
                    <w:bottom w:val="single" w:color="000000" w:sz="4"/>
                    <w:right w:val="single" w:color="000000" w:sz="4"/>
                  </w:tcBorders>
                </w:tcPr>
                <w:p/>
              </w:tc>
            </w:tr>
            <w:tr>
              <w:tc>
                <w:tcPr>
                  <w:tcW w:type="dxa" w:w="458"/>
                  <w:vMerge/>
                  <w:tcBorders>
                    <w:top w:val="none" w:color="000000" w:sz="4"/>
                    <w:left w:val="single" w:color="000000" w:sz="4"/>
                    <w:bottom w:val="single" w:color="000000" w:sz="4"/>
                    <w:right w:val="single" w:color="000000" w:sz="4"/>
                  </w:tcBorders>
                </w:tcP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11、血浆粘度</w:t>
                  </w:r>
                </w:p>
              </w:tc>
              <w:tc>
                <w:tcPr>
                  <w:tcW w:type="dxa" w:w="1770"/>
                  <w:vMerge/>
                  <w:tcBorders>
                    <w:top w:val="single" w:color="000000" w:sz="4"/>
                    <w:left w:val="none" w:color="000000" w:sz="4"/>
                    <w:bottom w:val="single" w:color="000000" w:sz="4"/>
                    <w:right w:val="single" w:color="000000" w:sz="4"/>
                  </w:tcBorders>
                </w:tcPr>
                <w:p/>
              </w:tc>
            </w:tr>
            <w:tr>
              <w:tc>
                <w:tcPr>
                  <w:tcW w:type="dxa" w:w="458"/>
                  <w:vMerge/>
                  <w:tcBorders>
                    <w:top w:val="none" w:color="000000" w:sz="4"/>
                    <w:left w:val="single" w:color="000000" w:sz="4"/>
                    <w:bottom w:val="single" w:color="000000" w:sz="4"/>
                    <w:right w:val="single" w:color="000000" w:sz="4"/>
                  </w:tcBorders>
                </w:tcP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12、全血粘度高切</w:t>
                  </w:r>
                </w:p>
              </w:tc>
              <w:tc>
                <w:tcPr>
                  <w:tcW w:type="dxa" w:w="1770"/>
                  <w:vMerge/>
                  <w:tcBorders>
                    <w:top w:val="single" w:color="000000" w:sz="4"/>
                    <w:left w:val="none" w:color="000000" w:sz="4"/>
                    <w:bottom w:val="single" w:color="000000" w:sz="4"/>
                    <w:right w:val="single" w:color="000000" w:sz="4"/>
                  </w:tcBorders>
                </w:tcPr>
                <w:p/>
              </w:tc>
            </w:tr>
            <w:tr>
              <w:tc>
                <w:tcPr>
                  <w:tcW w:type="dxa" w:w="458"/>
                  <w:vMerge/>
                  <w:tcBorders>
                    <w:top w:val="none" w:color="000000" w:sz="4"/>
                    <w:left w:val="single" w:color="000000" w:sz="4"/>
                    <w:bottom w:val="single" w:color="000000" w:sz="4"/>
                    <w:right w:val="single" w:color="000000" w:sz="4"/>
                  </w:tcBorders>
                </w:tcP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13、全血粘度中切</w:t>
                  </w:r>
                </w:p>
              </w:tc>
              <w:tc>
                <w:tcPr>
                  <w:tcW w:type="dxa" w:w="1770"/>
                  <w:vMerge/>
                  <w:tcBorders>
                    <w:top w:val="single" w:color="000000" w:sz="4"/>
                    <w:left w:val="none" w:color="000000" w:sz="4"/>
                    <w:bottom w:val="single" w:color="000000" w:sz="4"/>
                    <w:right w:val="single" w:color="000000" w:sz="4"/>
                  </w:tcBorders>
                </w:tcPr>
                <w:p/>
              </w:tc>
            </w:tr>
            <w:tr>
              <w:tc>
                <w:tcPr>
                  <w:tcW w:type="dxa" w:w="458"/>
                  <w:vMerge/>
                  <w:tcBorders>
                    <w:top w:val="none" w:color="000000" w:sz="4"/>
                    <w:left w:val="single" w:color="000000" w:sz="4"/>
                    <w:bottom w:val="single" w:color="000000" w:sz="4"/>
                    <w:right w:val="single" w:color="000000" w:sz="4"/>
                  </w:tcBorders>
                </w:tcP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14、全血粘度低切</w:t>
                  </w:r>
                </w:p>
              </w:tc>
              <w:tc>
                <w:tcPr>
                  <w:tcW w:type="dxa" w:w="1770"/>
                  <w:vMerge/>
                  <w:tcBorders>
                    <w:top w:val="single" w:color="000000" w:sz="4"/>
                    <w:left w:val="none" w:color="000000" w:sz="4"/>
                    <w:bottom w:val="single" w:color="000000" w:sz="4"/>
                    <w:right w:val="single" w:color="000000" w:sz="4"/>
                  </w:tcBorders>
                </w:tcPr>
                <w:p/>
              </w:tc>
            </w:tr>
            <w:tr>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空腹血糖</w:t>
                  </w:r>
                </w:p>
              </w:tc>
              <w:tc>
                <w:tcPr>
                  <w:tcW w:type="dxa" w:w="208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检查糖代谢情况，有无糖尿病或低血糖症。</w:t>
                  </w:r>
                </w:p>
              </w:tc>
            </w:tr>
            <w:tr>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尿素碳</w:t>
                  </w:r>
                  <w:r>
                    <w:rPr>
                      <w:rFonts w:ascii="仿宋_GB2312" w:hAnsi="仿宋_GB2312" w:cs="仿宋_GB2312" w:eastAsia="仿宋_GB2312"/>
                      <w:sz w:val="21"/>
                    </w:rPr>
                    <w:t>14呼吸试验检测</w:t>
                  </w:r>
                </w:p>
              </w:tc>
              <w:tc>
                <w:tcPr>
                  <w:tcW w:type="dxa" w:w="208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尿素碳</w:t>
                  </w:r>
                  <w:r>
                    <w:rPr>
                      <w:rFonts w:ascii="仿宋_GB2312" w:hAnsi="仿宋_GB2312" w:cs="仿宋_GB2312" w:eastAsia="仿宋_GB2312"/>
                      <w:sz w:val="21"/>
                    </w:rPr>
                    <w:t>14呼吸试验是最敏感、特异性最高、无创、可定性和定量的检测胃幽门螺杆菌感染的与否。（此菌与久治不愈的胃炎、溃疡病有关，并确认是人类患胃癌的Ⅰ类致癌原）</w:t>
                  </w:r>
                </w:p>
              </w:tc>
            </w:tr>
            <w:tr>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乙肝五项</w:t>
                  </w:r>
                </w:p>
              </w:tc>
              <w:tc>
                <w:tcPr>
                  <w:tcW w:type="dxa" w:w="208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有无乙型肝炎病毒感染、是否产生抗体及是否注射乙肝疫苗。</w:t>
                  </w:r>
                </w:p>
              </w:tc>
            </w:tr>
            <w:tr>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糖化血红蛋白</w:t>
                  </w:r>
                </w:p>
              </w:tc>
              <w:tc>
                <w:tcPr>
                  <w:tcW w:type="dxa" w:w="208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反应采血前</w:t>
                  </w:r>
                  <w:r>
                    <w:rPr>
                      <w:rFonts w:ascii="仿宋_GB2312" w:hAnsi="仿宋_GB2312" w:cs="仿宋_GB2312" w:eastAsia="仿宋_GB2312"/>
                      <w:sz w:val="21"/>
                    </w:rPr>
                    <w:t>2—3个月的总体血糖水平。糖尿病的诊断，监测项目及疗效观察</w:t>
                  </w:r>
                </w:p>
              </w:tc>
            </w:tr>
            <w:tr>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心肌酶谱检测</w:t>
                  </w:r>
                </w:p>
              </w:tc>
              <w:tc>
                <w:tcPr>
                  <w:tcW w:type="dxa" w:w="208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心肌炎、心梗等疾病的生化检测指标（</w:t>
                  </w:r>
                  <w:r>
                    <w:rPr>
                      <w:rFonts w:ascii="仿宋_GB2312" w:hAnsi="仿宋_GB2312" w:cs="仿宋_GB2312" w:eastAsia="仿宋_GB2312"/>
                      <w:sz w:val="21"/>
                    </w:rPr>
                    <w:t>CK 、LDH  AST、CK—MB、ａ-HBDH）</w:t>
                  </w:r>
                </w:p>
              </w:tc>
            </w:tr>
            <w:tr>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C反应蛋白</w:t>
                  </w:r>
                </w:p>
              </w:tc>
              <w:tc>
                <w:tcPr>
                  <w:tcW w:type="dxa" w:w="208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用于细菌感染引发的急、慢性炎症参考。自身免疫性疾病及并发症感染的鉴别</w:t>
                  </w:r>
                </w:p>
              </w:tc>
            </w:tr>
            <w:tr>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超敏</w:t>
                  </w:r>
                  <w:r>
                    <w:rPr>
                      <w:rFonts w:ascii="仿宋_GB2312" w:hAnsi="仿宋_GB2312" w:cs="仿宋_GB2312" w:eastAsia="仿宋_GB2312"/>
                      <w:sz w:val="21"/>
                    </w:rPr>
                    <w:t>C反应蛋白</w:t>
                  </w:r>
                </w:p>
              </w:tc>
              <w:tc>
                <w:tcPr>
                  <w:tcW w:type="dxa" w:w="208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心脑血管风险预测指标。用于心脑血管疾病诊断、观察及预后</w:t>
                  </w:r>
                </w:p>
              </w:tc>
            </w:tr>
            <w:tr>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同型半胱氨酸</w:t>
                  </w:r>
                </w:p>
              </w:tc>
              <w:tc>
                <w:tcPr>
                  <w:tcW w:type="dxa" w:w="208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预测健康人群未来冠心病的发生。早期发现亚健康人群血管粥样斑块的形成及稳定性。判断冠心病患者</w:t>
                  </w:r>
                  <w:r>
                    <w:rPr>
                      <w:rFonts w:ascii="仿宋_GB2312" w:hAnsi="仿宋_GB2312" w:cs="仿宋_GB2312" w:eastAsia="仿宋_GB2312"/>
                      <w:sz w:val="21"/>
                    </w:rPr>
                    <w:t>6个月内心肌梗死的风险</w:t>
                  </w:r>
                </w:p>
              </w:tc>
            </w:tr>
            <w:tr>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胃功能三项检测</w:t>
                  </w:r>
                </w:p>
              </w:tc>
              <w:tc>
                <w:tcPr>
                  <w:tcW w:type="dxa" w:w="208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了解胃粘膜状态和功能，筛查胃部重大疾病</w:t>
                  </w:r>
                </w:p>
              </w:tc>
            </w:tr>
            <w:tr>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甲功三项</w:t>
                  </w:r>
                </w:p>
              </w:tc>
              <w:tc>
                <w:tcPr>
                  <w:tcW w:type="dxa" w:w="208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了解甲状腺功能，鉴别免疫性疾病、指导治疗。（</w:t>
                  </w:r>
                  <w:r>
                    <w:rPr>
                      <w:rFonts w:ascii="仿宋_GB2312" w:hAnsi="仿宋_GB2312" w:cs="仿宋_GB2312" w:eastAsia="仿宋_GB2312"/>
                      <w:sz w:val="21"/>
                    </w:rPr>
                    <w:t>T3、T4、TSH）</w:t>
                  </w:r>
                </w:p>
              </w:tc>
            </w:tr>
            <w:tr>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甲胎蛋白（定量）</w:t>
                  </w:r>
                  <w:r>
                    <w:rPr>
                      <w:rFonts w:ascii="仿宋_GB2312" w:hAnsi="仿宋_GB2312" w:cs="仿宋_GB2312" w:eastAsia="仿宋_GB2312"/>
                      <w:sz w:val="21"/>
                    </w:rPr>
                    <w:t xml:space="preserve">                                   </w:t>
                  </w:r>
                </w:p>
              </w:tc>
              <w:tc>
                <w:tcPr>
                  <w:tcW w:type="dxa" w:w="208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筛查病毒性肝炎、肝癌、肝硬化等疾病，是原发性肝癌的标志物检查</w:t>
                  </w:r>
                </w:p>
              </w:tc>
            </w:tr>
            <w:tr>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癌胚抗原（定量）</w:t>
                  </w:r>
                  <w:r>
                    <w:rPr>
                      <w:rFonts w:ascii="仿宋_GB2312" w:hAnsi="仿宋_GB2312" w:cs="仿宋_GB2312" w:eastAsia="仿宋_GB2312"/>
                      <w:sz w:val="21"/>
                    </w:rPr>
                    <w:t xml:space="preserve">                                      </w:t>
                  </w:r>
                </w:p>
              </w:tc>
              <w:tc>
                <w:tcPr>
                  <w:tcW w:type="dxa" w:w="208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筛查胃癌、胆囊癌、结肠癌、直肠癌的标志物检查。</w:t>
                  </w:r>
                </w:p>
              </w:tc>
            </w:tr>
            <w:tr>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铁蛋白</w:t>
                  </w:r>
                </w:p>
              </w:tc>
              <w:tc>
                <w:tcPr>
                  <w:tcW w:type="dxa" w:w="208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贫血、肝功能异常，筛查肝癌等</w:t>
                  </w:r>
                </w:p>
              </w:tc>
            </w:tr>
            <w:tr>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糖类抗原</w:t>
                  </w:r>
                  <w:r>
                    <w:rPr>
                      <w:rFonts w:ascii="仿宋_GB2312" w:hAnsi="仿宋_GB2312" w:cs="仿宋_GB2312" w:eastAsia="仿宋_GB2312"/>
                      <w:sz w:val="21"/>
                    </w:rPr>
                    <w:t xml:space="preserve">CA19-9测定                                      </w:t>
                  </w:r>
                </w:p>
              </w:tc>
              <w:tc>
                <w:tcPr>
                  <w:tcW w:type="dxa" w:w="208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是糖抗原的一种，增高多提示有胰腺炎、肝硬化、糖尿病、消化道肿瘤的可能</w:t>
                  </w:r>
                </w:p>
              </w:tc>
            </w:tr>
            <w:tr>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总前列腺特异性抗原</w:t>
                  </w:r>
                  <w:r>
                    <w:rPr>
                      <w:rFonts w:ascii="仿宋_GB2312" w:hAnsi="仿宋_GB2312" w:cs="仿宋_GB2312" w:eastAsia="仿宋_GB2312"/>
                      <w:sz w:val="21"/>
                    </w:rPr>
                    <w:t>F-PSA（定量）</w:t>
                  </w:r>
                </w:p>
              </w:tc>
              <w:tc>
                <w:tcPr>
                  <w:tcW w:type="dxa" w:w="208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筛查前列腺肿瘤。</w:t>
                  </w:r>
                </w:p>
              </w:tc>
            </w:tr>
            <w:tr>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前列腺特异抗原（定量）</w:t>
                  </w:r>
                </w:p>
              </w:tc>
              <w:tc>
                <w:tcPr>
                  <w:tcW w:type="dxa" w:w="208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筛查前列腺肿瘤。</w:t>
                  </w:r>
                </w:p>
              </w:tc>
            </w:tr>
            <w:tr>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糖类抗原</w:t>
                  </w:r>
                  <w:r>
                    <w:rPr>
                      <w:rFonts w:ascii="仿宋_GB2312" w:hAnsi="仿宋_GB2312" w:cs="仿宋_GB2312" w:eastAsia="仿宋_GB2312"/>
                      <w:sz w:val="21"/>
                    </w:rPr>
                    <w:t xml:space="preserve">CA12-5测定                                                  </w:t>
                  </w:r>
                </w:p>
              </w:tc>
              <w:tc>
                <w:tcPr>
                  <w:tcW w:type="dxa" w:w="208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不仅是卵巢癌的特异性标志物，输卵管腺癌、子宫内膜癌、宫颈癌、胰腺癌、肠癌、乳腺癌和肺癌患者</w:t>
                  </w:r>
                  <w:r>
                    <w:rPr>
                      <w:rFonts w:ascii="仿宋_GB2312" w:hAnsi="仿宋_GB2312" w:cs="仿宋_GB2312" w:eastAsia="仿宋_GB2312"/>
                      <w:sz w:val="21"/>
                    </w:rPr>
                    <w:t>CA125的水平也会升高。</w:t>
                  </w:r>
                </w:p>
              </w:tc>
            </w:tr>
            <w:tr>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糖类抗原</w:t>
                  </w:r>
                  <w:r>
                    <w:rPr>
                      <w:rFonts w:ascii="仿宋_GB2312" w:hAnsi="仿宋_GB2312" w:cs="仿宋_GB2312" w:eastAsia="仿宋_GB2312"/>
                      <w:sz w:val="21"/>
                    </w:rPr>
                    <w:t xml:space="preserve">CA15-3测定                                         </w:t>
                  </w:r>
                </w:p>
              </w:tc>
              <w:tc>
                <w:tcPr>
                  <w:tcW w:type="dxa" w:w="208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是一种乳腺癌相关抗原，对乳腺癌的诊断和术后随访有一定的价值。乳腺癌常有</w:t>
                  </w:r>
                  <w:r>
                    <w:rPr>
                      <w:rFonts w:ascii="仿宋_GB2312" w:hAnsi="仿宋_GB2312" w:cs="仿宋_GB2312" w:eastAsia="仿宋_GB2312"/>
                      <w:sz w:val="21"/>
                    </w:rPr>
                    <w:t>CA153升高，在乳腺癌初期敏感性较低，约60%。转移性乳腺癌的阳性率可达80%。在欧洲，CA153常用来作为乳腺癌辅助诊断指标，也是用于术后随访，监测肿瘤复发，转移的指标。</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b/>
              </w:rPr>
              <w:t>供应商报价时必须按照单价</w:t>
            </w:r>
            <w:r>
              <w:rPr>
                <w:rFonts w:ascii="仿宋_GB2312" w:hAnsi="仿宋_GB2312" w:cs="仿宋_GB2312" w:eastAsia="仿宋_GB2312"/>
                <w:sz w:val="21"/>
                <w:b/>
              </w:rPr>
              <w:t>1000元/人进行报价，如有其他报价按无效报价处理。本项目为固定单价合同（固定单价合同按照实际体检人数据实按每人1000元结算）。</w:t>
            </w:r>
          </w:p>
          <w:p>
            <w:pPr>
              <w:pStyle w:val="null3"/>
            </w:pPr>
            <w:r>
              <w:rPr>
                <w:rFonts w:ascii="仿宋_GB2312" w:hAnsi="仿宋_GB2312" w:cs="仿宋_GB2312" w:eastAsia="仿宋_GB2312"/>
                <w:sz w:val="21"/>
              </w:rPr>
              <w:t>磋商最终报价应是完成磋商内容所需的全部费用，包括但不限于：体检服务所发生的劳务费用、管理费用、运输费用、人员工资、材料费用、水电费用、风险费用、招标代理服务费、利润、税金以及本次服务的体检项目所需的一次性消耗品、检查仪器、人员、运输等所有费用等在内的一切费用。要求的其他相关费用以本竞争性磋商文件的内容和要求作为磋商依据。</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各检查项目的科室应配备副主任及以上职称人员做为各检查项目科室的负责人员，并且在服务期内本人应在体检服务现场为离退休教职工进行体检。</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仪器设备包括但不限于以下内容：①彩超仪器设备； ②心电图仪器设备； ③CT机设备； ④血液检测设备。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1、供应商应针对离退休教职工人群安排VIP专场体检服务； 2、供应商应提供免费车接车送服务。考虑到离退休职工家属区较分散，供应商须安排每个家属区专车接送（不少于2~3次，具体次数及时间安排以采购人通知为准），若约定时间专车的入座率未达到约定人数，待采购人负责人落实无误后正常出车，不得因为体检人数少而不出车或者变更车辆、体检时间等； 3、考虑到本项目体检人员均为离退休教职工，年龄较长、身体可能的突发因素较多，供应商须在专车及体检场所配备专业且经培训的急救人员3名，以及提供必备的急救措施及相关设备； 4、本项目离退休教职工人数预估923人，采购人不对具体人数做出承诺，本项目根据实际体检人数及单价进行结算； 5、体检结果纳入相关档案存储系统管理保存，体检者可以随时电话查询健康档案，档案需准确无误； 6、体检结束后10个工作日内，以纸质报告形式保存由专人对体检报告进行分类整理，体检书面报告包括专家结论及整体健康评估报告，体检报告袋密封，以保护个人隐私，并保证体检结果不外泄，最终体检报告统一由供应商送至采购人指定处； 7、供应商须选派责任心强，医技水平好的医生负责体检工作，参加体检的医生具有副主任医师以上职称； 8、体检结束后须进行健康追踪，对存在健康隐患的人员给予就医指导帮助且定期追踪其健康状况；对体检结果有异常者提供专家预约、就诊、住院绿色通道；对体检发现的危急重症患者提供急救及转诊绿色通道； 9、当日体检结束后提供免费早餐； 10、体检过程中如遇设备故障应启动应急预案。应配备导检人员，为受检员工提供体检上的便利， 提供优质高效的健康管理服务。 11、每次安排体检的具体时间及具体人次须跟采购人提前协商，根据采购人要求的时间安排执行项目检查；未按时参加人员可与采购人协商决定，适当延迟； 12、供应商须承诺若体检人员无法或主动放弃某体检项目，则须为其替换其他项目（至少为同等价位项目）。</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详见合同约定内容。</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①如乙方为非中小企业时： 甲方全部体检人员体检完毕之日起10个工作日内，乙方向甲方提供已完成的体检人数结算表及整体体检情况报告等相关资料，待甲方审核确认后15个工作日内一次性向乙方办理费用的支付手续。 乙方须在甲方办理付款手续之前提供等额的正式发票及全部体检人员清单给甲方，以便甲方及时办理支付手续。 ②如乙方为中小企业时： 乙方为中小型企业（需提供中小型企业说明函），支付方式如下： 1）合同签订后30天内，甲方向乙方支付合同总价款40%作为预付款，乙方需提供相关收款依据。 2）甲方全部体检人员体检完毕之日起10个工作日，乙方向甲方提供已完成的体检人数结算表及整体体检情况报告等相关资料，待甲方审核确认后15个工作日内向乙方支付合同总价款的60%。 乙方须在甲方办理付款手续之前提供等额的正式发票及全部体检人员清单给甲方，以便甲方及时办理支付手续。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执行合同相关条款</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1.各供应商应根据“陕西省财政厅陕财办采函[2023]14号文”陕西省财政厅关于省级预算单位全面推行 政府采购项目电子化交易的通知”、《政府采购项目电子化交易规则》等文件的要求，做好人员配备 、设施设备、系统操作的相应准备，熟悉并正确实施相关操作流程，承担由于操作或其他因素造成的不利后果；2.中标供应商在领取中标通知书后3个工作日内向采购代理机构提供纸质版投标（或响应）文件正本1份、副本1份。纸质投标文件建议A4纸双面打印，装订成册并编制目录和页码，并加盖公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1）具有独立承担民事责任的能力 提供注册登记凭证（营业执照、其他组织经营的合法凭证，自然人的提供身份证明文件）。 2）具有良好的商业信誉和健全的财务会计制度 提供经审计的2024年具有注册会计师行业统一监管平台出具赋码的财务报告（包括四表一注，即资产负债表、利润表、现金流量表、所有者权益变动表及其附注），且无反对意见；事业法人提供部门决算报告；/或在磋商日期前六个月内其基本开户银行出具的资信证明（附基本存款账户信息等证明材料）；/或专业担保机构出具的磋商担保函；/或表明具有良好的商业信誉和健全的财务会计制度的诚信声明；以上四种形式的资料提供任何一种即可。 3）具有履行合同所必需的设备和专业技术能力 提供声明文件。 4）具有依法缴纳税收的良好记录 提供缴费所属日期为磋商截止时间前6个月内任一月份（磋商截止时间当月不计入）的缴费凭据或税务机关出具的完税证明或（在法规范围内不需提供的应出具书面说明和证明文件）/或具有依法缴纳税收的诚信声明。以上二种形式的资料提供任何一种即可。 5）具有依法缴纳社会保障资金的良好记录 提供缴费所属日期为磋商截止时间前6个月内任一月份（磋商截止时间当月不计入）的缴费凭据或社保机关出具的缴费证明（在法规范围内不需提供的应出具书面说明和证明文件）；/或具有依法缴纳社会保障资金的缴纳记录的诚信声明。 以上二种形式的资料提供任何一种即可。 6）参加政府采购活动前3年内在经营活动中没有重大违法记录的书面声明。 7）法定代表人身份证明文件及法人代表授权书。</w:t>
            </w:r>
          </w:p>
        </w:tc>
        <w:tc>
          <w:tcPr>
            <w:tcW w:type="dxa" w:w="1661"/>
          </w:tcPr>
          <w:p>
            <w:pPr>
              <w:pStyle w:val="null3"/>
            </w:pPr>
            <w:r>
              <w:rPr>
                <w:rFonts w:ascii="仿宋_GB2312" w:hAnsi="仿宋_GB2312" w:cs="仿宋_GB2312" w:eastAsia="仿宋_GB2312"/>
              </w:rPr>
              <w:t>中小企业声明函 残疾人福利性单位声明函 响应函 资格证明文件.docx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本项目的特定资格要求</w:t>
            </w:r>
          </w:p>
        </w:tc>
        <w:tc>
          <w:tcPr>
            <w:tcW w:type="dxa" w:w="3322"/>
          </w:tcPr>
          <w:p>
            <w:pPr>
              <w:pStyle w:val="null3"/>
            </w:pPr>
            <w:r>
              <w:rPr>
                <w:rFonts w:ascii="仿宋_GB2312" w:hAnsi="仿宋_GB2312" w:cs="仿宋_GB2312" w:eastAsia="仿宋_GB2312"/>
              </w:rPr>
              <w:t>供应商具有卫生行政部门核准登记取得的《医疗机构执业许可证》和《放射诊疗许可证》。</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磋商小组认为供应商的报价明显低于其他通过符合性审查供应商的报价，有可能影响服务质量或者不能诚信履约的，将要求其在评标现场合理的时间内提供书面说明，必要时提交相关证明材料；供应商不能证明其报价合理性的，磋商小组应当将其作为无效投标处理。 1.1政府采购评审中出现下列情形之一的，磋商小组应当启动异常低价投标(响应)审查程序： 1.1.1投标(响应)报价低于全部通过符合性审查供应商投标(响应)报价平均值50%的，即 投标(响应)报价&lt;全部通过符合性审查供应商投标(响应)报价平均值×50%; 1.1.2 投标(响应)报价低于通过符合性审查的次低报价供应商投标(响应)报价50%的，即 投标(响应)报价&lt;通过符合性审查的次低报价供应商投标(响应)报价×50%; 1.1.3 投标(响应)报价低于采购项目最高限价45%的，即投标(响应)报价&lt;采购项目最高限价×45%; 1.1.4 磋商小组基于专业判断，认为供应商报价过低，有可能影响产品质量或者不能诚信 履约的其他情形。 1.2 磋商小组启动异常低价投标(响应)审查后，属于前述第1项至第4项情形的，相关供应商在评审现场合理的时间（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1.3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磋商响应文件的完整性、有效性、 响应性审查</w:t>
            </w:r>
          </w:p>
        </w:tc>
        <w:tc>
          <w:tcPr>
            <w:tcW w:type="dxa" w:w="3322"/>
          </w:tcPr>
          <w:p>
            <w:pPr>
              <w:pStyle w:val="null3"/>
            </w:pPr>
            <w:r>
              <w:rPr>
                <w:rFonts w:ascii="仿宋_GB2312" w:hAnsi="仿宋_GB2312" w:cs="仿宋_GB2312" w:eastAsia="仿宋_GB2312"/>
              </w:rPr>
              <w:t>响应文件是否按照磋商文件要求的格式编写，响应文件的签署、加盖印章是否合格、有效，磋商报价是否未超过采购预算或最高限价，磋商报价有效期是否符合磋商文件的要求，是否完全满足磋商文件所要求的合同及商务条款。</w:t>
            </w:r>
          </w:p>
        </w:tc>
        <w:tc>
          <w:tcPr>
            <w:tcW w:type="dxa" w:w="1661"/>
          </w:tcPr>
          <w:p>
            <w:pPr>
              <w:pStyle w:val="null3"/>
            </w:pPr>
            <w:r>
              <w:rPr>
                <w:rFonts w:ascii="仿宋_GB2312" w:hAnsi="仿宋_GB2312" w:cs="仿宋_GB2312" w:eastAsia="仿宋_GB2312"/>
              </w:rPr>
              <w:t>响应文件封面 磋商报价表.docx 服务内容及服务邀请应答表.docx 商务应答表.docx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评审得分相同的，按照技术指标优劣顺序推荐。</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服务响应</w:t>
            </w:r>
          </w:p>
        </w:tc>
        <w:tc>
          <w:tcPr>
            <w:tcW w:type="dxa" w:w="2492"/>
          </w:tcPr>
          <w:p>
            <w:pPr>
              <w:pStyle w:val="null3"/>
            </w:pPr>
            <w:r>
              <w:rPr>
                <w:rFonts w:ascii="仿宋_GB2312" w:hAnsi="仿宋_GB2312" w:cs="仿宋_GB2312" w:eastAsia="仿宋_GB2312"/>
              </w:rPr>
              <w:t>就本项目第三章 磋商项目技术、服务、商务及其他要求”中“3.2.5其他要求”的相关内容 ，供应商完全满足采购文件要求得10分；每负偏离一项扣1分，扣完为止，不计负分。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技术响应资料.docx</w:t>
            </w:r>
          </w:p>
        </w:tc>
      </w:tr>
      <w:tr>
        <w:tc>
          <w:tcPr>
            <w:tcW w:type="dxa" w:w="831"/>
            <w:vMerge/>
          </w:tcPr>
          <w:p/>
        </w:tc>
        <w:tc>
          <w:tcPr>
            <w:tcW w:type="dxa" w:w="1661"/>
          </w:tcPr>
          <w:p>
            <w:pPr>
              <w:pStyle w:val="null3"/>
            </w:pPr>
            <w:r>
              <w:rPr>
                <w:rFonts w:ascii="仿宋_GB2312" w:hAnsi="仿宋_GB2312" w:cs="仿宋_GB2312" w:eastAsia="仿宋_GB2312"/>
              </w:rPr>
              <w:t>服务项目</w:t>
            </w:r>
          </w:p>
        </w:tc>
        <w:tc>
          <w:tcPr>
            <w:tcW w:type="dxa" w:w="2492"/>
          </w:tcPr>
          <w:p>
            <w:pPr>
              <w:pStyle w:val="null3"/>
            </w:pPr>
            <w:r>
              <w:rPr>
                <w:rFonts w:ascii="仿宋_GB2312" w:hAnsi="仿宋_GB2312" w:cs="仿宋_GB2312" w:eastAsia="仿宋_GB2312"/>
              </w:rPr>
              <w:t>能够响应全部体检项目的，得10分；每少提供一项扣0.5分，扣完为止；能够提供磋商文件所列出的体检项目之外的项目，每提供一项加1分，最多加5分。（提供磋商文件所列出的体检项目之外的项目，须经评审专家认定具有实际意义，方可加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技术响应资料.docx</w:t>
            </w:r>
          </w:p>
          <w:p>
            <w:pPr>
              <w:pStyle w:val="null3"/>
            </w:pPr>
            <w:r>
              <w:rPr>
                <w:rFonts w:ascii="仿宋_GB2312" w:hAnsi="仿宋_GB2312" w:cs="仿宋_GB2312" w:eastAsia="仿宋_GB2312"/>
              </w:rPr>
              <w:t>服务内容及服务邀请应答表.docx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供应商针对本项目提供详细的实施方案，需充分结合项目实际情况，满足采购需求，方案内容完整、具体、可行、科学合理。 包含但不限于：1.体检流程；2.具体场次安排；3.体检实施时的引导及陪护；4.体检结果质量保证措施；5.体检发现疾病疾病的后续服务；6.健康管理建议；7.健康风险评估；8.人员接送；9.早餐派发。 1、评审标准： ①全面性:内容完整、全面，包括所有评审内容，无遗漏; ②详细性:内容详细,针对每一评审内容能够有明确具体的描述和说明; ③合理性:内容合理,准确，符合项目实际情况，有利于项目的实施。 2、赋分标准：每一项评审内容满足每一项评审标准的得1分，最多得3分。每一项内容相对每一项评审标准存在一处漏洞或缺陷扣0.3-0.5分，3分扣完为止。未提供相关评审内容的，该项得0分。 说明：内容存在漏洞或缺陷是指出现下列任一种情形： 1）套用其他项目方案，或非专门针对本项目或不适用项目特性； 2）方案表述不完整或缺少关键节点； 3）方案欠缺科学性、合理性或可行性； 4）方案表述前后矛盾、无连贯性或内容存在逻辑漏洞、常识性错误； 5）方案所涉及的规范及标准错误； 6）不利于项目实施的其他情形。</w:t>
            </w:r>
          </w:p>
        </w:tc>
        <w:tc>
          <w:tcPr>
            <w:tcW w:type="dxa" w:w="831"/>
          </w:tcPr>
          <w:p>
            <w:pPr>
              <w:pStyle w:val="null3"/>
              <w:jc w:val="right"/>
            </w:pPr>
            <w:r>
              <w:rPr>
                <w:rFonts w:ascii="仿宋_GB2312" w:hAnsi="仿宋_GB2312" w:cs="仿宋_GB2312" w:eastAsia="仿宋_GB2312"/>
              </w:rPr>
              <w:t>27.0000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技术响应资料.docx</w:t>
            </w:r>
          </w:p>
        </w:tc>
      </w:tr>
      <w:tr>
        <w:tc>
          <w:tcPr>
            <w:tcW w:type="dxa" w:w="831"/>
            <w:vMerge/>
          </w:tcPr>
          <w:p/>
        </w:tc>
        <w:tc>
          <w:tcPr>
            <w:tcW w:type="dxa" w:w="1661"/>
          </w:tcPr>
          <w:p>
            <w:pPr>
              <w:pStyle w:val="null3"/>
            </w:pPr>
            <w:r>
              <w:rPr>
                <w:rFonts w:ascii="仿宋_GB2312" w:hAnsi="仿宋_GB2312" w:cs="仿宋_GB2312" w:eastAsia="仿宋_GB2312"/>
              </w:rPr>
              <w:t>体检设备</w:t>
            </w:r>
          </w:p>
        </w:tc>
        <w:tc>
          <w:tcPr>
            <w:tcW w:type="dxa" w:w="2492"/>
          </w:tcPr>
          <w:p>
            <w:pPr>
              <w:pStyle w:val="null3"/>
            </w:pPr>
            <w:r>
              <w:rPr>
                <w:rFonts w:ascii="仿宋_GB2312" w:hAnsi="仿宋_GB2312" w:cs="仿宋_GB2312" w:eastAsia="仿宋_GB2312"/>
              </w:rPr>
              <w:t>供应商提供针对本项目拟投入的体检设备，包含但不限于：1.检测仪器、2试剂耗材。 1、评审标准： ①全面性:内容完整、全面，包括所有评审内容，无遗漏； ②详细性:内容详细,针对每一评审内容能够有明确具体的描述和说明； ③合理性:内容合理,准确，符合项目实际情况，有利于项目的实施。 2、赋分标准：每一项评审内容满足每一项评审标准的得1.5分，最多得4.5分。每一项内容相对每一项评审标准存在一处漏洞或缺陷扣0.5-1分，4.5分扣完为止。未提供相关评审内容的，该项得0分。 说明：内容存在漏洞或缺陷是指出现下列任一种情形： 1）清单不完整或缺少关键内容描述； 2）欠缺科学性、合理性或可靠度不高； 3）技术成熟度低或技术不够先进；设备仪器陈旧落后； 4）其他不完善或不满足要求的情形。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技术响应资料.docx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供应商提供的服务承诺，包含但不限于1.免费的医疗咨询服务；2.健康追踪及就医绿色通道；3.档案信息化服务管理 1、评审标准： ①全面性:内容完整、全面，包括所有评审内容，无遗漏； ②详细性:内容详细,针对每一评审内容能够有明确具体的描述和说明； ③合理性:内容合理,准确，符合项目实际情况，有利于项目的实施。 2、赋分标准：每一项评审内容满足每-项评审标准的得1分，最多得3分。每一项内容相对每一项评审标准存在一处漏洞或缺陷扣0.3-0.5分，3分扣完为止。未提供相关评审内容的，该项得0分。 说明：内容存在漏洞或缺陷是指出现下列任一种情形： 1）套用其他项目内容，非专门针对本项目或不适用项目特性； 2）内容表述不完整，或前后不一致，或存在逻辑或内容错误； 3）可行性或实用性不强； 4）其他不合理、或不完善的情形。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技术响应资料.docx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涉及本次检查的科室每科≥2名副主任医师或副主任技师（或以上）得5分，每科[1-2）名副主任医师或副主任技师（或以上）得3分，否则不得分；（需提供副主任医师或副主任技师（或以上）证明材料，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技术响应资料.docx</w:t>
            </w:r>
          </w:p>
        </w:tc>
      </w:tr>
      <w:tr>
        <w:tc>
          <w:tcPr>
            <w:tcW w:type="dxa" w:w="831"/>
            <w:vMerge/>
          </w:tcPr>
          <w:p/>
        </w:tc>
        <w:tc>
          <w:tcPr>
            <w:tcW w:type="dxa" w:w="1661"/>
          </w:tcPr>
          <w:p>
            <w:pPr>
              <w:pStyle w:val="null3"/>
            </w:pPr>
            <w:r>
              <w:rPr>
                <w:rFonts w:ascii="仿宋_GB2312" w:hAnsi="仿宋_GB2312" w:cs="仿宋_GB2312" w:eastAsia="仿宋_GB2312"/>
              </w:rPr>
              <w:t>服务场所</w:t>
            </w:r>
          </w:p>
        </w:tc>
        <w:tc>
          <w:tcPr>
            <w:tcW w:type="dxa" w:w="2492"/>
          </w:tcPr>
          <w:p>
            <w:pPr>
              <w:pStyle w:val="null3"/>
            </w:pPr>
            <w:r>
              <w:rPr>
                <w:rFonts w:ascii="仿宋_GB2312" w:hAnsi="仿宋_GB2312" w:cs="仿宋_GB2312" w:eastAsia="仿宋_GB2312"/>
              </w:rPr>
              <w:t>供应商提供的服务场所证明材料（布局图、照片等），包含但不限于1.体检地点；2.环境及卫生状况；3.基本设施； 1、评审标准： ①全面性:内容完整、全面，包括所有评审内容，无遗漏； ②详细性:内容详细,针对每一评审内容能够有明确具体的证明材料； 2、赋分标准：每一项评审内容满足每-项评审标准的得1分，最多得2分。每一项内容相对每一项评审标准存在一处漏洞或缺陷扣0.3-0.5分，2分扣完为止。未提供相关评审内容的，该项得0分。 说明：内容存在漏洞或缺陷是指出现下列任一种情形： 1）套用其他项目内容，非专门针对本项目或不适用项目特性； 2）内容表述不完整，或前后不一致，或存在逻辑或内容错误； 3）可行性或实用性不强； 4）其他不合理、或不完善的情形。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技术响应资料.docx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供应商提供对体检信息的保密措施 1、评审标准： ①可行性:符合项目实际情况； ②详细性:内容详细,有明确具体的描述和说明； 2、赋分标准：满足每-项评审标准的得4分，最多得8分。每一项评审标准存在一处漏洞或缺陷扣0.5-1分，8分扣完为止。未提供相关评审内容的，该项得0分。 说明：内容存在漏洞或缺陷是指出现下列任一种情形： 1）套用其他项目内容，非专门针对本项目或不适用项目特性； 2）内容表述不完整，或前后不一致，或存在逻辑或内容错误； 3）可行性或实用性不强； 4）其他不合理、或不完善的情形。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技术响应资料.docx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供应商提供针对本项目的应急预案，包括但不限于①体检者因血糖、血压引起的身体不适或其他的应对处理；②仪器故障或因其他人力不可抗拒因素，导致未能按时出具检测报告的补救措施。 1、评审标准： ①全面性:内容完整、全面，包括所有评审内容，无遗漏; ②详细性:内容详细,针对每一评审内容能够有明确具体的描述和说明; ③合理性:内容合理,准确，符合项目实际情况，有利于项目的实施。 3、赋分标准：每一项评审内容满足每-项评审标准的得1分，最多得3分。每一项内容相对每一项评审标准存在一处漏洞或缺陷扣0.3-0.5分，3分扣完为止。未提供相关评审内容的，该项得0分。 说明：内容存在漏洞或缺陷是指出现下列任一种情形： 1）套用其他项目内容，非专门针对本项目或不适用项目特性； 2）内容表述不完整，或前后不一致，或存在逻辑或内容错误； 3）可行性或实用性不强； 4）其他不合理、不完善的情形。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技术响应资料.docx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供应商应提供2023年1月1日（以合同签定时间为准）以来同类业绩合同，每份得2分，满分10分。（以合同复印件加盖公章为准）。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详见附件：磋商报价表.docx</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详见附件：技术响应资料.docx</w:t>
      </w:r>
    </w:p>
    <w:p>
      <w:pPr>
        <w:pStyle w:val="null3"/>
        <w:ind w:firstLine="960"/>
      </w:pPr>
      <w:r>
        <w:rPr>
          <w:rFonts w:ascii="仿宋_GB2312" w:hAnsi="仿宋_GB2312" w:cs="仿宋_GB2312" w:eastAsia="仿宋_GB2312"/>
        </w:rPr>
        <w:t>详见附件：类似项目业绩一览表.docx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