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A5AAE">
      <w:pPr>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政府采购合同                        合同编号：</w:t>
      </w:r>
    </w:p>
    <w:p w14:paraId="40B9CFE8">
      <w:pPr>
        <w:pStyle w:val="3"/>
        <w:rPr>
          <w:rFonts w:hint="eastAsia" w:ascii="宋体" w:hAnsi="宋体" w:eastAsia="宋体" w:cs="宋体"/>
          <w:b/>
          <w:bCs/>
          <w:color w:val="auto"/>
          <w:sz w:val="30"/>
          <w:szCs w:val="30"/>
          <w:highlight w:val="none"/>
        </w:rPr>
      </w:pPr>
    </w:p>
    <w:p w14:paraId="6A94779D">
      <w:pPr>
        <w:pStyle w:val="3"/>
        <w:rPr>
          <w:rFonts w:hint="eastAsia" w:ascii="宋体" w:hAnsi="宋体" w:eastAsia="宋体" w:cs="宋体"/>
          <w:b/>
          <w:bCs/>
          <w:color w:val="auto"/>
          <w:sz w:val="30"/>
          <w:szCs w:val="30"/>
          <w:highlight w:val="none"/>
        </w:rPr>
      </w:pPr>
    </w:p>
    <w:p w14:paraId="605164D0">
      <w:pPr>
        <w:pStyle w:val="3"/>
        <w:rPr>
          <w:rFonts w:hint="eastAsia" w:ascii="宋体" w:hAnsi="宋体" w:eastAsia="宋体" w:cs="宋体"/>
          <w:color w:val="auto"/>
          <w:highlight w:val="none"/>
        </w:rPr>
      </w:pPr>
    </w:p>
    <w:p w14:paraId="58BB6AC2">
      <w:pPr>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u w:val="single"/>
        </w:rPr>
        <w:t xml:space="preserve">                           </w:t>
      </w:r>
      <w:r>
        <w:rPr>
          <w:rFonts w:hint="eastAsia" w:ascii="宋体" w:hAnsi="宋体" w:eastAsia="宋体" w:cs="宋体"/>
          <w:b/>
          <w:bCs/>
          <w:color w:val="auto"/>
          <w:sz w:val="44"/>
          <w:szCs w:val="44"/>
          <w:highlight w:val="none"/>
        </w:rPr>
        <w:t>采购项目</w:t>
      </w:r>
    </w:p>
    <w:p w14:paraId="48C6021C">
      <w:pPr>
        <w:rPr>
          <w:rFonts w:hint="eastAsia" w:ascii="宋体" w:hAnsi="宋体" w:eastAsia="宋体" w:cs="宋体"/>
          <w:color w:val="auto"/>
          <w:highlight w:val="none"/>
        </w:rPr>
      </w:pPr>
    </w:p>
    <w:p w14:paraId="26AAE9D9">
      <w:pPr>
        <w:rPr>
          <w:rFonts w:hint="eastAsia" w:ascii="宋体" w:hAnsi="宋体" w:eastAsia="宋体" w:cs="宋体"/>
          <w:color w:val="auto"/>
          <w:highlight w:val="none"/>
        </w:rPr>
      </w:pPr>
    </w:p>
    <w:p w14:paraId="15151A08">
      <w:pPr>
        <w:pStyle w:val="3"/>
        <w:jc w:val="center"/>
        <w:rPr>
          <w:rFonts w:hint="eastAsia" w:ascii="宋体" w:hAnsi="宋体" w:eastAsia="宋体" w:cs="宋体"/>
          <w:color w:val="auto"/>
          <w:highlight w:val="none"/>
        </w:rPr>
      </w:pPr>
      <w:r>
        <w:rPr>
          <w:rFonts w:hint="eastAsia" w:ascii="宋体" w:hAnsi="宋体" w:eastAsia="宋体" w:cs="宋体"/>
          <w:b/>
          <w:bCs/>
          <w:color w:val="auto"/>
          <w:kern w:val="2"/>
          <w:sz w:val="44"/>
          <w:szCs w:val="44"/>
          <w:highlight w:val="none"/>
          <w:lang w:val="en-US" w:eastAsia="zh-CN" w:bidi="ar-SA"/>
        </w:rPr>
        <w:t>采购合同</w:t>
      </w:r>
    </w:p>
    <w:p w14:paraId="5D650283">
      <w:pPr>
        <w:pStyle w:val="3"/>
        <w:rPr>
          <w:rFonts w:hint="eastAsia" w:ascii="宋体" w:hAnsi="宋体" w:eastAsia="宋体" w:cs="宋体"/>
          <w:color w:val="auto"/>
          <w:highlight w:val="none"/>
        </w:rPr>
      </w:pPr>
    </w:p>
    <w:p w14:paraId="1354C4A0">
      <w:pPr>
        <w:rPr>
          <w:rFonts w:hint="eastAsia" w:ascii="宋体" w:hAnsi="宋体" w:eastAsia="宋体" w:cs="宋体"/>
          <w:color w:val="auto"/>
          <w:highlight w:val="none"/>
        </w:rPr>
      </w:pPr>
    </w:p>
    <w:p w14:paraId="671E4AD2">
      <w:pPr>
        <w:rPr>
          <w:rFonts w:hint="eastAsia" w:ascii="宋体" w:hAnsi="宋体" w:eastAsia="宋体" w:cs="宋体"/>
          <w:color w:val="auto"/>
          <w:highlight w:val="none"/>
        </w:rPr>
      </w:pPr>
    </w:p>
    <w:p w14:paraId="3097D5A7">
      <w:pPr>
        <w:jc w:val="center"/>
        <w:rPr>
          <w:rFonts w:hint="eastAsia" w:ascii="宋体" w:hAnsi="宋体" w:eastAsia="宋体" w:cs="宋体"/>
          <w:b/>
          <w:color w:val="auto"/>
          <w:sz w:val="36"/>
          <w:szCs w:val="36"/>
          <w:highlight w:val="none"/>
        </w:rPr>
      </w:pPr>
    </w:p>
    <w:p w14:paraId="42F0A8B9">
      <w:pPr>
        <w:jc w:val="center"/>
        <w:rPr>
          <w:rFonts w:hint="eastAsia" w:ascii="宋体" w:hAnsi="宋体" w:eastAsia="宋体" w:cs="宋体"/>
          <w:b/>
          <w:color w:val="auto"/>
          <w:sz w:val="36"/>
          <w:szCs w:val="36"/>
          <w:highlight w:val="none"/>
        </w:rPr>
      </w:pPr>
    </w:p>
    <w:p w14:paraId="5D2CA8DD">
      <w:pPr>
        <w:jc w:val="center"/>
        <w:rPr>
          <w:rFonts w:hint="eastAsia" w:ascii="宋体" w:hAnsi="宋体" w:eastAsia="宋体" w:cs="宋体"/>
          <w:b/>
          <w:color w:val="auto"/>
          <w:sz w:val="36"/>
          <w:szCs w:val="36"/>
          <w:highlight w:val="none"/>
        </w:rPr>
      </w:pPr>
    </w:p>
    <w:p w14:paraId="4DBF338E">
      <w:pPr>
        <w:rPr>
          <w:rFonts w:hint="eastAsia" w:ascii="宋体" w:hAnsi="宋体" w:eastAsia="宋体" w:cs="宋体"/>
          <w:b/>
          <w:color w:val="auto"/>
          <w:sz w:val="36"/>
          <w:szCs w:val="36"/>
          <w:highlight w:val="none"/>
        </w:rPr>
      </w:pPr>
    </w:p>
    <w:p w14:paraId="0DB7E7BE">
      <w:pPr>
        <w:spacing w:before="158" w:beforeLines="50" w:line="360" w:lineRule="auto"/>
        <w:rPr>
          <w:rFonts w:hint="eastAsia" w:ascii="宋体" w:hAnsi="宋体" w:eastAsia="宋体" w:cs="宋体"/>
          <w:bCs/>
          <w:color w:val="auto"/>
          <w:sz w:val="48"/>
          <w:szCs w:val="48"/>
          <w:highlight w:val="none"/>
        </w:rPr>
      </w:pPr>
    </w:p>
    <w:p w14:paraId="36DE9841">
      <w:pPr>
        <w:spacing w:before="158" w:beforeLines="50" w:line="360" w:lineRule="auto"/>
        <w:ind w:firstLine="1584" w:firstLineChars="493"/>
        <w:jc w:val="left"/>
        <w:rPr>
          <w:rFonts w:hint="eastAsia" w:ascii="宋体" w:hAnsi="宋体" w:eastAsia="宋体" w:cs="宋体"/>
          <w:color w:val="auto"/>
          <w:sz w:val="32"/>
          <w:szCs w:val="32"/>
          <w:highlight w:val="none"/>
          <w:u w:val="single"/>
        </w:rPr>
      </w:pPr>
      <w:r>
        <w:rPr>
          <w:rFonts w:hint="eastAsia" w:ascii="宋体" w:hAnsi="宋体" w:eastAsia="宋体" w:cs="宋体"/>
          <w:b/>
          <w:bCs/>
          <w:color w:val="auto"/>
          <w:sz w:val="32"/>
          <w:szCs w:val="32"/>
          <w:highlight w:val="none"/>
          <w:lang w:val="en-US" w:eastAsia="zh-CN"/>
        </w:rPr>
        <w:t>甲方</w:t>
      </w:r>
      <w:r>
        <w:rPr>
          <w:rFonts w:hint="eastAsia" w:ascii="宋体" w:hAnsi="宋体" w:eastAsia="宋体" w:cs="宋体"/>
          <w:b/>
          <w:bCs/>
          <w:color w:val="auto"/>
          <w:sz w:val="32"/>
          <w:szCs w:val="32"/>
          <w:highlight w:val="none"/>
        </w:rPr>
        <w:t>：</w:t>
      </w:r>
      <w:r>
        <w:rPr>
          <w:rFonts w:hint="eastAsia" w:ascii="宋体" w:hAnsi="宋体" w:eastAsia="宋体" w:cs="宋体"/>
          <w:color w:val="auto"/>
          <w:sz w:val="32"/>
          <w:szCs w:val="32"/>
          <w:highlight w:val="none"/>
          <w:u w:val="single"/>
        </w:rPr>
        <w:t xml:space="preserve">                     </w:t>
      </w:r>
    </w:p>
    <w:p w14:paraId="6F1BD138">
      <w:pPr>
        <w:spacing w:before="158" w:beforeLines="50" w:line="360" w:lineRule="auto"/>
        <w:ind w:firstLine="1584" w:firstLineChars="493"/>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乙方</w:t>
      </w:r>
      <w:r>
        <w:rPr>
          <w:rFonts w:hint="eastAsia" w:ascii="宋体" w:hAnsi="宋体" w:eastAsia="宋体" w:cs="宋体"/>
          <w:b/>
          <w:bCs/>
          <w:color w:val="auto"/>
          <w:sz w:val="32"/>
          <w:szCs w:val="32"/>
          <w:highlight w:val="none"/>
        </w:rPr>
        <w:t>：</w:t>
      </w:r>
      <w:r>
        <w:rPr>
          <w:rFonts w:hint="eastAsia" w:ascii="宋体" w:hAnsi="宋体" w:eastAsia="宋体" w:cs="宋体"/>
          <w:color w:val="auto"/>
          <w:sz w:val="32"/>
          <w:szCs w:val="32"/>
          <w:highlight w:val="none"/>
          <w:u w:val="single"/>
        </w:rPr>
        <w:t xml:space="preserve">                     </w:t>
      </w:r>
      <w:r>
        <w:rPr>
          <w:rFonts w:hint="eastAsia" w:ascii="宋体" w:hAnsi="宋体" w:eastAsia="宋体" w:cs="宋体"/>
          <w:color w:val="auto"/>
          <w:sz w:val="32"/>
          <w:szCs w:val="32"/>
          <w:highlight w:val="none"/>
        </w:rPr>
        <w:t xml:space="preserve">  </w:t>
      </w:r>
      <w:r>
        <w:rPr>
          <w:rFonts w:hint="eastAsia" w:ascii="宋体" w:hAnsi="宋体" w:eastAsia="宋体" w:cs="宋体"/>
          <w:b/>
          <w:bCs/>
          <w:color w:val="auto"/>
          <w:sz w:val="32"/>
          <w:szCs w:val="32"/>
          <w:highlight w:val="none"/>
        </w:rPr>
        <w:t xml:space="preserve">        </w:t>
      </w:r>
    </w:p>
    <w:p w14:paraId="39007266">
      <w:pPr>
        <w:pStyle w:val="3"/>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二〇二</w:t>
      </w:r>
      <w:r>
        <w:rPr>
          <w:rFonts w:hint="eastAsia" w:ascii="宋体" w:hAnsi="宋体" w:cs="宋体"/>
          <w:b/>
          <w:bCs/>
          <w:color w:val="auto"/>
          <w:sz w:val="32"/>
          <w:szCs w:val="32"/>
          <w:highlight w:val="none"/>
          <w:lang w:val="en-US" w:eastAsia="zh-CN"/>
        </w:rPr>
        <w:t>六</w:t>
      </w:r>
      <w:r>
        <w:rPr>
          <w:rFonts w:hint="eastAsia" w:ascii="宋体" w:hAnsi="宋体" w:eastAsia="宋体" w:cs="宋体"/>
          <w:b/>
          <w:bCs/>
          <w:color w:val="auto"/>
          <w:sz w:val="32"/>
          <w:szCs w:val="32"/>
          <w:highlight w:val="none"/>
        </w:rPr>
        <w:t>年</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月</w:t>
      </w:r>
    </w:p>
    <w:p w14:paraId="2EEE55D7">
      <w:pPr>
        <w:spacing w:before="74" w:line="238" w:lineRule="auto"/>
        <w:ind w:left="21"/>
        <w:rPr>
          <w:rFonts w:hint="eastAsia" w:ascii="宋体" w:hAnsi="宋体" w:eastAsia="宋体" w:cs="宋体"/>
          <w:color w:val="auto"/>
          <w:spacing w:val="11"/>
          <w:sz w:val="23"/>
          <w:szCs w:val="23"/>
          <w:highlight w:val="none"/>
          <w:u w:val="single"/>
          <w14:textOutline w14:w="4356" w14:cap="sq" w14:cmpd="sng" w14:algn="ctr">
            <w14:solidFill>
              <w14:srgbClr w14:val="000000"/>
            </w14:solidFill>
            <w14:prstDash w14:val="solid"/>
            <w14:bevel/>
          </w14:textOutline>
        </w:rPr>
      </w:pPr>
    </w:p>
    <w:p w14:paraId="008D115F">
      <w:pPr>
        <w:spacing w:before="74" w:line="238" w:lineRule="auto"/>
        <w:ind w:left="21"/>
        <w:rPr>
          <w:rFonts w:hint="eastAsia" w:ascii="宋体" w:hAnsi="宋体" w:eastAsia="宋体" w:cs="宋体"/>
          <w:color w:val="auto"/>
          <w:spacing w:val="11"/>
          <w:sz w:val="23"/>
          <w:szCs w:val="23"/>
          <w:highlight w:val="none"/>
          <w:u w:val="single"/>
          <w14:textOutline w14:w="4356" w14:cap="sq" w14:cmpd="sng" w14:algn="ctr">
            <w14:solidFill>
              <w14:srgbClr w14:val="000000"/>
            </w14:solidFill>
            <w14:prstDash w14:val="solid"/>
            <w14:bevel/>
          </w14:textOutline>
        </w:rPr>
      </w:pPr>
    </w:p>
    <w:p w14:paraId="644A8107">
      <w:pPr>
        <w:spacing w:before="74" w:line="238" w:lineRule="auto"/>
        <w:ind w:left="21"/>
        <w:rPr>
          <w:rFonts w:hint="eastAsia" w:ascii="宋体" w:hAnsi="宋体" w:eastAsia="宋体" w:cs="宋体"/>
          <w:color w:val="auto"/>
          <w:sz w:val="23"/>
          <w:szCs w:val="23"/>
          <w:highlight w:val="none"/>
        </w:rPr>
      </w:pPr>
      <w:r>
        <w:rPr>
          <w:rFonts w:hint="eastAsia" w:ascii="宋体" w:hAnsi="宋体" w:eastAsia="宋体" w:cs="宋体"/>
          <w:color w:val="auto"/>
          <w:spacing w:val="11"/>
          <w:sz w:val="23"/>
          <w:szCs w:val="23"/>
          <w:highlight w:val="none"/>
          <w:u w:val="single"/>
          <w14:textOutline w14:w="4356" w14:cap="sq" w14:cmpd="sng" w14:algn="ctr">
            <w14:solidFill>
              <w14:srgbClr w14:val="000000"/>
            </w14:solidFill>
            <w14:prstDash w14:val="solid"/>
            <w14:bevel/>
          </w14:textOutline>
        </w:rPr>
        <w:t>注：本合同仅为合同的参考文本，合同签订双方可根据项目的具体要求进行</w:t>
      </w:r>
      <w:r>
        <w:rPr>
          <w:rFonts w:hint="eastAsia" w:ascii="宋体" w:hAnsi="宋体" w:cs="宋体"/>
          <w:color w:val="auto"/>
          <w:spacing w:val="11"/>
          <w:sz w:val="23"/>
          <w:szCs w:val="23"/>
          <w:highlight w:val="none"/>
          <w:u w:val="single"/>
          <w:lang w:val="en-US" w:eastAsia="zh-CN"/>
          <w14:textOutline w14:w="4356" w14:cap="sq" w14:cmpd="sng" w14:algn="ctr">
            <w14:solidFill>
              <w14:srgbClr w14:val="000000"/>
            </w14:solidFill>
            <w14:prstDash w14:val="solid"/>
            <w14:bevel/>
          </w14:textOutline>
        </w:rPr>
        <w:t>补充</w:t>
      </w:r>
      <w:r>
        <w:rPr>
          <w:rFonts w:hint="eastAsia" w:ascii="宋体" w:hAnsi="宋体" w:eastAsia="宋体" w:cs="宋体"/>
          <w:color w:val="auto"/>
          <w:spacing w:val="11"/>
          <w:sz w:val="23"/>
          <w:szCs w:val="23"/>
          <w:highlight w:val="none"/>
          <w:u w:val="single"/>
          <w14:textOutline w14:w="4356" w14:cap="sq" w14:cmpd="sng" w14:algn="ctr">
            <w14:solidFill>
              <w14:srgbClr w14:val="000000"/>
            </w14:solidFill>
            <w14:prstDash w14:val="solid"/>
            <w14:bevel/>
          </w14:textOutline>
        </w:rPr>
        <w:t>修订</w:t>
      </w:r>
      <w:r>
        <w:rPr>
          <w:rFonts w:hint="eastAsia" w:ascii="宋体" w:hAnsi="宋体" w:eastAsia="宋体" w:cs="宋体"/>
          <w:color w:val="auto"/>
          <w:spacing w:val="9"/>
          <w:sz w:val="23"/>
          <w:szCs w:val="23"/>
          <w:highlight w:val="none"/>
          <w:u w:val="single"/>
          <w14:textOutline w14:w="4356" w14:cap="sq" w14:cmpd="sng" w14:algn="ctr">
            <w14:solidFill>
              <w14:srgbClr w14:val="000000"/>
            </w14:solidFill>
            <w14:prstDash w14:val="solid"/>
            <w14:bevel/>
          </w14:textOutline>
        </w:rPr>
        <w:t>。</w:t>
      </w:r>
    </w:p>
    <w:p w14:paraId="59493B3D">
      <w:pPr>
        <w:pStyle w:val="3"/>
        <w:jc w:val="center"/>
        <w:rPr>
          <w:rFonts w:hint="eastAsia" w:ascii="宋体" w:hAnsi="宋体" w:eastAsia="宋体" w:cs="宋体"/>
          <w:color w:val="auto"/>
          <w:highlight w:val="none"/>
        </w:rPr>
      </w:pPr>
      <w:r>
        <w:rPr>
          <w:rFonts w:hint="eastAsia" w:ascii="宋体" w:hAnsi="宋体" w:eastAsia="宋体" w:cs="宋体"/>
          <w:b/>
          <w:bCs/>
          <w:color w:val="auto"/>
          <w:sz w:val="36"/>
          <w:szCs w:val="36"/>
          <w:highlight w:val="none"/>
        </w:rPr>
        <w:br w:type="page"/>
      </w:r>
    </w:p>
    <w:p w14:paraId="2312E4BF">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甲　　方：　　　　　　　　　　</w:t>
      </w:r>
    </w:p>
    <w:p w14:paraId="6290C353">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　　　　　　　　</w:t>
      </w:r>
    </w:p>
    <w:p w14:paraId="03347F0D">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　　　　　　　　</w:t>
      </w:r>
    </w:p>
    <w:p w14:paraId="2F576705">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　　　　　　　　　　</w:t>
      </w:r>
    </w:p>
    <w:p w14:paraId="03746D98">
      <w:pPr>
        <w:spacing w:line="360" w:lineRule="auto"/>
        <w:rPr>
          <w:rFonts w:hint="eastAsia" w:asciiTheme="minorEastAsia" w:hAnsiTheme="minorEastAsia" w:eastAsiaTheme="minorEastAsia" w:cstheme="minorEastAsia"/>
          <w:color w:val="auto"/>
          <w:sz w:val="24"/>
          <w:highlight w:val="none"/>
        </w:rPr>
      </w:pPr>
    </w:p>
    <w:p w14:paraId="2CD2D78C">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乙　　方：　　　　　　　　　　</w:t>
      </w:r>
    </w:p>
    <w:p w14:paraId="05A8AD25">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　　　　</w:t>
      </w:r>
      <w:bookmarkStart w:id="0" w:name="_GoBack"/>
      <w:bookmarkEnd w:id="0"/>
      <w:r>
        <w:rPr>
          <w:rFonts w:hint="eastAsia" w:asciiTheme="minorEastAsia" w:hAnsiTheme="minorEastAsia" w:eastAsiaTheme="minorEastAsia" w:cstheme="minorEastAsia"/>
          <w:color w:val="auto"/>
          <w:sz w:val="24"/>
          <w:highlight w:val="none"/>
        </w:rPr>
        <w:t>　　　　</w:t>
      </w:r>
    </w:p>
    <w:p w14:paraId="631A875D">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　　　　　　　　</w:t>
      </w:r>
    </w:p>
    <w:p w14:paraId="2A611D6A">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　　　　　　　　　　</w:t>
      </w:r>
    </w:p>
    <w:p w14:paraId="7CFEA3C4">
      <w:pPr>
        <w:spacing w:line="360" w:lineRule="auto"/>
        <w:rPr>
          <w:rFonts w:hint="eastAsia" w:asciiTheme="minorEastAsia" w:hAnsiTheme="minorEastAsia" w:eastAsiaTheme="minorEastAsia" w:cstheme="minorEastAsia"/>
          <w:color w:val="auto"/>
          <w:sz w:val="24"/>
          <w:highlight w:val="none"/>
        </w:rPr>
      </w:pPr>
    </w:p>
    <w:p w14:paraId="673517C8">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　　　　　　　　　　　　　　　　　　　　　</w:t>
      </w:r>
    </w:p>
    <w:p w14:paraId="38FD2DA0">
      <w:pPr>
        <w:spacing w:line="360" w:lineRule="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采购编号：　</w:t>
      </w:r>
    </w:p>
    <w:p w14:paraId="15037A71">
      <w:pPr>
        <w:spacing w:line="360" w:lineRule="auto"/>
        <w:ind w:firstLine="482" w:firstLineChars="200"/>
        <w:rPr>
          <w:rFonts w:hint="eastAsia" w:asciiTheme="minorEastAsia" w:hAnsiTheme="minorEastAsia" w:eastAsiaTheme="minorEastAsia" w:cstheme="minorEastAsia"/>
          <w:b/>
          <w:color w:val="auto"/>
          <w:sz w:val="24"/>
          <w:highlight w:val="none"/>
        </w:rPr>
      </w:pPr>
    </w:p>
    <w:p w14:paraId="101C5D0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w:t>
      </w:r>
      <w:r>
        <w:rPr>
          <w:rFonts w:hint="eastAsia" w:asciiTheme="minorEastAsia" w:hAnsiTheme="minorEastAsia" w:eastAsiaTheme="minorEastAsia" w:cstheme="minorEastAsia"/>
          <w:color w:val="auto"/>
          <w:sz w:val="24"/>
          <w:highlight w:val="none"/>
          <w:u w:val="single"/>
        </w:rPr>
        <w:t>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w:t>
      </w:r>
      <w:r>
        <w:rPr>
          <w:rFonts w:hint="eastAsia" w:asciiTheme="minorEastAsia" w:hAnsiTheme="minorEastAsia" w:eastAsiaTheme="minorEastAsia" w:cstheme="minorEastAsia"/>
          <w:color w:val="auto"/>
          <w:sz w:val="24"/>
          <w:highlight w:val="none"/>
        </w:rPr>
        <w:t>项目的采购结果，按照《中华人民共和国政府采购法》</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《中华人民共和国民法典(合同编)》的规定，经</w:t>
      </w:r>
      <w:r>
        <w:rPr>
          <w:rFonts w:hint="eastAsia" w:asciiTheme="minorEastAsia" w:hAnsiTheme="minorEastAsia" w:eastAsiaTheme="minorEastAsia" w:cstheme="minorEastAsia"/>
          <w:color w:val="auto"/>
          <w:sz w:val="24"/>
          <w:highlight w:val="none"/>
          <w:lang w:val="en-US" w:eastAsia="zh-CN"/>
        </w:rPr>
        <w:t>双</w:t>
      </w:r>
      <w:r>
        <w:rPr>
          <w:rFonts w:hint="eastAsia" w:asciiTheme="minorEastAsia" w:hAnsiTheme="minorEastAsia" w:eastAsiaTheme="minorEastAsia" w:cstheme="minorEastAsia"/>
          <w:color w:val="auto"/>
          <w:sz w:val="24"/>
          <w:highlight w:val="none"/>
        </w:rPr>
        <w:t>方协商，本着平等互利和诚实信用的原则，一致同意遵守本合同如下。</w:t>
      </w:r>
    </w:p>
    <w:p w14:paraId="7E4B2973">
      <w:p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一、合同金额</w:t>
      </w:r>
    </w:p>
    <w:p w14:paraId="331C7D47">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w:t>
      </w:r>
      <w:r>
        <w:rPr>
          <w:rFonts w:hint="eastAsia" w:asciiTheme="minorEastAsia" w:hAnsiTheme="minorEastAsia" w:eastAsiaTheme="minorEastAsia" w:cstheme="minorEastAsia"/>
          <w:color w:val="auto"/>
          <w:sz w:val="24"/>
          <w:highlight w:val="none"/>
          <w:lang w:val="en-US" w:eastAsia="zh-CN"/>
        </w:rPr>
        <w:t>单价</w:t>
      </w:r>
      <w:r>
        <w:rPr>
          <w:rFonts w:hint="eastAsia" w:asciiTheme="minorEastAsia" w:hAnsiTheme="minorEastAsia" w:eastAsiaTheme="minorEastAsia" w:cstheme="minorEastAsia"/>
          <w:color w:val="auto"/>
          <w:sz w:val="24"/>
          <w:highlight w:val="none"/>
        </w:rPr>
        <w:t>为：大写：_______________；小写：_______________。</w:t>
      </w:r>
    </w:p>
    <w:p w14:paraId="2996E9E3">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最终结算价格=</w:t>
      </w:r>
      <w:r>
        <w:rPr>
          <w:rFonts w:hint="eastAsia" w:asciiTheme="minorEastAsia" w:hAnsiTheme="minorEastAsia" w:eastAsiaTheme="minorEastAsia" w:cstheme="minorEastAsia"/>
          <w:color w:val="auto"/>
          <w:sz w:val="24"/>
          <w:highlight w:val="none"/>
          <w:lang w:val="en-US" w:eastAsia="zh-CN"/>
        </w:rPr>
        <w:t>合同单价</w:t>
      </w:r>
      <w:r>
        <w:rPr>
          <w:rFonts w:hint="eastAsia" w:asciiTheme="minorEastAsia" w:hAnsiTheme="minorEastAsia" w:eastAsiaTheme="minorEastAsia" w:cstheme="minorEastAsia"/>
          <w:color w:val="auto"/>
          <w:sz w:val="24"/>
          <w:highlight w:val="none"/>
        </w:rPr>
        <w:t>×实际体检人员数量</w:t>
      </w:r>
    </w:p>
    <w:p w14:paraId="0EAD1BB5">
      <w:pPr>
        <w:pStyle w:val="2"/>
        <w:rPr>
          <w:rFonts w:hint="eastAsia" w:eastAsia="宋体"/>
          <w:color w:val="auto"/>
          <w:highlight w:val="none"/>
          <w:lang w:val="en-US" w:eastAsia="zh-CN"/>
        </w:rPr>
      </w:pPr>
      <w:r>
        <w:rPr>
          <w:rFonts w:hint="eastAsia" w:asciiTheme="minorEastAsia" w:hAnsiTheme="minorEastAsia" w:eastAsiaTheme="minorEastAsia" w:cstheme="minorEastAsia"/>
          <w:color w:val="auto"/>
          <w:sz w:val="24"/>
          <w:highlight w:val="none"/>
          <w:lang w:val="en-US" w:eastAsia="zh-CN"/>
        </w:rPr>
        <w:t>注：</w:t>
      </w:r>
      <w:r>
        <w:rPr>
          <w:rFonts w:hint="eastAsia" w:ascii="宋体" w:hAnsi="宋体"/>
          <w:bCs/>
          <w:color w:val="auto"/>
          <w:sz w:val="24"/>
          <w:highlight w:val="none"/>
        </w:rPr>
        <w:t>合同中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w:t>
      </w:r>
      <w:r>
        <w:rPr>
          <w:rFonts w:hint="eastAsia" w:ascii="宋体" w:hAnsi="宋体"/>
          <w:bCs/>
          <w:color w:val="auto"/>
          <w:sz w:val="24"/>
          <w:highlight w:val="none"/>
          <w:lang w:eastAsia="zh-CN"/>
        </w:rPr>
        <w:t>。</w:t>
      </w:r>
    </w:p>
    <w:p w14:paraId="3D8AFE71">
      <w:p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二、服务范围</w:t>
      </w:r>
    </w:p>
    <w:p w14:paraId="57E95254">
      <w:pPr>
        <w:tabs>
          <w:tab w:val="left" w:pos="720"/>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甲方聘请乙方提供以下服务：</w:t>
      </w:r>
    </w:p>
    <w:p w14:paraId="2B8E7C8D">
      <w:pPr>
        <w:tabs>
          <w:tab w:val="left" w:pos="720"/>
        </w:tabs>
        <w:spacing w:line="360" w:lineRule="auto"/>
        <w:ind w:firstLine="480" w:firstLineChars="200"/>
        <w:rPr>
          <w:rFonts w:hint="eastAsia" w:asciiTheme="minorEastAsia" w:hAnsiTheme="minorEastAsia" w:eastAsiaTheme="minorEastAsia" w:cstheme="minorEastAsia"/>
          <w:color w:val="auto"/>
          <w:sz w:val="24"/>
          <w:highlight w:val="none"/>
          <w:u w:val="none"/>
        </w:rPr>
      </w:pPr>
      <w:r>
        <w:rPr>
          <w:rFonts w:hint="eastAsia" w:asciiTheme="minorEastAsia" w:hAnsiTheme="minorEastAsia" w:eastAsiaTheme="minorEastAsia" w:cstheme="minorEastAsia"/>
          <w:color w:val="auto"/>
          <w:sz w:val="24"/>
          <w:highlight w:val="none"/>
        </w:rPr>
        <w:t>1．本合同项下的服务指</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u w:val="none"/>
        </w:rPr>
        <w:t>.甲方委托乙方为甲方单位职工预计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人（其中：男士</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人，女士    人）提供体检服务。</w:t>
      </w:r>
    </w:p>
    <w:p w14:paraId="4F29734D">
      <w:pPr>
        <w:tabs>
          <w:tab w:val="left" w:pos="720"/>
        </w:tabs>
        <w:spacing w:line="360" w:lineRule="auto"/>
        <w:ind w:firstLine="480" w:firstLineChars="200"/>
        <w:rPr>
          <w:rFonts w:hint="eastAsia" w:asciiTheme="minorEastAsia" w:hAnsiTheme="minorEastAsia" w:eastAsiaTheme="minorEastAsia" w:cstheme="minorEastAsia"/>
          <w:color w:val="auto"/>
          <w:sz w:val="24"/>
          <w:highlight w:val="none"/>
          <w:u w:val="none"/>
        </w:rPr>
      </w:pPr>
      <w:r>
        <w:rPr>
          <w:rFonts w:hint="eastAsia" w:asciiTheme="minorEastAsia" w:hAnsiTheme="minorEastAsia" w:eastAsiaTheme="minorEastAsia" w:cstheme="minorEastAsia"/>
          <w:color w:val="auto"/>
          <w:sz w:val="24"/>
          <w:highlight w:val="none"/>
          <w:u w:val="none"/>
        </w:rPr>
        <w:t>2.乙方根据甲方参加体检职工的性别、年龄等相关情况制定体检项目目录，并按照体检项目目录展开体检。</w:t>
      </w:r>
    </w:p>
    <w:p w14:paraId="0A152EF9">
      <w:p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三、甲乙双方权利和义务</w:t>
      </w:r>
    </w:p>
    <w:p w14:paraId="7BD319BC">
      <w:pPr>
        <w:tabs>
          <w:tab w:val="left" w:pos="720"/>
        </w:tabs>
        <w:spacing w:line="360" w:lineRule="auto"/>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1.甲方的权利和义务</w:t>
      </w:r>
    </w:p>
    <w:p w14:paraId="4A789DC1">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1.甲方有权利要求乙方设体检专场以保证体检服务按时保质保量完成。</w:t>
      </w:r>
    </w:p>
    <w:p w14:paraId="77EF8EAC">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2.甲方体检职工有权利在体检当天收到乙方专人分发的</w:t>
      </w:r>
      <w:r>
        <w:rPr>
          <w:rFonts w:ascii="宋体" w:hAnsi="宋体"/>
          <w:color w:val="auto"/>
          <w:sz w:val="24"/>
          <w:highlight w:val="none"/>
        </w:rPr>
        <w:t>免费早餐</w:t>
      </w:r>
      <w:r>
        <w:rPr>
          <w:rFonts w:hint="eastAsia" w:ascii="宋体" w:hAnsi="宋体"/>
          <w:color w:val="auto"/>
          <w:sz w:val="24"/>
          <w:highlight w:val="none"/>
        </w:rPr>
        <w:t>。</w:t>
      </w:r>
    </w:p>
    <w:p w14:paraId="463A59BC">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3.甲方体检人员在体检当天可以享有不少于</w:t>
      </w:r>
      <w:r>
        <w:rPr>
          <w:rFonts w:hint="eastAsia" w:ascii="宋体" w:hAnsi="宋体"/>
          <w:color w:val="auto"/>
          <w:sz w:val="24"/>
          <w:highlight w:val="none"/>
          <w:u w:val="single"/>
        </w:rPr>
        <w:t xml:space="preserve">     </w:t>
      </w:r>
      <w:r>
        <w:rPr>
          <w:rFonts w:hint="eastAsia" w:ascii="宋体" w:hAnsi="宋体"/>
          <w:color w:val="auto"/>
          <w:sz w:val="24"/>
          <w:highlight w:val="none"/>
        </w:rPr>
        <w:t>个免费车位。</w:t>
      </w:r>
    </w:p>
    <w:p w14:paraId="4D4FE457">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4.甲方有权在每批体检后的</w:t>
      </w:r>
      <w:r>
        <w:rPr>
          <w:rFonts w:hint="eastAsia" w:ascii="宋体" w:hAnsi="宋体"/>
          <w:color w:val="auto"/>
          <w:sz w:val="24"/>
          <w:highlight w:val="none"/>
          <w:u w:val="single"/>
        </w:rPr>
        <w:t xml:space="preserve">     </w:t>
      </w:r>
      <w:r>
        <w:rPr>
          <w:rFonts w:hint="eastAsia" w:ascii="宋体" w:hAnsi="宋体"/>
          <w:color w:val="auto"/>
          <w:sz w:val="24"/>
          <w:highlight w:val="none"/>
        </w:rPr>
        <w:t>天内收到由乙方盖章的以个人为单位的密封体检报告。</w:t>
      </w:r>
    </w:p>
    <w:p w14:paraId="340CD232">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5.甲方有权利要求乙方建立体检个人的健康档案，健康档案包括纸质文档和电子文档。电子文档由乙方应于每批体检结束后将体检的所有数据（包括化验单、检查结果、人员信息、专家意见等）用数据库Excel表格录入，并跟进参加体检人员的数据对比、病情分析，及时掌握员工身体状况变化，同时，电子文档可供甲方对参检人员的健康资料、体检情况、病种等随时调用、筛选、统计归类。</w:t>
      </w:r>
    </w:p>
    <w:p w14:paraId="645B6704">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6.甲方有权要求乙方在服务期间赔偿由于乙方责任造成甲方的一切损失。</w:t>
      </w:r>
    </w:p>
    <w:p w14:paraId="65D2DB76">
      <w:pPr>
        <w:pStyle w:val="7"/>
        <w:tabs>
          <w:tab w:val="left" w:pos="840"/>
        </w:tabs>
        <w:spacing w:line="360" w:lineRule="auto"/>
        <w:ind w:left="1" w:firstLine="480" w:firstLineChars="200"/>
        <w:rPr>
          <w:rFonts w:hint="eastAsia" w:ascii="宋体" w:hAnsi="宋体"/>
          <w:color w:val="auto"/>
          <w:sz w:val="24"/>
          <w:highlight w:val="none"/>
        </w:rPr>
      </w:pPr>
      <w:r>
        <w:rPr>
          <w:rFonts w:hint="eastAsia" w:ascii="宋体" w:hAnsi="宋体"/>
          <w:color w:val="auto"/>
          <w:sz w:val="24"/>
          <w:highlight w:val="none"/>
        </w:rPr>
        <w:t>7.乙方未按服务项目要求完成或完成不彻底，甲方有权要求重新安排体检，且有权减扣合同付款金额直至终止合约，由此造成的一切后果由乙方承担。</w:t>
      </w:r>
    </w:p>
    <w:p w14:paraId="0B194725">
      <w:pPr>
        <w:tabs>
          <w:tab w:val="left" w:pos="907"/>
          <w:tab w:val="left" w:pos="1050"/>
        </w:tabs>
        <w:spacing w:line="360" w:lineRule="auto"/>
        <w:ind w:firstLine="480" w:firstLineChars="200"/>
        <w:rPr>
          <w:rFonts w:hint="eastAsia" w:eastAsia="宋体" w:asciiTheme="minorEastAsia" w:hAnsiTheme="minorEastAsia" w:cstheme="minorEastAsia"/>
          <w:color w:val="auto"/>
          <w:sz w:val="24"/>
          <w:highlight w:val="none"/>
          <w:lang w:eastAsia="zh-CN"/>
        </w:rPr>
      </w:pPr>
      <w:r>
        <w:rPr>
          <w:rFonts w:hint="eastAsia" w:ascii="宋体" w:hAnsi="宋体"/>
          <w:color w:val="auto"/>
          <w:sz w:val="24"/>
          <w:highlight w:val="none"/>
        </w:rPr>
        <w:t>8.在体检过程中有怀疑病情时，甲方有权要求乙方增加完成一些额外体检项目。额外体检的项目所需费用另行结算</w:t>
      </w:r>
      <w:r>
        <w:rPr>
          <w:rFonts w:hint="eastAsia" w:ascii="宋体" w:hAnsi="宋体"/>
          <w:color w:val="auto"/>
          <w:sz w:val="24"/>
          <w:highlight w:val="none"/>
          <w:lang w:eastAsia="zh-CN"/>
        </w:rPr>
        <w:t>。</w:t>
      </w:r>
    </w:p>
    <w:p w14:paraId="114EDAE3">
      <w:pPr>
        <w:tabs>
          <w:tab w:val="left" w:pos="720"/>
        </w:tabs>
        <w:spacing w:line="360" w:lineRule="auto"/>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2.乙方的权利和义务</w:t>
      </w:r>
    </w:p>
    <w:p w14:paraId="78C2CBCC">
      <w:pPr>
        <w:pStyle w:val="7"/>
        <w:tabs>
          <w:tab w:val="left" w:pos="840"/>
        </w:tabs>
        <w:spacing w:line="360" w:lineRule="auto"/>
        <w:ind w:firstLine="480" w:firstLineChars="200"/>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乙方的权利：</w:t>
      </w:r>
    </w:p>
    <w:p w14:paraId="36573FA9">
      <w:pPr>
        <w:pStyle w:val="7"/>
        <w:tabs>
          <w:tab w:val="left" w:pos="840"/>
        </w:tabs>
        <w:spacing w:line="360" w:lineRule="auto"/>
        <w:ind w:firstLine="480" w:firstLineChars="200"/>
        <w:rPr>
          <w:rStyle w:val="8"/>
          <w:rFonts w:ascii="宋体" w:hAnsi="宋体"/>
          <w:color w:val="auto"/>
          <w:sz w:val="24"/>
          <w:highlight w:val="none"/>
        </w:rPr>
      </w:pPr>
      <w:r>
        <w:rPr>
          <w:rFonts w:hint="eastAsia" w:ascii="宋体" w:hAnsi="宋体"/>
          <w:color w:val="auto"/>
          <w:sz w:val="24"/>
          <w:highlight w:val="none"/>
        </w:rPr>
        <w:t>1.乙方有权督促甲方将参加体检职工的单位名称、所属部门、姓名、性别、年龄等相关资料及体检单位联系人的姓名和联系方式提前</w:t>
      </w:r>
      <w:r>
        <w:rPr>
          <w:rFonts w:hint="eastAsia" w:ascii="宋体" w:hAnsi="宋体"/>
          <w:color w:val="auto"/>
          <w:sz w:val="24"/>
          <w:highlight w:val="none"/>
          <w:u w:val="single"/>
        </w:rPr>
        <w:t xml:space="preserve">     </w:t>
      </w:r>
      <w:r>
        <w:rPr>
          <w:rFonts w:hint="eastAsia" w:ascii="宋体" w:hAnsi="宋体"/>
          <w:color w:val="auto"/>
          <w:sz w:val="24"/>
          <w:highlight w:val="none"/>
        </w:rPr>
        <w:t>天提供给乙方。</w:t>
      </w:r>
    </w:p>
    <w:p w14:paraId="3F19EF6E">
      <w:pPr>
        <w:pStyle w:val="7"/>
        <w:widowControl/>
        <w:spacing w:line="360" w:lineRule="auto"/>
        <w:ind w:firstLine="480" w:firstLineChars="200"/>
        <w:jc w:val="left"/>
        <w:rPr>
          <w:rStyle w:val="8"/>
          <w:rFonts w:ascii="宋体" w:hAnsi="宋体"/>
          <w:color w:val="auto"/>
          <w:sz w:val="24"/>
          <w:highlight w:val="none"/>
        </w:rPr>
      </w:pPr>
      <w:r>
        <w:rPr>
          <w:rFonts w:hint="eastAsia" w:ascii="宋体" w:hAnsi="宋体"/>
          <w:color w:val="auto"/>
          <w:sz w:val="24"/>
          <w:highlight w:val="none"/>
        </w:rPr>
        <w:t>2.乙方有权利要求甲方配合落实每日体检计划人数。</w:t>
      </w:r>
    </w:p>
    <w:p w14:paraId="783590A8">
      <w:pPr>
        <w:pStyle w:val="7"/>
        <w:widowControl/>
        <w:spacing w:line="360" w:lineRule="auto"/>
        <w:ind w:firstLine="480" w:firstLineChars="200"/>
        <w:jc w:val="left"/>
        <w:rPr>
          <w:rStyle w:val="8"/>
          <w:rFonts w:ascii="宋体" w:hAnsi="宋体"/>
          <w:color w:val="auto"/>
          <w:sz w:val="24"/>
          <w:highlight w:val="none"/>
        </w:rPr>
      </w:pPr>
      <w:r>
        <w:rPr>
          <w:rFonts w:hint="eastAsia" w:ascii="宋体" w:hAnsi="宋体"/>
          <w:color w:val="auto"/>
          <w:sz w:val="24"/>
          <w:highlight w:val="none"/>
        </w:rPr>
        <w:t>3.乙方医务人员有权利在体检现场要求甲方体检人员配合体检指导</w:t>
      </w:r>
      <w:r>
        <w:rPr>
          <w:rStyle w:val="8"/>
          <w:rFonts w:hint="eastAsia" w:ascii="宋体" w:hAnsi="宋体"/>
          <w:color w:val="auto"/>
          <w:sz w:val="24"/>
          <w:highlight w:val="none"/>
        </w:rPr>
        <w:t>。</w:t>
      </w:r>
    </w:p>
    <w:p w14:paraId="275A6B5E">
      <w:pPr>
        <w:tabs>
          <w:tab w:val="left" w:pos="907"/>
          <w:tab w:val="left" w:pos="1050"/>
        </w:tabs>
        <w:spacing w:line="360" w:lineRule="auto"/>
        <w:ind w:left="220" w:firstLine="240" w:firstLineChars="100"/>
        <w:rPr>
          <w:rFonts w:hint="eastAsia" w:ascii="宋体" w:hAnsi="宋体"/>
          <w:color w:val="auto"/>
          <w:sz w:val="24"/>
          <w:highlight w:val="none"/>
          <w:lang w:eastAsia="zh-CN"/>
        </w:rPr>
      </w:pPr>
      <w:r>
        <w:rPr>
          <w:rFonts w:hint="eastAsia" w:ascii="宋体" w:hAnsi="宋体"/>
          <w:color w:val="auto"/>
          <w:sz w:val="24"/>
          <w:highlight w:val="none"/>
        </w:rPr>
        <w:t>4.乙方有权要求甲方按合同约定，及时办理支付体检费用手续。结算时按实际体检人数、每人体检项目和体检项目收费标准计算出实际体检费用</w:t>
      </w:r>
      <w:r>
        <w:rPr>
          <w:rFonts w:hint="eastAsia" w:ascii="宋体" w:hAnsi="宋体"/>
          <w:color w:val="auto"/>
          <w:sz w:val="24"/>
          <w:highlight w:val="none"/>
          <w:lang w:eastAsia="zh-CN"/>
        </w:rPr>
        <w:t>。</w:t>
      </w:r>
    </w:p>
    <w:p w14:paraId="7BCE59D9">
      <w:pPr>
        <w:pStyle w:val="2"/>
        <w:rPr>
          <w:rFonts w:hint="eastAsia"/>
          <w:color w:val="auto"/>
          <w:highlight w:val="none"/>
          <w:lang w:val="en-US" w:eastAsia="zh-CN"/>
        </w:rPr>
      </w:pPr>
      <w:r>
        <w:rPr>
          <w:rFonts w:hint="eastAsia"/>
          <w:color w:val="auto"/>
          <w:highlight w:val="none"/>
          <w:lang w:val="en-US" w:eastAsia="zh-CN"/>
        </w:rPr>
        <w:t>乙方的义务：</w:t>
      </w:r>
    </w:p>
    <w:p w14:paraId="1B1D6203">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lang w:eastAsia="zh-CN"/>
        </w:rPr>
        <w:t>乙方</w:t>
      </w:r>
      <w:r>
        <w:rPr>
          <w:rFonts w:ascii="宋体" w:hAnsi="宋体"/>
          <w:color w:val="auto"/>
          <w:sz w:val="24"/>
          <w:highlight w:val="none"/>
        </w:rPr>
        <w:t>应针对学校特殊人群体检安排VIP专场服务；</w:t>
      </w:r>
    </w:p>
    <w:p w14:paraId="3F9A9DDC">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lang w:eastAsia="zh-CN"/>
        </w:rPr>
        <w:t>乙方</w:t>
      </w:r>
      <w:r>
        <w:rPr>
          <w:rFonts w:ascii="宋体" w:hAnsi="宋体"/>
          <w:color w:val="auto"/>
          <w:sz w:val="24"/>
          <w:highlight w:val="none"/>
        </w:rPr>
        <w:t>应提供免费车接送服务；</w:t>
      </w:r>
    </w:p>
    <w:p w14:paraId="773B166A">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3、体检结果纳入计算机管理保存(一般保存3年以上)，体检者可以随时电话查询健康档案，档案需准确无误。</w:t>
      </w:r>
    </w:p>
    <w:p w14:paraId="2965AB05">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4、体检结束后10个工作日内，以纸质报告形式保存由专人对体检报告进行分类整理，体检书面报告包括专家结论及整体健康评估报告，由</w:t>
      </w:r>
      <w:r>
        <w:rPr>
          <w:rFonts w:hint="eastAsia" w:ascii="宋体" w:hAnsi="宋体"/>
          <w:color w:val="auto"/>
          <w:sz w:val="24"/>
          <w:highlight w:val="none"/>
        </w:rPr>
        <w:t>乙方送至体检单位指定处</w:t>
      </w:r>
      <w:r>
        <w:rPr>
          <w:rFonts w:ascii="宋体" w:hAnsi="宋体"/>
          <w:color w:val="auto"/>
          <w:sz w:val="24"/>
          <w:highlight w:val="none"/>
        </w:rPr>
        <w:t>，或根据体检单位要求邮寄报告。体检报告袋密封，以保护个人隐私，并保证体检结果不外泄。为体检单位提供一份全面的体检总结分析报告，全面客观掌握全体员工健康状况。</w:t>
      </w:r>
    </w:p>
    <w:p w14:paraId="24CAAA78">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5、选派责任心强，医技水平好的医生负责体检工作，参加体检的医生具有副主任医师以上职称。</w:t>
      </w:r>
    </w:p>
    <w:p w14:paraId="3B96D210">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6、体检结束后可上门免费进行健康讲座。</w:t>
      </w:r>
    </w:p>
    <w:p w14:paraId="489F9197">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7、当日体检结束后免费早餐。</w:t>
      </w:r>
    </w:p>
    <w:p w14:paraId="04AE2B4F">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8、设有专人值班，耐心细致地做好宣传解释工作。体检结果及建议详实、可靠、具有指导性和现实操作性。</w:t>
      </w:r>
    </w:p>
    <w:p w14:paraId="0EAB202E">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9、体检过程中如遇设备故障应启动应急预案。参检人员参加体检时，以严肃认真、及时准确、高度负责的态度和行为，配备导检人员，为受检员工提供体检上的便利，提供优质高效的健康管理服务。</w:t>
      </w:r>
    </w:p>
    <w:p w14:paraId="7F213284">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10、按照体检项目，确保设备完好、优质；提供质量良好，运作正常的设备，不会使用精密度较差的旧机器顶替，所有仪器全部经过国际认证且性能稳定。</w:t>
      </w:r>
    </w:p>
    <w:p w14:paraId="2774C9AE">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11、对体检者的体检结果负有保密义务，杜绝相关信息泄露给第三者。</w:t>
      </w:r>
    </w:p>
    <w:p w14:paraId="63EEDEBF">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12、保证所有体检结果真实性，如果发现体检报告有弄虚作假等情况，情况属实，体检方有权终止协议。</w:t>
      </w:r>
    </w:p>
    <w:p w14:paraId="094E12A6">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13、在体检过程中如出现体检纠纷，双方需友好协商解决。经协商未能达成一致时双方均可经医疗鉴定确定责任，鉴定结果对双方均有约束力。</w:t>
      </w:r>
    </w:p>
    <w:p w14:paraId="55F1319D">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14、确保后续服务。对体检结果有异常者提供专家预约、就诊、住院绿色通道；对体检发现的危急重症患者提供急救及转诊绿色通道。</w:t>
      </w:r>
    </w:p>
    <w:p w14:paraId="26E62049">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15、合同执行不可抗力情况下的免责约定，双方约定不可抗力情况包括：五级以上地震、大风、大雨、大雪。如果因不可抗力影响合同正常履行，协商顺延工作时限。</w:t>
      </w:r>
    </w:p>
    <w:p w14:paraId="636D6761">
      <w:pPr>
        <w:pStyle w:val="7"/>
        <w:widowControl/>
        <w:spacing w:line="360" w:lineRule="auto"/>
        <w:ind w:firstLine="480" w:firstLineChars="200"/>
        <w:jc w:val="left"/>
        <w:rPr>
          <w:rFonts w:ascii="宋体" w:hAnsi="宋体"/>
          <w:color w:val="auto"/>
          <w:sz w:val="24"/>
          <w:highlight w:val="none"/>
        </w:rPr>
      </w:pPr>
      <w:r>
        <w:rPr>
          <w:rFonts w:ascii="宋体" w:hAnsi="宋体"/>
          <w:color w:val="auto"/>
          <w:sz w:val="24"/>
          <w:highlight w:val="none"/>
        </w:rPr>
        <w:t>16、按照卫生部《健康体检管理暂行规定》和中华医学会健康管理学分会推荐的健康体检目录和套餐要求，实施一站式、医检分离进行健康体检。</w:t>
      </w:r>
    </w:p>
    <w:p w14:paraId="114E1958">
      <w:pPr>
        <w:pStyle w:val="2"/>
        <w:rPr>
          <w:rFonts w:hint="eastAsia" w:eastAsia="宋体"/>
          <w:color w:val="auto"/>
          <w:highlight w:val="none"/>
          <w:lang w:val="en-US" w:eastAsia="zh-CN"/>
        </w:rPr>
      </w:pPr>
      <w:r>
        <w:rPr>
          <w:rFonts w:ascii="宋体" w:hAnsi="宋体"/>
          <w:color w:val="auto"/>
          <w:sz w:val="24"/>
          <w:highlight w:val="none"/>
        </w:rPr>
        <w:t>17、实施进度高度重视体检工作。具体时间，具体人次，跟体检单位协商决定每批次安排时间半天，根据甲方要求的时间安排执行项目检查；未按时参加人员可与体检单位协商决定，适当延迟</w:t>
      </w:r>
      <w:r>
        <w:rPr>
          <w:rFonts w:hint="eastAsia" w:ascii="宋体" w:hAnsi="宋体"/>
          <w:color w:val="auto"/>
          <w:sz w:val="24"/>
          <w:highlight w:val="none"/>
          <w:lang w:eastAsia="zh-CN"/>
        </w:rPr>
        <w:t>。</w:t>
      </w:r>
    </w:p>
    <w:p w14:paraId="53952516">
      <w:p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四、服务期限</w:t>
      </w:r>
    </w:p>
    <w:p w14:paraId="49FA4D5A">
      <w:pPr>
        <w:tabs>
          <w:tab w:val="left" w:pos="851"/>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委托服务期间自</w:t>
      </w:r>
      <w:r>
        <w:rPr>
          <w:rFonts w:hint="eastAsia" w:asciiTheme="minorEastAsia" w:hAnsiTheme="minorEastAsia" w:eastAsiaTheme="minorEastAsia" w:cstheme="minorEastAsia"/>
          <w:color w:val="auto"/>
          <w:sz w:val="24"/>
          <w:highlight w:val="none"/>
          <w:lang w:val="en-US" w:eastAsia="zh-CN"/>
        </w:rPr>
        <w:t>合同签订之日起</w:t>
      </w:r>
      <w:r>
        <w:rPr>
          <w:rFonts w:hint="eastAsia" w:asciiTheme="minorEastAsia" w:hAnsiTheme="minorEastAsia" w:eastAsiaTheme="minorEastAsia" w:cstheme="minorEastAsia"/>
          <w:color w:val="auto"/>
          <w:sz w:val="24"/>
          <w:highlight w:val="none"/>
        </w:rPr>
        <w:t>至______年______月止。</w:t>
      </w:r>
    </w:p>
    <w:p w14:paraId="0A3BE683">
      <w:p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五、付款方式</w:t>
      </w:r>
    </w:p>
    <w:p w14:paraId="62AEEFC1">
      <w:pPr>
        <w:numPr>
          <w:ilvl w:val="0"/>
          <w:numId w:val="0"/>
        </w:numPr>
        <w:spacing w:line="360" w:lineRule="auto"/>
        <w:ind w:firstLine="420" w:firstLineChars="200"/>
        <w:rPr>
          <w:rFonts w:hint="eastAsia" w:asciiTheme="minorEastAsia" w:hAnsiTheme="minorEastAsia" w:eastAsiaTheme="minorEastAsia" w:cstheme="minorEastAsia"/>
          <w:color w:val="auto"/>
          <w:sz w:val="24"/>
          <w:highlight w:val="none"/>
          <w:lang w:val="zh-CN"/>
        </w:rPr>
      </w:pPr>
      <w:r>
        <w:rPr>
          <w:rFonts w:hint="eastAsia"/>
          <w:color w:val="auto"/>
          <w:highlight w:val="none"/>
        </w:rPr>
        <w:t>①如乙方为非中小企业时：甲方全部体检人员体检完毕之日起10个工作日内，乙方向甲方提供已完成的体检人数结算表及整体体检情况报告等相关资料，待甲方审核确认后15个工作日内一次性向乙方办理费用的支付手续。 乙方须在甲方办理付款手续之前提供等额的正式发票及全部体检人员清单给甲方，以便甲方及时办理支付手续。 ②如乙方为中小企业时：乙方为中小型企业（需提供中小型企业说明函），支付方式如下：1）合同签订后30天内，甲方向乙方支付合同总价款40%作为预付款，乙方需提供相关收款依据。2）甲方全部体检人员体检完毕之日起10个工作日，乙方向甲方提供已完成的体检人数结算表及整体体检情况报告等相关资料，待甲方审核确认后15个工作日内向乙方支付合同总价款的60%。 乙方须在甲方办理付款手续之前提供等额的正式发票及全部体检人员清单给甲方，以便甲方及时办理支付手续</w:t>
      </w:r>
      <w:r>
        <w:rPr>
          <w:rFonts w:hint="eastAsia" w:asciiTheme="minorEastAsia" w:hAnsiTheme="minorEastAsia" w:eastAsiaTheme="minorEastAsia" w:cstheme="minorEastAsia"/>
          <w:color w:val="auto"/>
          <w:sz w:val="24"/>
          <w:highlight w:val="none"/>
          <w:lang w:val="zh-CN"/>
        </w:rPr>
        <w:t>。</w:t>
      </w:r>
    </w:p>
    <w:p w14:paraId="62437451">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保密</w:t>
      </w:r>
    </w:p>
    <w:p w14:paraId="09266DC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1.项目实施过程中及项目完成后，甲、乙双方均有责任对本项目的服务保密承担责任。</w:t>
      </w:r>
    </w:p>
    <w:p w14:paraId="3CB2938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2.乙方须遵守行业规范，未经允许不得向任何第三方泄漏检测结果。</w:t>
      </w:r>
    </w:p>
    <w:p w14:paraId="172CA21F">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违约责任与赔偿损失</w:t>
      </w:r>
    </w:p>
    <w:p w14:paraId="4F3C2DE6">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1.乙方提供的服务不符合</w:t>
      </w:r>
      <w:r>
        <w:rPr>
          <w:rFonts w:hint="eastAsia" w:asciiTheme="minorEastAsia" w:hAnsiTheme="minorEastAsia" w:eastAsiaTheme="minorEastAsia" w:cstheme="minorEastAsia"/>
          <w:color w:val="auto"/>
          <w:sz w:val="24"/>
          <w:highlight w:val="none"/>
          <w:lang w:val="en-US" w:eastAsia="zh-CN"/>
        </w:rPr>
        <w:t>采购</w:t>
      </w:r>
      <w:r>
        <w:rPr>
          <w:rFonts w:hint="eastAsia" w:asciiTheme="minorEastAsia" w:hAnsiTheme="minorEastAsia" w:eastAsiaTheme="minorEastAsia" w:cstheme="minorEastAsia"/>
          <w:color w:val="auto"/>
          <w:sz w:val="24"/>
          <w:highlight w:val="none"/>
          <w:lang w:eastAsia="zh-CN"/>
        </w:rPr>
        <w:t>文件</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响应</w:t>
      </w:r>
      <w:r>
        <w:rPr>
          <w:rFonts w:hint="eastAsia" w:asciiTheme="minorEastAsia" w:hAnsiTheme="minorEastAsia" w:eastAsiaTheme="minorEastAsia" w:cstheme="minorEastAsia"/>
          <w:color w:val="auto"/>
          <w:sz w:val="24"/>
          <w:highlight w:val="none"/>
          <w:lang w:eastAsia="zh-CN"/>
        </w:rPr>
        <w:t>文件</w:t>
      </w:r>
      <w:r>
        <w:rPr>
          <w:rFonts w:hint="eastAsia" w:asciiTheme="minorEastAsia" w:hAnsiTheme="minorEastAsia" w:eastAsiaTheme="minorEastAsia" w:cstheme="minorEastAsia"/>
          <w:color w:val="auto"/>
          <w:sz w:val="24"/>
          <w:highlight w:val="none"/>
        </w:rPr>
        <w:t>或本合同规定的，甲方有权拒收，并且乙方须向甲方支付本合同总价</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%的违约金。</w:t>
      </w:r>
    </w:p>
    <w:p w14:paraId="293ABE4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2.乙方未能按本合同规定的服务期限提供服务，从逾期之日起每日按本合同总价</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%的数额向甲方支付违约金；逾期半个月以上的，甲方有权终止合同，由此造成的甲方经济损失由乙方承担。</w:t>
      </w:r>
    </w:p>
    <w:p w14:paraId="2EF367EA">
      <w:pPr>
        <w:spacing w:line="360" w:lineRule="auto"/>
        <w:ind w:firstLine="480" w:firstLineChars="200"/>
        <w:rPr>
          <w:rFonts w:hint="eastAsia" w:eastAsia="宋体" w:asciiTheme="minorEastAsia" w:hAnsi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3.甲方无正当理由拒绝接受服务，到期拒付服务款项的，甲方向乙方偿付本合同总价的</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%的违约金。甲方逾期付款，则每日按本合同总价的</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‰向乙方偿付违约金。</w:t>
      </w:r>
      <w:r>
        <w:rPr>
          <w:rFonts w:ascii="宋体" w:hAnsi="宋体"/>
          <w:color w:val="auto"/>
          <w:sz w:val="24"/>
          <w:szCs w:val="24"/>
          <w:highlight w:val="none"/>
        </w:rPr>
        <w:t>但由于财政资金拨款不到位而导致甲方逾期付款的，甲方不承担违约责任，并且此情况不能成为乙方拖延体检服务的理由</w:t>
      </w:r>
      <w:r>
        <w:rPr>
          <w:rFonts w:hint="eastAsia" w:ascii="宋体" w:hAnsi="宋体"/>
          <w:color w:val="auto"/>
          <w:sz w:val="24"/>
          <w:szCs w:val="24"/>
          <w:highlight w:val="none"/>
          <w:lang w:eastAsia="zh-CN"/>
        </w:rPr>
        <w:t>。</w:t>
      </w:r>
    </w:p>
    <w:p w14:paraId="1F24D333">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4.其它违约责任按《中华人民共和国民法典(合同编)》处理。</w:t>
      </w:r>
    </w:p>
    <w:p w14:paraId="1EF7008C">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争议的解决</w:t>
      </w:r>
    </w:p>
    <w:p w14:paraId="3FE24AFA">
      <w:pPr>
        <w:pStyle w:val="7"/>
        <w:tabs>
          <w:tab w:val="left" w:pos="840"/>
        </w:tabs>
        <w:spacing w:line="360" w:lineRule="auto"/>
        <w:ind w:firstLine="480" w:firstLineChars="200"/>
        <w:rPr>
          <w:rFonts w:ascii="宋体" w:hAnsi="宋体" w:cs="Arial"/>
          <w:color w:val="auto"/>
          <w:sz w:val="24"/>
          <w:highlight w:val="none"/>
        </w:rPr>
      </w:pPr>
      <w:r>
        <w:rPr>
          <w:rFonts w:hint="eastAsia" w:ascii="宋体" w:hAnsi="宋体" w:cs="Arial"/>
          <w:color w:val="auto"/>
          <w:sz w:val="24"/>
          <w:highlight w:val="none"/>
        </w:rPr>
        <w:t>本合同发生争议，由双方协商或由政府采购监管部门调解解决，协商或调解不成时按以下第</w:t>
      </w:r>
      <w:r>
        <w:rPr>
          <w:rFonts w:hint="eastAsia" w:ascii="宋体" w:hAnsi="宋体" w:cs="Arial"/>
          <w:color w:val="auto"/>
          <w:sz w:val="24"/>
          <w:highlight w:val="none"/>
          <w:u w:val="single"/>
        </w:rPr>
        <w:t>2</w:t>
      </w:r>
      <w:r>
        <w:rPr>
          <w:rFonts w:hint="eastAsia" w:ascii="宋体" w:hAnsi="宋体" w:cs="Arial"/>
          <w:color w:val="auto"/>
          <w:sz w:val="24"/>
          <w:highlight w:val="none"/>
        </w:rPr>
        <w:t>种方式解决：</w:t>
      </w:r>
    </w:p>
    <w:p w14:paraId="6BCBA5E0">
      <w:pPr>
        <w:pStyle w:val="7"/>
        <w:tabs>
          <w:tab w:val="left" w:pos="840"/>
        </w:tabs>
        <w:spacing w:line="360" w:lineRule="auto"/>
        <w:ind w:firstLine="840" w:firstLineChars="350"/>
        <w:rPr>
          <w:rFonts w:ascii="宋体" w:hAnsi="宋体" w:cs="Arial"/>
          <w:color w:val="auto"/>
          <w:sz w:val="24"/>
          <w:highlight w:val="none"/>
        </w:rPr>
      </w:pPr>
      <w:r>
        <w:rPr>
          <w:rFonts w:hint="eastAsia" w:ascii="宋体" w:hAnsi="宋体" w:cs="Arial"/>
          <w:color w:val="auto"/>
          <w:sz w:val="24"/>
          <w:highlight w:val="none"/>
        </w:rPr>
        <w:t>1.西安市仲裁委员会仲裁；</w:t>
      </w:r>
    </w:p>
    <w:p w14:paraId="2F2C88C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宋体" w:hAnsi="宋体" w:cs="Arial"/>
          <w:color w:val="auto"/>
          <w:sz w:val="24"/>
          <w:highlight w:val="none"/>
        </w:rPr>
        <w:t>2.向甲方所在地人民法院提起诉讼</w:t>
      </w:r>
      <w:r>
        <w:rPr>
          <w:rFonts w:hint="eastAsia" w:asciiTheme="minorEastAsia" w:hAnsiTheme="minorEastAsia" w:eastAsiaTheme="minorEastAsia" w:cstheme="minorEastAsia"/>
          <w:color w:val="auto"/>
          <w:sz w:val="24"/>
          <w:highlight w:val="none"/>
        </w:rPr>
        <w:t>。</w:t>
      </w:r>
    </w:p>
    <w:p w14:paraId="4B912372">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不可抗力</w:t>
      </w:r>
    </w:p>
    <w:p w14:paraId="47607D31">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529048D3">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税费</w:t>
      </w:r>
    </w:p>
    <w:p w14:paraId="538CFA4F">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在中国境内、外发生的与本合同执行有关的一切税费均由乙方负担。</w:t>
      </w:r>
    </w:p>
    <w:p w14:paraId="74526B4C">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其它</w:t>
      </w:r>
    </w:p>
    <w:p w14:paraId="28883E0C">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1.本合同所有附件、</w:t>
      </w:r>
      <w:r>
        <w:rPr>
          <w:rFonts w:hint="eastAsia" w:asciiTheme="minorEastAsia" w:hAnsiTheme="minorEastAsia" w:eastAsiaTheme="minorEastAsia" w:cstheme="minorEastAsia"/>
          <w:color w:val="auto"/>
          <w:sz w:val="24"/>
          <w:highlight w:val="none"/>
          <w:lang w:val="en-US" w:eastAsia="zh-CN"/>
        </w:rPr>
        <w:t>采购</w:t>
      </w:r>
      <w:r>
        <w:rPr>
          <w:rFonts w:hint="eastAsia" w:asciiTheme="minorEastAsia" w:hAnsiTheme="minorEastAsia" w:eastAsiaTheme="minorEastAsia" w:cstheme="minorEastAsia"/>
          <w:color w:val="auto"/>
          <w:sz w:val="24"/>
          <w:highlight w:val="none"/>
          <w:lang w:eastAsia="zh-CN"/>
        </w:rPr>
        <w:t>文件</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en-US" w:eastAsia="zh-CN"/>
        </w:rPr>
        <w:t>响应</w:t>
      </w:r>
      <w:r>
        <w:rPr>
          <w:rFonts w:hint="eastAsia" w:asciiTheme="minorEastAsia" w:hAnsiTheme="minorEastAsia" w:eastAsiaTheme="minorEastAsia" w:cstheme="minorEastAsia"/>
          <w:color w:val="auto"/>
          <w:sz w:val="24"/>
          <w:highlight w:val="none"/>
          <w:lang w:eastAsia="zh-CN"/>
        </w:rPr>
        <w:t>文件</w:t>
      </w:r>
      <w:r>
        <w:rPr>
          <w:rFonts w:hint="eastAsia" w:asciiTheme="minorEastAsia" w:hAnsiTheme="minorEastAsia" w:eastAsiaTheme="minorEastAsia" w:cstheme="minorEastAsia"/>
          <w:color w:val="auto"/>
          <w:sz w:val="24"/>
          <w:highlight w:val="none"/>
        </w:rPr>
        <w:t>、成交通知书均为合同的有效组成部分，与本合同具有同等法律效力。</w:t>
      </w:r>
    </w:p>
    <w:p w14:paraId="5055C78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2.在执行本合同的过程中，所有经双方签署确认的文件（包括会议纪要、补充协议、往来信函）即成为本合同的有效组成部分。</w:t>
      </w:r>
    </w:p>
    <w:p w14:paraId="2A721D88">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3.如一方地址、电话、传真号码有变更，应在变更当日内书面通知对方，否则，应承担相应责任。</w:t>
      </w:r>
    </w:p>
    <w:p w14:paraId="3BE8CD42">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4.除甲方事先书面同意外，乙方不得部分或全部转让其应履行的合同项下的义务。</w:t>
      </w:r>
    </w:p>
    <w:p w14:paraId="330F0C77">
      <w:pPr>
        <w:numPr>
          <w:ilvl w:val="0"/>
          <w:numId w:val="1"/>
        </w:numPr>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合同生效</w:t>
      </w:r>
    </w:p>
    <w:p w14:paraId="2F4316E9">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rPr>
        <w:tab/>
      </w:r>
      <w:r>
        <w:rPr>
          <w:rFonts w:hint="eastAsia" w:asciiTheme="minorEastAsia" w:hAnsiTheme="minorEastAsia" w:eastAsiaTheme="minorEastAsia" w:cstheme="minorEastAsia"/>
          <w:color w:val="auto"/>
          <w:sz w:val="24"/>
          <w:highlight w:val="none"/>
        </w:rPr>
        <w:t>本合同在甲方及乙方法人代表或其授权代表签字盖章后生效。</w:t>
      </w:r>
    </w:p>
    <w:p w14:paraId="1B86AB4F">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rPr>
        <w:tab/>
      </w:r>
      <w:r>
        <w:rPr>
          <w:rFonts w:hint="eastAsia" w:cs="Arial"/>
          <w:color w:val="auto"/>
          <w:highlight w:val="none"/>
        </w:rPr>
        <w:t>本合同一式</w:t>
      </w:r>
      <w:r>
        <w:rPr>
          <w:rFonts w:hint="eastAsia" w:cs="Arial"/>
          <w:color w:val="auto"/>
          <w:highlight w:val="none"/>
          <w:u w:val="single"/>
        </w:rPr>
        <w:t xml:space="preserve"> </w:t>
      </w:r>
      <w:r>
        <w:rPr>
          <w:rFonts w:hint="eastAsia" w:cs="Arial"/>
          <w:color w:val="auto"/>
          <w:highlight w:val="none"/>
          <w:u w:val="single"/>
          <w:lang w:val="en-US" w:eastAsia="zh-CN"/>
        </w:rPr>
        <w:t xml:space="preserve">  </w:t>
      </w:r>
      <w:r>
        <w:rPr>
          <w:rFonts w:hint="eastAsia" w:cs="Arial"/>
          <w:color w:val="auto"/>
          <w:highlight w:val="none"/>
          <w:u w:val="single"/>
        </w:rPr>
        <w:t xml:space="preserve"> </w:t>
      </w:r>
      <w:r>
        <w:rPr>
          <w:rFonts w:hint="eastAsia" w:cs="Arial"/>
          <w:color w:val="auto"/>
          <w:highlight w:val="none"/>
        </w:rPr>
        <w:t>份，具有同等效力，甲、乙双方各执</w:t>
      </w:r>
      <w:r>
        <w:rPr>
          <w:rFonts w:hint="eastAsia" w:cs="Arial"/>
          <w:color w:val="auto"/>
          <w:highlight w:val="none"/>
          <w:u w:val="single"/>
        </w:rPr>
        <w:t xml:space="preserve">   </w:t>
      </w:r>
      <w:r>
        <w:rPr>
          <w:rFonts w:hint="eastAsia" w:cs="Arial"/>
          <w:color w:val="auto"/>
          <w:highlight w:val="none"/>
        </w:rPr>
        <w:t>份，政府采购监管部门一份，采购代理机构一份</w:t>
      </w:r>
      <w:r>
        <w:rPr>
          <w:rFonts w:hint="eastAsia" w:asciiTheme="minorEastAsia" w:hAnsiTheme="minorEastAsia" w:eastAsiaTheme="minorEastAsia" w:cstheme="minorEastAsia"/>
          <w:color w:val="auto"/>
          <w:sz w:val="24"/>
          <w:highlight w:val="none"/>
        </w:rPr>
        <w:t>。</w:t>
      </w:r>
    </w:p>
    <w:p w14:paraId="10BF40A1">
      <w:pPr>
        <w:tabs>
          <w:tab w:val="left" w:pos="4395"/>
        </w:tabs>
        <w:spacing w:line="360" w:lineRule="auto"/>
        <w:rPr>
          <w:rFonts w:hint="eastAsia" w:asciiTheme="minorEastAsia" w:hAnsiTheme="minorEastAsia" w:eastAsiaTheme="minorEastAsia" w:cstheme="minorEastAsia"/>
          <w:b/>
          <w:color w:val="auto"/>
          <w:sz w:val="24"/>
          <w:highlight w:val="none"/>
          <w:lang w:bidi="ar"/>
        </w:rPr>
      </w:pPr>
    </w:p>
    <w:p w14:paraId="7C5DD469">
      <w:pPr>
        <w:tabs>
          <w:tab w:val="left" w:pos="4395"/>
        </w:tabs>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bidi="ar"/>
        </w:rPr>
        <w:t>甲方（盖章）：                        乙方（盖章）：</w:t>
      </w:r>
    </w:p>
    <w:p w14:paraId="3745F370">
      <w:pPr>
        <w:tabs>
          <w:tab w:val="left" w:pos="4395"/>
        </w:tabs>
        <w:spacing w:line="360" w:lineRule="auto"/>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lang w:bidi="ar"/>
        </w:rPr>
        <w:t>代表：                                代表：</w:t>
      </w:r>
    </w:p>
    <w:p w14:paraId="155F3303">
      <w:pPr>
        <w:tabs>
          <w:tab w:val="left" w:pos="4395"/>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bidi="ar"/>
        </w:rPr>
        <w:t>签订日期：　　年　　月　　日</w:t>
      </w:r>
      <w:r>
        <w:rPr>
          <w:rFonts w:hint="eastAsia" w:asciiTheme="minorEastAsia" w:hAnsiTheme="minorEastAsia" w:eastAsiaTheme="minorEastAsia" w:cstheme="minorEastAsia"/>
          <w:color w:val="auto"/>
          <w:sz w:val="24"/>
          <w:highlight w:val="none"/>
          <w:lang w:bidi="ar"/>
        </w:rPr>
        <w:tab/>
      </w:r>
      <w:r>
        <w:rPr>
          <w:rFonts w:hint="eastAsia" w:asciiTheme="minorEastAsia" w:hAnsiTheme="minorEastAsia" w:eastAsiaTheme="minorEastAsia" w:cstheme="minorEastAsia"/>
          <w:color w:val="auto"/>
          <w:sz w:val="24"/>
          <w:highlight w:val="none"/>
          <w:lang w:val="en-US" w:eastAsia="zh-CN" w:bidi="ar"/>
        </w:rPr>
        <w:t xml:space="preserve">     </w:t>
      </w:r>
      <w:r>
        <w:rPr>
          <w:rFonts w:hint="eastAsia" w:asciiTheme="minorEastAsia" w:hAnsiTheme="minorEastAsia" w:eastAsiaTheme="minorEastAsia" w:cstheme="minorEastAsia"/>
          <w:color w:val="auto"/>
          <w:sz w:val="24"/>
          <w:highlight w:val="none"/>
          <w:lang w:bidi="ar"/>
        </w:rPr>
        <w:t xml:space="preserve"> 签订日期：　　年　　月　　日</w:t>
      </w:r>
      <w:r>
        <w:rPr>
          <w:rFonts w:hint="eastAsia" w:asciiTheme="minorEastAsia" w:hAnsiTheme="minorEastAsia" w:eastAsiaTheme="minorEastAsia" w:cstheme="minorEastAsia"/>
          <w:color w:val="auto"/>
          <w:sz w:val="24"/>
          <w:highlight w:val="none"/>
          <w:lang w:bidi="ar"/>
        </w:rPr>
        <w:tab/>
      </w:r>
    </w:p>
    <w:p w14:paraId="2612B093">
      <w:pPr>
        <w:tabs>
          <w:tab w:val="left" w:pos="4395"/>
        </w:tabs>
        <w:spacing w:line="360" w:lineRule="auto"/>
        <w:ind w:firstLine="5040" w:firstLineChars="2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bidi="ar"/>
        </w:rPr>
        <w:t>开户名称：</w:t>
      </w:r>
    </w:p>
    <w:p w14:paraId="6B434172">
      <w:pPr>
        <w:tabs>
          <w:tab w:val="left" w:pos="4395"/>
        </w:tabs>
        <w:spacing w:line="360" w:lineRule="auto"/>
        <w:ind w:firstLine="5040" w:firstLineChars="2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bidi="ar"/>
        </w:rPr>
        <w:t>银行帐号：</w:t>
      </w:r>
    </w:p>
    <w:p w14:paraId="0946AC11">
      <w:pPr>
        <w:tabs>
          <w:tab w:val="left" w:pos="4395"/>
        </w:tabs>
        <w:spacing w:line="360" w:lineRule="auto"/>
        <w:ind w:firstLine="5040" w:firstLineChars="2100"/>
        <w:rPr>
          <w:rFonts w:hint="eastAsia" w:asciiTheme="minorEastAsia" w:hAnsiTheme="minorEastAsia" w:eastAsiaTheme="minorEastAsia" w:cstheme="minorEastAsia"/>
          <w:color w:val="auto"/>
          <w:highlight w:val="none"/>
          <w:lang w:val="en-US" w:eastAsia="zh-Hans"/>
        </w:rPr>
      </w:pPr>
      <w:r>
        <w:rPr>
          <w:rFonts w:hint="eastAsia" w:asciiTheme="minorEastAsia" w:hAnsiTheme="minorEastAsia" w:eastAsiaTheme="minorEastAsia" w:cstheme="minorEastAsia"/>
          <w:color w:val="auto"/>
          <w:sz w:val="24"/>
          <w:highlight w:val="none"/>
          <w:lang w:bidi="ar"/>
        </w:rPr>
        <w:t>开 户 行：</w:t>
      </w:r>
    </w:p>
    <w:p w14:paraId="3C5035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4D"/>
    <w:multiLevelType w:val="singleLevel"/>
    <w:tmpl w:val="0000004D"/>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543C8"/>
    <w:rsid w:val="550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tabs>
        <w:tab w:val="left" w:pos="360"/>
      </w:tabs>
      <w:spacing w:line="360" w:lineRule="auto"/>
      <w:ind w:firstLine="480" w:firstLineChars="200"/>
    </w:pPr>
    <w:rPr>
      <w:sz w:val="24"/>
    </w:rPr>
  </w:style>
  <w:style w:type="paragraph" w:styleId="3">
    <w:name w:val="Body Text"/>
    <w:basedOn w:val="1"/>
    <w:qFormat/>
    <w:uiPriority w:val="0"/>
    <w:pPr>
      <w:spacing w:after="120" w:afterLines="0" w:afterAutospacing="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正文_1"/>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customStyle="1" w:styleId="8">
    <w:name w:val="p141_0"/>
    <w:qFormat/>
    <w:uiPriority w:val="0"/>
    <w:rPr>
      <w:rFonts w:ascii="Calibri" w:hAnsi="Calibri"/>
      <w:sz w:val="21"/>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2026-05-12T09:45:00Z</dcterms:created>
  <dc:creator>Administrator</dc:creator>
  <cp:lastModifiedBy>Administrator</cp:lastModifiedBy>
  <dcterms:modified xsi:type="dcterms:W3CDTF">2026-05-12T09:46:13Z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12AF82ADE8B64D2695BC3E4D8717D14E_11</vt:lpwstr>
  </property>
  <property fmtid="{D5CDD505-2E9C-101B-9397-08002B2CF9AE}" pid="4" name="KSOTemplateDocerSaveRecord">
    <vt:lpwstr>eyJoZGlkIjoiNzY3YTc4Yzk0ZTAwMmUyZTQ0NmI5NjBjYTdjYmZmNzkiLCJ1c2VySWQiOiIxMjgyNzk5NzE0In0=</vt:lpwstr>
  </property>
</Properties>
</file>