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188625">
      <w:pPr>
        <w:pStyle w:val="11"/>
        <w:spacing w:line="360" w:lineRule="auto"/>
        <w:ind w:firstLine="480"/>
        <w:jc w:val="center"/>
        <w:rPr>
          <w:rFonts w:hint="eastAsia" w:ascii="宋体" w:hAnsi="宋体" w:eastAsia="宋体" w:cs="宋体"/>
          <w:b/>
          <w:bCs/>
          <w:color w:val="auto"/>
          <w:sz w:val="24"/>
          <w:szCs w:val="24"/>
          <w:highlight w:val="none"/>
          <w:lang w:val="en-US" w:eastAsia="zh-CN"/>
        </w:rPr>
      </w:pPr>
      <w:bookmarkStart w:id="32" w:name="_GoBack"/>
      <w:r>
        <w:rPr>
          <w:rFonts w:hint="eastAsia" w:ascii="宋体" w:hAnsi="宋体" w:eastAsia="宋体" w:cs="宋体"/>
          <w:b/>
          <w:color w:val="auto"/>
          <w:sz w:val="32"/>
          <w:szCs w:val="18"/>
          <w:highlight w:val="none"/>
          <w:lang w:val="en-US" w:eastAsia="zh-CN"/>
        </w:rPr>
        <w:t>2026年西安市市级监测网运维项目</w:t>
      </w:r>
    </w:p>
    <w:p w14:paraId="02FC358A">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采购包2：采购需求</w:t>
      </w:r>
    </w:p>
    <w:p w14:paraId="0B6BAF70">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一、采购项目概况</w:t>
      </w:r>
    </w:p>
    <w:p w14:paraId="18FEB5E6">
      <w:pPr>
        <w:pStyle w:val="11"/>
        <w:spacing w:line="360" w:lineRule="auto"/>
        <w:ind w:firstLine="480"/>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2026年</w:t>
      </w:r>
      <w:bookmarkStart w:id="0" w:name="OLE_LINK7"/>
      <w:r>
        <w:rPr>
          <w:rFonts w:hint="eastAsia" w:ascii="宋体" w:hAnsi="宋体" w:eastAsia="宋体" w:cs="宋体"/>
          <w:color w:val="auto"/>
          <w:sz w:val="24"/>
          <w:szCs w:val="24"/>
          <w:highlight w:val="none"/>
          <w:lang w:val="en-US" w:eastAsia="zh-CN" w:bidi="ar-SA"/>
        </w:rPr>
        <w:t>西安市市级监测网运维</w:t>
      </w:r>
      <w:bookmarkEnd w:id="0"/>
      <w:r>
        <w:rPr>
          <w:rFonts w:hint="eastAsia" w:ascii="宋体" w:hAnsi="宋体" w:eastAsia="宋体" w:cs="宋体"/>
          <w:color w:val="auto"/>
          <w:sz w:val="24"/>
          <w:szCs w:val="24"/>
          <w:highlight w:val="none"/>
          <w:lang w:val="en-US" w:eastAsia="zh-CN" w:bidi="ar-SA"/>
        </w:rPr>
        <w:t>服务内容包括：西安市216个国标六参数空气自动监测站的运行维护服务、43座地表水质在线自动监测站的运行维护服务、4套固定污染源挥发性有机物（VOCs）在线监测设备的运行维护服务、1台大气激光雷达走航车的运行维护服务、智慧环保指挥中心运行维护服务、运维质控（比对）服务、140套重点区域空气颗粒物监测站运维服务，服务期一年；包括5座敏感区域空气站运维服务，服务期6个月。</w:t>
      </w:r>
    </w:p>
    <w:p w14:paraId="08C9262D">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采购包2：运维服务范围包括西安市39个街镇国标六参数空气自动监测站运维服务、68套颗粒物监测系统（道路扬尘站）运维服务，服务期为一年。</w:t>
      </w:r>
    </w:p>
    <w:p w14:paraId="2758A0BA">
      <w:pPr>
        <w:pStyle w:val="11"/>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二、本采购包最高限价：7,043,000.00元</w:t>
      </w:r>
    </w:p>
    <w:p w14:paraId="6B653694">
      <w:pPr>
        <w:pStyle w:val="11"/>
        <w:spacing w:line="360" w:lineRule="auto"/>
        <w:ind w:firstLine="480"/>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1.39个街镇国标六参数空气自动监测站运维：4,953,000.00元</w:t>
      </w:r>
    </w:p>
    <w:p w14:paraId="501927C5">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bidi="ar-SA"/>
        </w:rPr>
        <w:t>2.68套颗粒物监测系统（道路扬尘站）运维：2,040,000.00元，迁站10站：50,000.00元</w:t>
      </w:r>
    </w:p>
    <w:p w14:paraId="1C62F104">
      <w:pPr>
        <w:pStyle w:val="11"/>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三、服务要求</w:t>
      </w:r>
    </w:p>
    <w:p w14:paraId="1555168D">
      <w:pPr>
        <w:pStyle w:val="11"/>
        <w:spacing w:line="360" w:lineRule="auto"/>
        <w:ind w:firstLine="480"/>
        <w:rPr>
          <w:rFonts w:hint="eastAsia" w:ascii="宋体" w:hAnsi="宋体" w:eastAsia="宋体" w:cs="宋体"/>
          <w:b w:val="0"/>
          <w:bCs w:val="0"/>
          <w:color w:val="auto"/>
          <w:sz w:val="24"/>
          <w:szCs w:val="24"/>
          <w:highlight w:val="none"/>
          <w:lang w:val="en-US" w:eastAsia="zh-CN"/>
        </w:rPr>
      </w:pPr>
      <w:bookmarkStart w:id="1" w:name="_Toc55201338"/>
      <w:r>
        <w:rPr>
          <w:rFonts w:hint="eastAsia" w:ascii="宋体" w:hAnsi="宋体" w:eastAsia="宋体" w:cs="宋体"/>
          <w:b w:val="0"/>
          <w:bCs w:val="0"/>
          <w:color w:val="auto"/>
          <w:sz w:val="24"/>
          <w:szCs w:val="24"/>
          <w:highlight w:val="none"/>
          <w:lang w:val="en-US" w:eastAsia="zh-CN"/>
        </w:rPr>
        <w:t>西安市国标六参数空气自动监测站（以下简称“小型站”）是“智慧环保”项目感知层的重要组成部分。在西安市部署的39个街镇空气站（含西咸新区19个）实时监测环境空气中的PM10、PM2.5、O3、SO2、CO、NOx浓度，可实现对全市部分区域环境空气质量的实时掌控，为空气质量变化研判、空气质量预测预警、污染溯源等工作提供重要数据支撑。</w:t>
      </w:r>
    </w:p>
    <w:p w14:paraId="06D3F12F">
      <w:pPr>
        <w:pStyle w:val="11"/>
        <w:spacing w:line="360" w:lineRule="auto"/>
        <w:ind w:firstLine="48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（一）西安市国标六参数空气自动监测站运维服务需求</w:t>
      </w:r>
    </w:p>
    <w:p w14:paraId="59A1F17F">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1.项目内容</w:t>
      </w:r>
    </w:p>
    <w:p w14:paraId="09B946F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项目运维服务范围为西安市（含西咸新区）39个街镇（园、办）箱式空气自动监测站（如图1所示）。运维服务内容包含所有站点监测分析仪器及数据采集与传输设备、辅助设备、用电及网络保障、视频监控、护栏等辅助基础设施的日常维护、质量控制、故障维修、年度检修、预防性维护等工作，确保空气站各项仪器设备稳定运行并与智慧环保软件平台联网正常，接受采购人质控检查和考核。</w:t>
      </w:r>
    </w:p>
    <w:p w14:paraId="14AEE4CC">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此次采购项目运行维护服务周期为1年。空气站运维内容包括西安市（含西咸新区）39个站点的PM10、PM2.5、O3、SO2、CO、NOx六参数的保外运维。</w:t>
      </w:r>
    </w:p>
    <w:p w14:paraId="68515CD2">
      <w:pPr>
        <w:pStyle w:val="11"/>
        <w:spacing w:line="360" w:lineRule="auto"/>
        <w:ind w:firstLine="480"/>
        <w:jc w:val="center"/>
        <w:rPr>
          <w:rFonts w:hint="eastAsia" w:ascii="宋体" w:hAnsi="宋体" w:eastAsia="宋体" w:cs="宋体"/>
          <w:color w:val="auto"/>
          <w:szCs w:val="32"/>
          <w:highlight w:val="none"/>
        </w:rPr>
      </w:pPr>
      <w:r>
        <w:rPr>
          <w:rFonts w:hint="eastAsia" w:ascii="宋体" w:hAnsi="宋体" w:eastAsia="宋体" w:cs="宋体"/>
          <w:b/>
          <w:bCs/>
          <w:color w:val="auto"/>
          <w:sz w:val="24"/>
          <w:szCs w:val="24"/>
          <w:highlight w:val="none"/>
          <w:lang w:val="zh-CN" w:eastAsia="zh-CN"/>
        </w:rPr>
        <w:t>表1  39个小型站清单</w:t>
      </w:r>
    </w:p>
    <w:tbl>
      <w:tblPr>
        <w:tblStyle w:val="7"/>
        <w:tblW w:w="10116" w:type="dxa"/>
        <w:jc w:val="center"/>
        <w:tblLayout w:type="fixed"/>
        <w:tblCellMar>
          <w:top w:w="0" w:type="dxa"/>
          <w:left w:w="108" w:type="dxa"/>
          <w:bottom w:w="0" w:type="dxa"/>
          <w:right w:w="108" w:type="dxa"/>
        </w:tblCellMar>
      </w:tblPr>
      <w:tblGrid>
        <w:gridCol w:w="1189"/>
        <w:gridCol w:w="1509"/>
        <w:gridCol w:w="1738"/>
        <w:gridCol w:w="1073"/>
        <w:gridCol w:w="1738"/>
        <w:gridCol w:w="2869"/>
      </w:tblGrid>
      <w:tr w14:paraId="0D26E1C4">
        <w:tblPrEx>
          <w:tblCellMar>
            <w:top w:w="0" w:type="dxa"/>
            <w:left w:w="108" w:type="dxa"/>
            <w:bottom w:w="0" w:type="dxa"/>
            <w:right w:w="108" w:type="dxa"/>
          </w:tblCellMar>
        </w:tblPrEx>
        <w:trPr>
          <w:trHeight w:val="434" w:hRule="atLeast"/>
          <w:jc w:val="center"/>
        </w:trPr>
        <w:tc>
          <w:tcPr>
            <w:tcW w:w="1189" w:type="dxa"/>
            <w:tcBorders>
              <w:top w:val="single" w:color="auto" w:sz="8" w:space="0"/>
              <w:left w:val="single" w:color="auto" w:sz="8" w:space="0"/>
              <w:bottom w:val="single" w:color="auto" w:sz="8" w:space="0"/>
              <w:right w:val="single" w:color="auto" w:sz="8" w:space="0"/>
            </w:tcBorders>
            <w:noWrap/>
            <w:vAlign w:val="center"/>
          </w:tcPr>
          <w:p w14:paraId="7EDD90B9">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序号</w:t>
            </w:r>
          </w:p>
        </w:tc>
        <w:tc>
          <w:tcPr>
            <w:tcW w:w="1509" w:type="dxa"/>
            <w:tcBorders>
              <w:top w:val="single" w:color="auto" w:sz="8" w:space="0"/>
              <w:left w:val="nil"/>
              <w:bottom w:val="single" w:color="auto" w:sz="8" w:space="0"/>
              <w:right w:val="single" w:color="auto" w:sz="8" w:space="0"/>
            </w:tcBorders>
            <w:noWrap/>
            <w:vAlign w:val="center"/>
          </w:tcPr>
          <w:p w14:paraId="25CC5263">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区县</w:t>
            </w:r>
          </w:p>
        </w:tc>
        <w:tc>
          <w:tcPr>
            <w:tcW w:w="1738" w:type="dxa"/>
            <w:tcBorders>
              <w:top w:val="single" w:color="auto" w:sz="8" w:space="0"/>
              <w:left w:val="nil"/>
              <w:bottom w:val="single" w:color="auto" w:sz="8" w:space="0"/>
              <w:right w:val="single" w:color="auto" w:sz="8" w:space="0"/>
            </w:tcBorders>
            <w:noWrap/>
            <w:vAlign w:val="center"/>
          </w:tcPr>
          <w:p w14:paraId="6583B647">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监测站点</w:t>
            </w:r>
          </w:p>
        </w:tc>
        <w:tc>
          <w:tcPr>
            <w:tcW w:w="1073" w:type="dxa"/>
            <w:tcBorders>
              <w:top w:val="single" w:color="auto" w:sz="8" w:space="0"/>
              <w:left w:val="nil"/>
              <w:bottom w:val="single" w:color="auto" w:sz="8" w:space="0"/>
              <w:right w:val="single" w:color="auto" w:sz="8" w:space="0"/>
            </w:tcBorders>
            <w:noWrap/>
            <w:vAlign w:val="center"/>
          </w:tcPr>
          <w:p w14:paraId="7C805FA8">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序号</w:t>
            </w:r>
          </w:p>
        </w:tc>
        <w:tc>
          <w:tcPr>
            <w:tcW w:w="1738" w:type="dxa"/>
            <w:tcBorders>
              <w:top w:val="single" w:color="auto" w:sz="8" w:space="0"/>
              <w:left w:val="nil"/>
              <w:bottom w:val="single" w:color="auto" w:sz="8" w:space="0"/>
              <w:right w:val="single" w:color="auto" w:sz="8" w:space="0"/>
            </w:tcBorders>
            <w:noWrap/>
            <w:vAlign w:val="center"/>
          </w:tcPr>
          <w:p w14:paraId="649951BC">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区县</w:t>
            </w:r>
          </w:p>
        </w:tc>
        <w:tc>
          <w:tcPr>
            <w:tcW w:w="2869" w:type="dxa"/>
            <w:tcBorders>
              <w:top w:val="single" w:color="auto" w:sz="8" w:space="0"/>
              <w:left w:val="nil"/>
              <w:bottom w:val="single" w:color="auto" w:sz="8" w:space="0"/>
              <w:right w:val="single" w:color="auto" w:sz="8" w:space="0"/>
            </w:tcBorders>
            <w:noWrap/>
            <w:vAlign w:val="center"/>
          </w:tcPr>
          <w:p w14:paraId="3CABB33C">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监测站点</w:t>
            </w:r>
          </w:p>
        </w:tc>
      </w:tr>
      <w:tr w14:paraId="35C9D94E">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143B3E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w:t>
            </w:r>
          </w:p>
        </w:tc>
        <w:tc>
          <w:tcPr>
            <w:tcW w:w="1509" w:type="dxa"/>
            <w:tcBorders>
              <w:top w:val="nil"/>
              <w:left w:val="nil"/>
              <w:bottom w:val="single" w:color="auto" w:sz="8" w:space="0"/>
              <w:right w:val="single" w:color="auto" w:sz="8" w:space="0"/>
            </w:tcBorders>
            <w:shd w:val="clear" w:color="000000" w:fill="F8F8F9"/>
            <w:noWrap/>
            <w:vAlign w:val="center"/>
          </w:tcPr>
          <w:p w14:paraId="18D8F23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0BFE26A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广济镇</w:t>
            </w:r>
          </w:p>
        </w:tc>
        <w:tc>
          <w:tcPr>
            <w:tcW w:w="1073" w:type="dxa"/>
            <w:tcBorders>
              <w:top w:val="nil"/>
              <w:left w:val="nil"/>
              <w:bottom w:val="single" w:color="auto" w:sz="8" w:space="0"/>
              <w:right w:val="single" w:color="auto" w:sz="8" w:space="0"/>
            </w:tcBorders>
            <w:shd w:val="clear" w:color="000000" w:fill="FFFFFF"/>
            <w:noWrap/>
            <w:vAlign w:val="center"/>
          </w:tcPr>
          <w:p w14:paraId="76CF581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21</w:t>
            </w:r>
          </w:p>
        </w:tc>
        <w:tc>
          <w:tcPr>
            <w:tcW w:w="1738" w:type="dxa"/>
            <w:tcBorders>
              <w:top w:val="nil"/>
              <w:left w:val="nil"/>
              <w:bottom w:val="single" w:color="auto" w:sz="8" w:space="0"/>
              <w:right w:val="single" w:color="auto" w:sz="8" w:space="0"/>
            </w:tcBorders>
            <w:shd w:val="clear" w:color="000000" w:fill="F8F8F9"/>
            <w:noWrap/>
            <w:vAlign w:val="center"/>
          </w:tcPr>
          <w:p w14:paraId="2A70F60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1DFB045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沣东新城建章路街办</w:t>
            </w:r>
          </w:p>
        </w:tc>
      </w:tr>
      <w:tr w14:paraId="59A14EC9">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77BF915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w:t>
            </w:r>
          </w:p>
        </w:tc>
        <w:tc>
          <w:tcPr>
            <w:tcW w:w="1509" w:type="dxa"/>
            <w:tcBorders>
              <w:top w:val="nil"/>
              <w:left w:val="nil"/>
              <w:bottom w:val="single" w:color="auto" w:sz="8" w:space="0"/>
              <w:right w:val="single" w:color="auto" w:sz="8" w:space="0"/>
            </w:tcBorders>
            <w:shd w:val="clear" w:color="000000" w:fill="FFFFFF"/>
            <w:noWrap/>
            <w:vAlign w:val="center"/>
          </w:tcPr>
          <w:p w14:paraId="71BFE84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39487F1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竹峪镇</w:t>
            </w:r>
          </w:p>
        </w:tc>
        <w:tc>
          <w:tcPr>
            <w:tcW w:w="1073" w:type="dxa"/>
            <w:tcBorders>
              <w:top w:val="nil"/>
              <w:left w:val="nil"/>
              <w:bottom w:val="single" w:color="auto" w:sz="8" w:space="0"/>
              <w:right w:val="single" w:color="auto" w:sz="8" w:space="0"/>
            </w:tcBorders>
            <w:shd w:val="clear" w:color="000000" w:fill="FFFFFF"/>
            <w:noWrap/>
            <w:vAlign w:val="center"/>
          </w:tcPr>
          <w:p w14:paraId="07E15E9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22</w:t>
            </w:r>
          </w:p>
        </w:tc>
        <w:tc>
          <w:tcPr>
            <w:tcW w:w="1738" w:type="dxa"/>
            <w:tcBorders>
              <w:top w:val="nil"/>
              <w:left w:val="nil"/>
              <w:bottom w:val="single" w:color="auto" w:sz="8" w:space="0"/>
              <w:right w:val="single" w:color="auto" w:sz="8" w:space="0"/>
            </w:tcBorders>
            <w:shd w:val="clear" w:color="000000" w:fill="FFFFFF"/>
            <w:noWrap/>
            <w:vAlign w:val="center"/>
          </w:tcPr>
          <w:p w14:paraId="7957CF1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16EE004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沣东新城三桥街办</w:t>
            </w:r>
          </w:p>
        </w:tc>
      </w:tr>
      <w:tr w14:paraId="0C5DCDEF">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66BE003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w:t>
            </w:r>
          </w:p>
        </w:tc>
        <w:tc>
          <w:tcPr>
            <w:tcW w:w="1509" w:type="dxa"/>
            <w:tcBorders>
              <w:top w:val="nil"/>
              <w:left w:val="nil"/>
              <w:bottom w:val="single" w:color="auto" w:sz="8" w:space="0"/>
              <w:right w:val="single" w:color="auto" w:sz="8" w:space="0"/>
            </w:tcBorders>
            <w:shd w:val="clear" w:color="000000" w:fill="F8F8F9"/>
            <w:noWrap/>
            <w:vAlign w:val="center"/>
          </w:tcPr>
          <w:p w14:paraId="2DDC0E3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3B372EB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富仁镇</w:t>
            </w:r>
          </w:p>
        </w:tc>
        <w:tc>
          <w:tcPr>
            <w:tcW w:w="1073" w:type="dxa"/>
            <w:tcBorders>
              <w:top w:val="nil"/>
              <w:left w:val="nil"/>
              <w:bottom w:val="single" w:color="auto" w:sz="8" w:space="0"/>
              <w:right w:val="single" w:color="auto" w:sz="8" w:space="0"/>
            </w:tcBorders>
            <w:shd w:val="clear" w:color="000000" w:fill="FFFFFF"/>
            <w:noWrap/>
            <w:vAlign w:val="center"/>
          </w:tcPr>
          <w:p w14:paraId="3CD4D76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23</w:t>
            </w:r>
          </w:p>
        </w:tc>
        <w:tc>
          <w:tcPr>
            <w:tcW w:w="1738" w:type="dxa"/>
            <w:tcBorders>
              <w:top w:val="nil"/>
              <w:left w:val="nil"/>
              <w:bottom w:val="single" w:color="auto" w:sz="8" w:space="0"/>
              <w:right w:val="single" w:color="auto" w:sz="8" w:space="0"/>
            </w:tcBorders>
            <w:shd w:val="clear" w:color="000000" w:fill="F8F8F9"/>
            <w:noWrap/>
            <w:vAlign w:val="center"/>
          </w:tcPr>
          <w:p w14:paraId="498FF1F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57048B1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沣东新城斗门街办</w:t>
            </w:r>
          </w:p>
        </w:tc>
      </w:tr>
      <w:tr w14:paraId="1817260B">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27A7DB8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w:t>
            </w:r>
          </w:p>
        </w:tc>
        <w:tc>
          <w:tcPr>
            <w:tcW w:w="1509" w:type="dxa"/>
            <w:tcBorders>
              <w:top w:val="nil"/>
              <w:left w:val="nil"/>
              <w:bottom w:val="single" w:color="auto" w:sz="8" w:space="0"/>
              <w:right w:val="single" w:color="auto" w:sz="8" w:space="0"/>
            </w:tcBorders>
            <w:shd w:val="clear" w:color="000000" w:fill="FFFFFF"/>
            <w:noWrap/>
            <w:vAlign w:val="center"/>
          </w:tcPr>
          <w:p w14:paraId="5B8450B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154DCCA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尚村镇</w:t>
            </w:r>
          </w:p>
        </w:tc>
        <w:tc>
          <w:tcPr>
            <w:tcW w:w="1073" w:type="dxa"/>
            <w:tcBorders>
              <w:top w:val="nil"/>
              <w:left w:val="nil"/>
              <w:bottom w:val="single" w:color="auto" w:sz="8" w:space="0"/>
              <w:right w:val="single" w:color="auto" w:sz="8" w:space="0"/>
            </w:tcBorders>
            <w:shd w:val="clear" w:color="000000" w:fill="FFFFFF"/>
            <w:noWrap/>
            <w:vAlign w:val="center"/>
          </w:tcPr>
          <w:p w14:paraId="2FD7EBC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24</w:t>
            </w:r>
          </w:p>
        </w:tc>
        <w:tc>
          <w:tcPr>
            <w:tcW w:w="1738" w:type="dxa"/>
            <w:tcBorders>
              <w:top w:val="nil"/>
              <w:left w:val="nil"/>
              <w:bottom w:val="single" w:color="auto" w:sz="8" w:space="0"/>
              <w:right w:val="single" w:color="auto" w:sz="8" w:space="0"/>
            </w:tcBorders>
            <w:shd w:val="clear" w:color="000000" w:fill="FFFFFF"/>
            <w:noWrap/>
            <w:vAlign w:val="center"/>
          </w:tcPr>
          <w:p w14:paraId="35C2FE6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369EC18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沣东新城王寺街办</w:t>
            </w:r>
          </w:p>
        </w:tc>
      </w:tr>
      <w:tr w14:paraId="10617DF7">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4E6CF62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w:t>
            </w:r>
          </w:p>
        </w:tc>
        <w:tc>
          <w:tcPr>
            <w:tcW w:w="1509" w:type="dxa"/>
            <w:tcBorders>
              <w:top w:val="nil"/>
              <w:left w:val="nil"/>
              <w:bottom w:val="single" w:color="auto" w:sz="8" w:space="0"/>
              <w:right w:val="single" w:color="auto" w:sz="8" w:space="0"/>
            </w:tcBorders>
            <w:shd w:val="clear" w:color="000000" w:fill="F8F8F9"/>
            <w:noWrap/>
            <w:vAlign w:val="center"/>
          </w:tcPr>
          <w:p w14:paraId="60AA7AC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572712A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终南镇</w:t>
            </w:r>
          </w:p>
        </w:tc>
        <w:tc>
          <w:tcPr>
            <w:tcW w:w="1073" w:type="dxa"/>
            <w:tcBorders>
              <w:top w:val="nil"/>
              <w:left w:val="nil"/>
              <w:bottom w:val="single" w:color="auto" w:sz="8" w:space="0"/>
              <w:right w:val="single" w:color="auto" w:sz="8" w:space="0"/>
            </w:tcBorders>
            <w:shd w:val="clear" w:color="000000" w:fill="FFFFFF"/>
            <w:noWrap/>
            <w:vAlign w:val="center"/>
          </w:tcPr>
          <w:p w14:paraId="183E5FD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25</w:t>
            </w:r>
          </w:p>
        </w:tc>
        <w:tc>
          <w:tcPr>
            <w:tcW w:w="1738" w:type="dxa"/>
            <w:tcBorders>
              <w:top w:val="nil"/>
              <w:left w:val="nil"/>
              <w:bottom w:val="single" w:color="auto" w:sz="8" w:space="0"/>
              <w:right w:val="single" w:color="auto" w:sz="8" w:space="0"/>
            </w:tcBorders>
            <w:shd w:val="clear" w:color="000000" w:fill="F8F8F9"/>
            <w:noWrap/>
            <w:vAlign w:val="center"/>
          </w:tcPr>
          <w:p w14:paraId="0120D9F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2977429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沣东新城沣东街办</w:t>
            </w:r>
          </w:p>
        </w:tc>
      </w:tr>
      <w:tr w14:paraId="70603051">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25A922E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w:t>
            </w:r>
          </w:p>
        </w:tc>
        <w:tc>
          <w:tcPr>
            <w:tcW w:w="1509" w:type="dxa"/>
            <w:tcBorders>
              <w:top w:val="nil"/>
              <w:left w:val="nil"/>
              <w:bottom w:val="single" w:color="auto" w:sz="8" w:space="0"/>
              <w:right w:val="single" w:color="auto" w:sz="8" w:space="0"/>
            </w:tcBorders>
            <w:shd w:val="clear" w:color="000000" w:fill="FFFFFF"/>
            <w:noWrap/>
            <w:vAlign w:val="center"/>
          </w:tcPr>
          <w:p w14:paraId="596A705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77AB9A2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九峰镇</w:t>
            </w:r>
          </w:p>
        </w:tc>
        <w:tc>
          <w:tcPr>
            <w:tcW w:w="1073" w:type="dxa"/>
            <w:tcBorders>
              <w:top w:val="nil"/>
              <w:left w:val="nil"/>
              <w:bottom w:val="single" w:color="auto" w:sz="8" w:space="0"/>
              <w:right w:val="single" w:color="auto" w:sz="8" w:space="0"/>
            </w:tcBorders>
            <w:shd w:val="clear" w:color="000000" w:fill="FFFFFF"/>
            <w:noWrap/>
            <w:vAlign w:val="center"/>
          </w:tcPr>
          <w:p w14:paraId="735422A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26</w:t>
            </w:r>
          </w:p>
        </w:tc>
        <w:tc>
          <w:tcPr>
            <w:tcW w:w="1738" w:type="dxa"/>
            <w:tcBorders>
              <w:top w:val="nil"/>
              <w:left w:val="nil"/>
              <w:bottom w:val="single" w:color="auto" w:sz="8" w:space="0"/>
              <w:right w:val="single" w:color="auto" w:sz="8" w:space="0"/>
            </w:tcBorders>
            <w:shd w:val="clear" w:color="000000" w:fill="FFFFFF"/>
            <w:noWrap/>
            <w:vAlign w:val="center"/>
          </w:tcPr>
          <w:p w14:paraId="10B69B9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02C96EB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沣西新城钓台街办</w:t>
            </w:r>
          </w:p>
        </w:tc>
      </w:tr>
      <w:tr w14:paraId="48634E87">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0FBE53E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w:t>
            </w:r>
          </w:p>
        </w:tc>
        <w:tc>
          <w:tcPr>
            <w:tcW w:w="1509" w:type="dxa"/>
            <w:tcBorders>
              <w:top w:val="nil"/>
              <w:left w:val="nil"/>
              <w:bottom w:val="single" w:color="auto" w:sz="8" w:space="0"/>
              <w:right w:val="single" w:color="auto" w:sz="8" w:space="0"/>
            </w:tcBorders>
            <w:shd w:val="clear" w:color="000000" w:fill="F8F8F9"/>
            <w:noWrap/>
            <w:vAlign w:val="center"/>
          </w:tcPr>
          <w:p w14:paraId="28455C3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57857F1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集贤镇</w:t>
            </w:r>
          </w:p>
        </w:tc>
        <w:tc>
          <w:tcPr>
            <w:tcW w:w="1073" w:type="dxa"/>
            <w:tcBorders>
              <w:top w:val="nil"/>
              <w:left w:val="nil"/>
              <w:bottom w:val="single" w:color="auto" w:sz="8" w:space="0"/>
              <w:right w:val="single" w:color="auto" w:sz="8" w:space="0"/>
            </w:tcBorders>
            <w:shd w:val="clear" w:color="000000" w:fill="FFFFFF"/>
            <w:noWrap/>
            <w:vAlign w:val="center"/>
          </w:tcPr>
          <w:p w14:paraId="0040B6B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27</w:t>
            </w:r>
          </w:p>
        </w:tc>
        <w:tc>
          <w:tcPr>
            <w:tcW w:w="1738" w:type="dxa"/>
            <w:tcBorders>
              <w:top w:val="nil"/>
              <w:left w:val="nil"/>
              <w:bottom w:val="single" w:color="auto" w:sz="8" w:space="0"/>
              <w:right w:val="single" w:color="auto" w:sz="8" w:space="0"/>
            </w:tcBorders>
            <w:shd w:val="clear" w:color="000000" w:fill="F8F8F9"/>
            <w:noWrap/>
            <w:vAlign w:val="center"/>
          </w:tcPr>
          <w:p w14:paraId="5821DCF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405705C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沣西新城高桥街办</w:t>
            </w:r>
          </w:p>
        </w:tc>
      </w:tr>
      <w:tr w14:paraId="579DCB14">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F47040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w:t>
            </w:r>
          </w:p>
        </w:tc>
        <w:tc>
          <w:tcPr>
            <w:tcW w:w="1509" w:type="dxa"/>
            <w:tcBorders>
              <w:top w:val="nil"/>
              <w:left w:val="nil"/>
              <w:bottom w:val="single" w:color="auto" w:sz="8" w:space="0"/>
              <w:right w:val="single" w:color="auto" w:sz="8" w:space="0"/>
            </w:tcBorders>
            <w:shd w:val="clear" w:color="000000" w:fill="FFFFFF"/>
            <w:noWrap/>
            <w:vAlign w:val="center"/>
          </w:tcPr>
          <w:p w14:paraId="5C9EAD4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7FD9C91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楼观镇</w:t>
            </w:r>
          </w:p>
        </w:tc>
        <w:tc>
          <w:tcPr>
            <w:tcW w:w="1073" w:type="dxa"/>
            <w:tcBorders>
              <w:top w:val="nil"/>
              <w:left w:val="nil"/>
              <w:bottom w:val="single" w:color="auto" w:sz="8" w:space="0"/>
              <w:right w:val="single" w:color="auto" w:sz="8" w:space="0"/>
            </w:tcBorders>
            <w:shd w:val="clear" w:color="000000" w:fill="FFFFFF"/>
            <w:noWrap/>
            <w:vAlign w:val="center"/>
          </w:tcPr>
          <w:p w14:paraId="731590D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28</w:t>
            </w:r>
          </w:p>
        </w:tc>
        <w:tc>
          <w:tcPr>
            <w:tcW w:w="1738" w:type="dxa"/>
            <w:tcBorders>
              <w:top w:val="nil"/>
              <w:left w:val="nil"/>
              <w:bottom w:val="single" w:color="auto" w:sz="8" w:space="0"/>
              <w:right w:val="single" w:color="auto" w:sz="8" w:space="0"/>
            </w:tcBorders>
            <w:shd w:val="clear" w:color="000000" w:fill="FFFFFF"/>
            <w:noWrap/>
            <w:vAlign w:val="center"/>
          </w:tcPr>
          <w:p w14:paraId="032ED17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6998CB6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沣西新城马王街办</w:t>
            </w:r>
          </w:p>
        </w:tc>
      </w:tr>
      <w:tr w14:paraId="43CAFA38">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086B05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w:t>
            </w:r>
          </w:p>
        </w:tc>
        <w:tc>
          <w:tcPr>
            <w:tcW w:w="1509" w:type="dxa"/>
            <w:tcBorders>
              <w:top w:val="nil"/>
              <w:left w:val="nil"/>
              <w:bottom w:val="single" w:color="auto" w:sz="8" w:space="0"/>
              <w:right w:val="single" w:color="auto" w:sz="8" w:space="0"/>
            </w:tcBorders>
            <w:shd w:val="clear" w:color="000000" w:fill="F8F8F9"/>
            <w:noWrap/>
            <w:vAlign w:val="center"/>
          </w:tcPr>
          <w:p w14:paraId="03A2300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33808B0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司竹镇</w:t>
            </w:r>
          </w:p>
        </w:tc>
        <w:tc>
          <w:tcPr>
            <w:tcW w:w="1073" w:type="dxa"/>
            <w:tcBorders>
              <w:top w:val="nil"/>
              <w:left w:val="nil"/>
              <w:bottom w:val="single" w:color="auto" w:sz="8" w:space="0"/>
              <w:right w:val="single" w:color="auto" w:sz="8" w:space="0"/>
            </w:tcBorders>
            <w:shd w:val="clear" w:color="000000" w:fill="FFFFFF"/>
            <w:noWrap/>
            <w:vAlign w:val="center"/>
          </w:tcPr>
          <w:p w14:paraId="2401552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29</w:t>
            </w:r>
          </w:p>
        </w:tc>
        <w:tc>
          <w:tcPr>
            <w:tcW w:w="1738" w:type="dxa"/>
            <w:tcBorders>
              <w:top w:val="nil"/>
              <w:left w:val="nil"/>
              <w:bottom w:val="single" w:color="auto" w:sz="8" w:space="0"/>
              <w:right w:val="single" w:color="auto" w:sz="8" w:space="0"/>
            </w:tcBorders>
            <w:shd w:val="clear" w:color="000000" w:fill="F8F8F9"/>
            <w:noWrap/>
            <w:vAlign w:val="center"/>
          </w:tcPr>
          <w:p w14:paraId="2B13CDB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6572CCF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沣西新城大王街办</w:t>
            </w:r>
          </w:p>
        </w:tc>
      </w:tr>
      <w:tr w14:paraId="62028BFD">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E29E35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w:t>
            </w:r>
          </w:p>
        </w:tc>
        <w:tc>
          <w:tcPr>
            <w:tcW w:w="1509" w:type="dxa"/>
            <w:tcBorders>
              <w:top w:val="nil"/>
              <w:left w:val="nil"/>
              <w:bottom w:val="single" w:color="auto" w:sz="8" w:space="0"/>
              <w:right w:val="single" w:color="auto" w:sz="8" w:space="0"/>
            </w:tcBorders>
            <w:shd w:val="clear" w:color="000000" w:fill="FFFFFF"/>
            <w:noWrap/>
            <w:vAlign w:val="center"/>
          </w:tcPr>
          <w:p w14:paraId="3136785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62F44A1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四屯镇</w:t>
            </w:r>
          </w:p>
        </w:tc>
        <w:tc>
          <w:tcPr>
            <w:tcW w:w="1073" w:type="dxa"/>
            <w:tcBorders>
              <w:top w:val="nil"/>
              <w:left w:val="nil"/>
              <w:bottom w:val="single" w:color="auto" w:sz="8" w:space="0"/>
              <w:right w:val="single" w:color="auto" w:sz="8" w:space="0"/>
            </w:tcBorders>
            <w:shd w:val="clear" w:color="000000" w:fill="FFFFFF"/>
            <w:noWrap/>
            <w:vAlign w:val="center"/>
          </w:tcPr>
          <w:p w14:paraId="1176A90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30</w:t>
            </w:r>
          </w:p>
        </w:tc>
        <w:tc>
          <w:tcPr>
            <w:tcW w:w="1738" w:type="dxa"/>
            <w:tcBorders>
              <w:top w:val="nil"/>
              <w:left w:val="nil"/>
              <w:bottom w:val="single" w:color="auto" w:sz="8" w:space="0"/>
              <w:right w:val="single" w:color="auto" w:sz="8" w:space="0"/>
            </w:tcBorders>
            <w:shd w:val="clear" w:color="000000" w:fill="FFFFFF"/>
            <w:noWrap/>
            <w:vAlign w:val="center"/>
          </w:tcPr>
          <w:p w14:paraId="72B55DD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4EF42D0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秦汉新城渭城街办</w:t>
            </w:r>
          </w:p>
        </w:tc>
      </w:tr>
      <w:tr w14:paraId="4C35D792">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E5F0BF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w:t>
            </w:r>
          </w:p>
        </w:tc>
        <w:tc>
          <w:tcPr>
            <w:tcW w:w="1509" w:type="dxa"/>
            <w:tcBorders>
              <w:top w:val="nil"/>
              <w:left w:val="nil"/>
              <w:bottom w:val="single" w:color="auto" w:sz="8" w:space="0"/>
              <w:right w:val="single" w:color="auto" w:sz="8" w:space="0"/>
            </w:tcBorders>
            <w:shd w:val="clear" w:color="000000" w:fill="F8F8F9"/>
            <w:noWrap/>
            <w:vAlign w:val="center"/>
          </w:tcPr>
          <w:p w14:paraId="2F66B71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348B5D9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骆峪镇</w:t>
            </w:r>
          </w:p>
        </w:tc>
        <w:tc>
          <w:tcPr>
            <w:tcW w:w="1073" w:type="dxa"/>
            <w:tcBorders>
              <w:top w:val="nil"/>
              <w:left w:val="nil"/>
              <w:bottom w:val="single" w:color="auto" w:sz="8" w:space="0"/>
              <w:right w:val="single" w:color="auto" w:sz="8" w:space="0"/>
            </w:tcBorders>
            <w:shd w:val="clear" w:color="000000" w:fill="FFFFFF"/>
            <w:noWrap/>
            <w:vAlign w:val="center"/>
          </w:tcPr>
          <w:p w14:paraId="6D988BC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31</w:t>
            </w:r>
          </w:p>
        </w:tc>
        <w:tc>
          <w:tcPr>
            <w:tcW w:w="1738" w:type="dxa"/>
            <w:tcBorders>
              <w:top w:val="nil"/>
              <w:left w:val="nil"/>
              <w:bottom w:val="single" w:color="auto" w:sz="8" w:space="0"/>
              <w:right w:val="single" w:color="auto" w:sz="8" w:space="0"/>
            </w:tcBorders>
            <w:shd w:val="clear" w:color="000000" w:fill="F8F8F9"/>
            <w:noWrap/>
            <w:vAlign w:val="center"/>
          </w:tcPr>
          <w:p w14:paraId="6F57AF0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4405E60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秦汉新城窑店街办</w:t>
            </w:r>
          </w:p>
        </w:tc>
      </w:tr>
      <w:tr w14:paraId="0B880A97">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730B14B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w:t>
            </w:r>
          </w:p>
        </w:tc>
        <w:tc>
          <w:tcPr>
            <w:tcW w:w="1509" w:type="dxa"/>
            <w:tcBorders>
              <w:top w:val="nil"/>
              <w:left w:val="nil"/>
              <w:bottom w:val="single" w:color="auto" w:sz="8" w:space="0"/>
              <w:right w:val="single" w:color="auto" w:sz="8" w:space="0"/>
            </w:tcBorders>
            <w:shd w:val="clear" w:color="000000" w:fill="FFFFFF"/>
            <w:noWrap/>
            <w:vAlign w:val="center"/>
          </w:tcPr>
          <w:p w14:paraId="311A6B5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4CFE177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哑柏镇</w:t>
            </w:r>
          </w:p>
        </w:tc>
        <w:tc>
          <w:tcPr>
            <w:tcW w:w="1073" w:type="dxa"/>
            <w:tcBorders>
              <w:top w:val="nil"/>
              <w:left w:val="nil"/>
              <w:bottom w:val="single" w:color="auto" w:sz="8" w:space="0"/>
              <w:right w:val="single" w:color="auto" w:sz="8" w:space="0"/>
            </w:tcBorders>
            <w:shd w:val="clear" w:color="000000" w:fill="FFFFFF"/>
            <w:noWrap/>
            <w:vAlign w:val="center"/>
          </w:tcPr>
          <w:p w14:paraId="20531A6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32</w:t>
            </w:r>
          </w:p>
        </w:tc>
        <w:tc>
          <w:tcPr>
            <w:tcW w:w="1738" w:type="dxa"/>
            <w:tcBorders>
              <w:top w:val="nil"/>
              <w:left w:val="nil"/>
              <w:bottom w:val="single" w:color="auto" w:sz="8" w:space="0"/>
              <w:right w:val="single" w:color="auto" w:sz="8" w:space="0"/>
            </w:tcBorders>
            <w:shd w:val="clear" w:color="000000" w:fill="FFFFFF"/>
            <w:noWrap/>
            <w:vAlign w:val="center"/>
          </w:tcPr>
          <w:p w14:paraId="335AF0A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2927109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秦汉新城正阳街办</w:t>
            </w:r>
          </w:p>
        </w:tc>
      </w:tr>
      <w:tr w14:paraId="7A0B4F3A">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08B34AA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w:t>
            </w:r>
          </w:p>
        </w:tc>
        <w:tc>
          <w:tcPr>
            <w:tcW w:w="1509" w:type="dxa"/>
            <w:tcBorders>
              <w:top w:val="nil"/>
              <w:left w:val="nil"/>
              <w:bottom w:val="single" w:color="auto" w:sz="8" w:space="0"/>
              <w:right w:val="single" w:color="auto" w:sz="8" w:space="0"/>
            </w:tcBorders>
            <w:shd w:val="clear" w:color="000000" w:fill="F8F8F9"/>
            <w:noWrap/>
            <w:vAlign w:val="center"/>
          </w:tcPr>
          <w:p w14:paraId="116EBB6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7BDEACA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青化镇</w:t>
            </w:r>
          </w:p>
        </w:tc>
        <w:tc>
          <w:tcPr>
            <w:tcW w:w="1073" w:type="dxa"/>
            <w:tcBorders>
              <w:top w:val="nil"/>
              <w:left w:val="nil"/>
              <w:bottom w:val="single" w:color="auto" w:sz="8" w:space="0"/>
              <w:right w:val="single" w:color="auto" w:sz="8" w:space="0"/>
            </w:tcBorders>
            <w:shd w:val="clear" w:color="000000" w:fill="FFFFFF"/>
            <w:noWrap/>
            <w:vAlign w:val="center"/>
          </w:tcPr>
          <w:p w14:paraId="14D5064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33</w:t>
            </w:r>
          </w:p>
        </w:tc>
        <w:tc>
          <w:tcPr>
            <w:tcW w:w="1738" w:type="dxa"/>
            <w:tcBorders>
              <w:top w:val="nil"/>
              <w:left w:val="nil"/>
              <w:bottom w:val="single" w:color="auto" w:sz="8" w:space="0"/>
              <w:right w:val="single" w:color="auto" w:sz="8" w:space="0"/>
            </w:tcBorders>
            <w:shd w:val="clear" w:color="000000" w:fill="F8F8F9"/>
            <w:noWrap/>
            <w:vAlign w:val="center"/>
          </w:tcPr>
          <w:p w14:paraId="6832E0C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33ACBBA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秦汉新城周陵街办</w:t>
            </w:r>
          </w:p>
        </w:tc>
      </w:tr>
      <w:tr w14:paraId="36F00B55">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1E58FA0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w:t>
            </w:r>
          </w:p>
        </w:tc>
        <w:tc>
          <w:tcPr>
            <w:tcW w:w="1509" w:type="dxa"/>
            <w:tcBorders>
              <w:top w:val="nil"/>
              <w:left w:val="nil"/>
              <w:bottom w:val="single" w:color="auto" w:sz="8" w:space="0"/>
              <w:right w:val="single" w:color="auto" w:sz="8" w:space="0"/>
            </w:tcBorders>
            <w:shd w:val="clear" w:color="000000" w:fill="FFFFFF"/>
            <w:noWrap/>
            <w:vAlign w:val="center"/>
          </w:tcPr>
          <w:p w14:paraId="27E47B5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654895B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翠峰镇</w:t>
            </w:r>
          </w:p>
        </w:tc>
        <w:tc>
          <w:tcPr>
            <w:tcW w:w="1073" w:type="dxa"/>
            <w:tcBorders>
              <w:top w:val="nil"/>
              <w:left w:val="nil"/>
              <w:bottom w:val="single" w:color="auto" w:sz="8" w:space="0"/>
              <w:right w:val="single" w:color="auto" w:sz="8" w:space="0"/>
            </w:tcBorders>
            <w:shd w:val="clear" w:color="000000" w:fill="FFFFFF"/>
            <w:noWrap/>
            <w:vAlign w:val="center"/>
          </w:tcPr>
          <w:p w14:paraId="3697BA1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34</w:t>
            </w:r>
          </w:p>
        </w:tc>
        <w:tc>
          <w:tcPr>
            <w:tcW w:w="1738" w:type="dxa"/>
            <w:tcBorders>
              <w:top w:val="nil"/>
              <w:left w:val="nil"/>
              <w:bottom w:val="single" w:color="auto" w:sz="8" w:space="0"/>
              <w:right w:val="single" w:color="auto" w:sz="8" w:space="0"/>
            </w:tcBorders>
            <w:shd w:val="clear" w:color="000000" w:fill="FFFFFF"/>
            <w:noWrap/>
            <w:vAlign w:val="center"/>
          </w:tcPr>
          <w:p w14:paraId="6C49384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3D17E01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泾河新城高庄镇</w:t>
            </w:r>
          </w:p>
        </w:tc>
      </w:tr>
      <w:tr w14:paraId="426DD08C">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1E06471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w:t>
            </w:r>
          </w:p>
        </w:tc>
        <w:tc>
          <w:tcPr>
            <w:tcW w:w="1509" w:type="dxa"/>
            <w:tcBorders>
              <w:top w:val="nil"/>
              <w:left w:val="nil"/>
              <w:bottom w:val="single" w:color="auto" w:sz="8" w:space="0"/>
              <w:right w:val="single" w:color="auto" w:sz="8" w:space="0"/>
            </w:tcBorders>
            <w:shd w:val="clear" w:color="000000" w:fill="F8F8F9"/>
            <w:noWrap/>
            <w:vAlign w:val="center"/>
          </w:tcPr>
          <w:p w14:paraId="074DBBF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78C933A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二曲街办</w:t>
            </w:r>
          </w:p>
        </w:tc>
        <w:tc>
          <w:tcPr>
            <w:tcW w:w="1073" w:type="dxa"/>
            <w:tcBorders>
              <w:top w:val="nil"/>
              <w:left w:val="nil"/>
              <w:bottom w:val="single" w:color="auto" w:sz="8" w:space="0"/>
              <w:right w:val="single" w:color="auto" w:sz="8" w:space="0"/>
            </w:tcBorders>
            <w:shd w:val="clear" w:color="000000" w:fill="FFFFFF"/>
            <w:noWrap/>
            <w:vAlign w:val="center"/>
          </w:tcPr>
          <w:p w14:paraId="22CD00C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35</w:t>
            </w:r>
          </w:p>
        </w:tc>
        <w:tc>
          <w:tcPr>
            <w:tcW w:w="1738" w:type="dxa"/>
            <w:tcBorders>
              <w:top w:val="nil"/>
              <w:left w:val="nil"/>
              <w:bottom w:val="single" w:color="auto" w:sz="8" w:space="0"/>
              <w:right w:val="single" w:color="auto" w:sz="8" w:space="0"/>
            </w:tcBorders>
            <w:shd w:val="clear" w:color="000000" w:fill="F8F8F9"/>
            <w:noWrap/>
            <w:vAlign w:val="center"/>
          </w:tcPr>
          <w:p w14:paraId="48C0339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497AF2C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泾河新城崇文镇</w:t>
            </w:r>
          </w:p>
        </w:tc>
      </w:tr>
      <w:tr w14:paraId="38DAF602">
        <w:tblPrEx>
          <w:tblCellMar>
            <w:top w:w="0" w:type="dxa"/>
            <w:left w:w="108" w:type="dxa"/>
            <w:bottom w:w="0" w:type="dxa"/>
            <w:right w:w="108" w:type="dxa"/>
          </w:tblCellMar>
        </w:tblPrEx>
        <w:trPr>
          <w:trHeight w:val="668"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04694C7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w:t>
            </w:r>
          </w:p>
        </w:tc>
        <w:tc>
          <w:tcPr>
            <w:tcW w:w="1509" w:type="dxa"/>
            <w:tcBorders>
              <w:top w:val="nil"/>
              <w:left w:val="nil"/>
              <w:bottom w:val="single" w:color="auto" w:sz="8" w:space="0"/>
              <w:right w:val="single" w:color="auto" w:sz="8" w:space="0"/>
            </w:tcBorders>
            <w:shd w:val="clear" w:color="000000" w:fill="FFFFFF"/>
            <w:noWrap/>
            <w:vAlign w:val="center"/>
          </w:tcPr>
          <w:p w14:paraId="14E96ED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467BF51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马召镇</w:t>
            </w:r>
          </w:p>
        </w:tc>
        <w:tc>
          <w:tcPr>
            <w:tcW w:w="1073" w:type="dxa"/>
            <w:tcBorders>
              <w:top w:val="nil"/>
              <w:left w:val="nil"/>
              <w:bottom w:val="single" w:color="auto" w:sz="8" w:space="0"/>
              <w:right w:val="single" w:color="auto" w:sz="8" w:space="0"/>
            </w:tcBorders>
            <w:shd w:val="clear" w:color="000000" w:fill="FFFFFF"/>
            <w:noWrap/>
            <w:vAlign w:val="center"/>
          </w:tcPr>
          <w:p w14:paraId="707D763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36</w:t>
            </w:r>
          </w:p>
        </w:tc>
        <w:tc>
          <w:tcPr>
            <w:tcW w:w="1738" w:type="dxa"/>
            <w:tcBorders>
              <w:top w:val="nil"/>
              <w:left w:val="nil"/>
              <w:bottom w:val="single" w:color="auto" w:sz="8" w:space="0"/>
              <w:right w:val="single" w:color="auto" w:sz="8" w:space="0"/>
            </w:tcBorders>
            <w:shd w:val="clear" w:color="000000" w:fill="FFFFFF"/>
            <w:noWrap/>
            <w:vAlign w:val="center"/>
          </w:tcPr>
          <w:p w14:paraId="6E5B239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4E4BA94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泾河新城永乐镇（原泾干）</w:t>
            </w:r>
          </w:p>
        </w:tc>
      </w:tr>
      <w:tr w14:paraId="1383E2EB">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67B4C6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w:t>
            </w:r>
          </w:p>
        </w:tc>
        <w:tc>
          <w:tcPr>
            <w:tcW w:w="1509" w:type="dxa"/>
            <w:tcBorders>
              <w:top w:val="nil"/>
              <w:left w:val="nil"/>
              <w:bottom w:val="single" w:color="auto" w:sz="8" w:space="0"/>
              <w:right w:val="single" w:color="auto" w:sz="8" w:space="0"/>
            </w:tcBorders>
            <w:shd w:val="clear" w:color="000000" w:fill="F8F8F9"/>
            <w:noWrap/>
            <w:vAlign w:val="center"/>
          </w:tcPr>
          <w:p w14:paraId="4F30A2C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157ADAE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陈河镇</w:t>
            </w:r>
          </w:p>
        </w:tc>
        <w:tc>
          <w:tcPr>
            <w:tcW w:w="1073" w:type="dxa"/>
            <w:tcBorders>
              <w:top w:val="nil"/>
              <w:left w:val="nil"/>
              <w:bottom w:val="single" w:color="auto" w:sz="8" w:space="0"/>
              <w:right w:val="single" w:color="auto" w:sz="8" w:space="0"/>
            </w:tcBorders>
            <w:shd w:val="clear" w:color="000000" w:fill="FFFFFF"/>
            <w:noWrap/>
            <w:vAlign w:val="center"/>
          </w:tcPr>
          <w:p w14:paraId="258BF85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37</w:t>
            </w:r>
          </w:p>
        </w:tc>
        <w:tc>
          <w:tcPr>
            <w:tcW w:w="1738" w:type="dxa"/>
            <w:tcBorders>
              <w:top w:val="nil"/>
              <w:left w:val="nil"/>
              <w:bottom w:val="single" w:color="auto" w:sz="8" w:space="0"/>
              <w:right w:val="single" w:color="auto" w:sz="8" w:space="0"/>
            </w:tcBorders>
            <w:shd w:val="clear" w:color="000000" w:fill="F8F8F9"/>
            <w:noWrap/>
            <w:vAlign w:val="center"/>
          </w:tcPr>
          <w:p w14:paraId="379CD5C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70CBD7B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空港新城北杜街办</w:t>
            </w:r>
          </w:p>
        </w:tc>
      </w:tr>
      <w:tr w14:paraId="34BB0166">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35F75B4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18</w:t>
            </w:r>
          </w:p>
        </w:tc>
        <w:tc>
          <w:tcPr>
            <w:tcW w:w="1509" w:type="dxa"/>
            <w:tcBorders>
              <w:top w:val="nil"/>
              <w:left w:val="nil"/>
              <w:bottom w:val="single" w:color="auto" w:sz="8" w:space="0"/>
              <w:right w:val="single" w:color="auto" w:sz="8" w:space="0"/>
            </w:tcBorders>
            <w:shd w:val="clear" w:color="000000" w:fill="FFFFFF"/>
            <w:noWrap/>
            <w:vAlign w:val="center"/>
          </w:tcPr>
          <w:p w14:paraId="12B4968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43D2386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厚畛子镇</w:t>
            </w:r>
          </w:p>
        </w:tc>
        <w:tc>
          <w:tcPr>
            <w:tcW w:w="1073" w:type="dxa"/>
            <w:tcBorders>
              <w:top w:val="nil"/>
              <w:left w:val="nil"/>
              <w:bottom w:val="single" w:color="auto" w:sz="8" w:space="0"/>
              <w:right w:val="single" w:color="auto" w:sz="8" w:space="0"/>
            </w:tcBorders>
            <w:shd w:val="clear" w:color="000000" w:fill="FFFFFF"/>
            <w:noWrap/>
            <w:vAlign w:val="center"/>
          </w:tcPr>
          <w:p w14:paraId="10F2F12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38</w:t>
            </w:r>
          </w:p>
        </w:tc>
        <w:tc>
          <w:tcPr>
            <w:tcW w:w="1738" w:type="dxa"/>
            <w:tcBorders>
              <w:top w:val="nil"/>
              <w:left w:val="nil"/>
              <w:bottom w:val="single" w:color="auto" w:sz="8" w:space="0"/>
              <w:right w:val="single" w:color="auto" w:sz="8" w:space="0"/>
            </w:tcBorders>
            <w:shd w:val="clear" w:color="000000" w:fill="FFFFFF"/>
            <w:noWrap/>
            <w:vAlign w:val="center"/>
          </w:tcPr>
          <w:p w14:paraId="3D75169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24F7796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空港新城太平镇</w:t>
            </w:r>
          </w:p>
        </w:tc>
      </w:tr>
      <w:tr w14:paraId="7332204F">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E1090B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19</w:t>
            </w:r>
          </w:p>
        </w:tc>
        <w:tc>
          <w:tcPr>
            <w:tcW w:w="1509" w:type="dxa"/>
            <w:tcBorders>
              <w:top w:val="nil"/>
              <w:left w:val="nil"/>
              <w:bottom w:val="single" w:color="auto" w:sz="8" w:space="0"/>
              <w:right w:val="single" w:color="auto" w:sz="8" w:space="0"/>
            </w:tcBorders>
            <w:shd w:val="clear" w:color="000000" w:fill="F8F8F9"/>
            <w:noWrap/>
            <w:vAlign w:val="center"/>
          </w:tcPr>
          <w:p w14:paraId="3523D37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111BB8F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王家河镇</w:t>
            </w:r>
          </w:p>
        </w:tc>
        <w:tc>
          <w:tcPr>
            <w:tcW w:w="1073" w:type="dxa"/>
            <w:tcBorders>
              <w:top w:val="nil"/>
              <w:left w:val="nil"/>
              <w:bottom w:val="single" w:color="auto" w:sz="8" w:space="0"/>
              <w:right w:val="single" w:color="auto" w:sz="8" w:space="0"/>
            </w:tcBorders>
            <w:shd w:val="clear" w:color="000000" w:fill="FFFFFF"/>
            <w:noWrap/>
            <w:vAlign w:val="center"/>
          </w:tcPr>
          <w:p w14:paraId="24B0C21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39</w:t>
            </w:r>
          </w:p>
        </w:tc>
        <w:tc>
          <w:tcPr>
            <w:tcW w:w="1738" w:type="dxa"/>
            <w:tcBorders>
              <w:top w:val="nil"/>
              <w:left w:val="nil"/>
              <w:bottom w:val="single" w:color="auto" w:sz="8" w:space="0"/>
              <w:right w:val="single" w:color="auto" w:sz="8" w:space="0"/>
            </w:tcBorders>
            <w:shd w:val="clear" w:color="000000" w:fill="F8F8F9"/>
            <w:noWrap/>
            <w:vAlign w:val="center"/>
          </w:tcPr>
          <w:p w14:paraId="5DB7D3D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497DB98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空港新城底张街办</w:t>
            </w:r>
          </w:p>
        </w:tc>
      </w:tr>
      <w:tr w14:paraId="00A33085">
        <w:tblPrEx>
          <w:tblCellMar>
            <w:top w:w="0" w:type="dxa"/>
            <w:left w:w="108" w:type="dxa"/>
            <w:bottom w:w="0" w:type="dxa"/>
            <w:right w:w="108" w:type="dxa"/>
          </w:tblCellMar>
        </w:tblPrEx>
        <w:trPr>
          <w:trHeight w:val="39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C25E29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20</w:t>
            </w:r>
          </w:p>
        </w:tc>
        <w:tc>
          <w:tcPr>
            <w:tcW w:w="1509" w:type="dxa"/>
            <w:tcBorders>
              <w:top w:val="nil"/>
              <w:left w:val="nil"/>
              <w:bottom w:val="single" w:color="auto" w:sz="8" w:space="0"/>
              <w:right w:val="single" w:color="auto" w:sz="8" w:space="0"/>
            </w:tcBorders>
            <w:shd w:val="clear" w:color="000000" w:fill="FFFFFF"/>
            <w:noWrap/>
            <w:vAlign w:val="center"/>
          </w:tcPr>
          <w:p w14:paraId="3BB8E6A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04A7D92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板房子镇</w:t>
            </w:r>
          </w:p>
        </w:tc>
        <w:tc>
          <w:tcPr>
            <w:tcW w:w="1073" w:type="dxa"/>
            <w:tcBorders>
              <w:top w:val="nil"/>
              <w:left w:val="nil"/>
              <w:bottom w:val="single" w:color="auto" w:sz="8" w:space="0"/>
              <w:right w:val="single" w:color="auto" w:sz="8" w:space="0"/>
            </w:tcBorders>
            <w:shd w:val="clear" w:color="000000" w:fill="FFFFFF"/>
            <w:noWrap/>
            <w:vAlign w:val="center"/>
          </w:tcPr>
          <w:p w14:paraId="46C4BBE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　</w:t>
            </w:r>
          </w:p>
        </w:tc>
        <w:tc>
          <w:tcPr>
            <w:tcW w:w="1738" w:type="dxa"/>
            <w:tcBorders>
              <w:top w:val="nil"/>
              <w:left w:val="nil"/>
              <w:bottom w:val="single" w:color="auto" w:sz="8" w:space="0"/>
              <w:right w:val="single" w:color="auto" w:sz="8" w:space="0"/>
            </w:tcBorders>
            <w:shd w:val="clear" w:color="000000" w:fill="FFFFFF"/>
            <w:noWrap/>
            <w:vAlign w:val="center"/>
          </w:tcPr>
          <w:p w14:paraId="23C9819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　</w:t>
            </w:r>
          </w:p>
        </w:tc>
        <w:tc>
          <w:tcPr>
            <w:tcW w:w="2869" w:type="dxa"/>
            <w:tcBorders>
              <w:top w:val="nil"/>
              <w:left w:val="nil"/>
              <w:bottom w:val="single" w:color="auto" w:sz="8" w:space="0"/>
              <w:right w:val="single" w:color="auto" w:sz="8" w:space="0"/>
            </w:tcBorders>
            <w:shd w:val="clear" w:color="000000" w:fill="FFFFFF"/>
            <w:noWrap/>
            <w:vAlign w:val="center"/>
          </w:tcPr>
          <w:p w14:paraId="77C1AA2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　</w:t>
            </w:r>
          </w:p>
        </w:tc>
      </w:tr>
    </w:tbl>
    <w:p w14:paraId="36FB8EF6">
      <w:pPr>
        <w:pStyle w:val="11"/>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1.2 空气站情况</w:t>
      </w:r>
    </w:p>
    <w:p w14:paraId="2AF3844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（1）仪器设备</w:t>
      </w:r>
    </w:p>
    <w:p w14:paraId="190B58B6">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负责运维的设备主要包括监测仪器、辅助设备两部分，其中监测仪器包括O3、PM10、PM2.5、SO2、CO、NOx六项指标分析仪，辅助设备包括采样系统、数据采集与传输软硬件、制冷系统、供电系统、防雷系统以及视频监控系统等。</w:t>
      </w:r>
    </w:p>
    <w:p w14:paraId="3CFC2F0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监测设备品牌型号、监测原理如下：</w:t>
      </w:r>
    </w:p>
    <w:tbl>
      <w:tblPr>
        <w:tblStyle w:val="7"/>
        <w:tblW w:w="9338"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34"/>
        <w:gridCol w:w="2571"/>
        <w:gridCol w:w="2618"/>
        <w:gridCol w:w="2115"/>
      </w:tblGrid>
      <w:tr w14:paraId="1B5AA6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Align w:val="center"/>
          </w:tcPr>
          <w:p w14:paraId="6DFF6EA4">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监测项目</w:t>
            </w:r>
          </w:p>
        </w:tc>
        <w:tc>
          <w:tcPr>
            <w:tcW w:w="2571" w:type="dxa"/>
            <w:vAlign w:val="center"/>
          </w:tcPr>
          <w:p w14:paraId="4547FF31">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品牌型号</w:t>
            </w:r>
          </w:p>
        </w:tc>
        <w:tc>
          <w:tcPr>
            <w:tcW w:w="2618" w:type="dxa"/>
            <w:tcBorders>
              <w:right w:val="single" w:color="auto" w:sz="4" w:space="0"/>
            </w:tcBorders>
            <w:vAlign w:val="center"/>
          </w:tcPr>
          <w:p w14:paraId="5F5EB2CB">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测量原理</w:t>
            </w:r>
          </w:p>
        </w:tc>
        <w:tc>
          <w:tcPr>
            <w:tcW w:w="2115" w:type="dxa"/>
            <w:tcBorders>
              <w:left w:val="single" w:color="auto" w:sz="4" w:space="0"/>
            </w:tcBorders>
            <w:vAlign w:val="center"/>
          </w:tcPr>
          <w:p w14:paraId="3AB61301">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45DDE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Align w:val="center"/>
          </w:tcPr>
          <w:p w14:paraId="2619F0C4">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w:t>
            </w:r>
            <w:r>
              <w:rPr>
                <w:rFonts w:hint="eastAsia" w:ascii="宋体" w:hAnsi="宋体" w:eastAsia="宋体" w:cs="宋体"/>
                <w:color w:val="auto"/>
                <w:sz w:val="21"/>
                <w:szCs w:val="21"/>
                <w:highlight w:val="none"/>
                <w:vertAlign w:val="subscript"/>
              </w:rPr>
              <w:t>10</w:t>
            </w:r>
          </w:p>
        </w:tc>
        <w:tc>
          <w:tcPr>
            <w:tcW w:w="2571" w:type="dxa"/>
            <w:vAlign w:val="center"/>
          </w:tcPr>
          <w:p w14:paraId="106A9A94">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5014i</w:t>
            </w:r>
          </w:p>
        </w:tc>
        <w:tc>
          <w:tcPr>
            <w:tcW w:w="2618" w:type="dxa"/>
            <w:tcBorders>
              <w:right w:val="single" w:color="auto" w:sz="4" w:space="0"/>
            </w:tcBorders>
            <w:vAlign w:val="center"/>
          </w:tcPr>
          <w:p w14:paraId="6EC07A28">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β射线法</w:t>
            </w:r>
          </w:p>
        </w:tc>
        <w:tc>
          <w:tcPr>
            <w:tcW w:w="2115" w:type="dxa"/>
            <w:tcBorders>
              <w:left w:val="single" w:color="auto" w:sz="4" w:space="0"/>
            </w:tcBorders>
            <w:vAlign w:val="center"/>
          </w:tcPr>
          <w:p w14:paraId="68ACBB61">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39个站</w:t>
            </w:r>
          </w:p>
        </w:tc>
      </w:tr>
      <w:tr w14:paraId="473B5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Align w:val="center"/>
          </w:tcPr>
          <w:p w14:paraId="0F33E9C1">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w:t>
            </w:r>
            <w:r>
              <w:rPr>
                <w:rFonts w:hint="eastAsia" w:ascii="宋体" w:hAnsi="宋体" w:eastAsia="宋体" w:cs="宋体"/>
                <w:color w:val="auto"/>
                <w:sz w:val="21"/>
                <w:szCs w:val="21"/>
                <w:highlight w:val="none"/>
                <w:vertAlign w:val="subscript"/>
              </w:rPr>
              <w:t>2.5</w:t>
            </w:r>
          </w:p>
        </w:tc>
        <w:tc>
          <w:tcPr>
            <w:tcW w:w="2571" w:type="dxa"/>
            <w:vAlign w:val="center"/>
          </w:tcPr>
          <w:p w14:paraId="26BCB7F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5014i</w:t>
            </w:r>
          </w:p>
        </w:tc>
        <w:tc>
          <w:tcPr>
            <w:tcW w:w="2618" w:type="dxa"/>
            <w:tcBorders>
              <w:right w:val="single" w:color="auto" w:sz="4" w:space="0"/>
            </w:tcBorders>
            <w:vAlign w:val="center"/>
          </w:tcPr>
          <w:p w14:paraId="3CBA857F">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β射线法</w:t>
            </w:r>
          </w:p>
        </w:tc>
        <w:tc>
          <w:tcPr>
            <w:tcW w:w="2115" w:type="dxa"/>
            <w:tcBorders>
              <w:left w:val="single" w:color="auto" w:sz="4" w:space="0"/>
            </w:tcBorders>
            <w:vAlign w:val="center"/>
          </w:tcPr>
          <w:p w14:paraId="68B925B9">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39个站</w:t>
            </w:r>
          </w:p>
        </w:tc>
      </w:tr>
      <w:tr w14:paraId="09CB1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Align w:val="center"/>
          </w:tcPr>
          <w:p w14:paraId="1016EA5E">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O</w:t>
            </w:r>
            <w:r>
              <w:rPr>
                <w:rFonts w:hint="eastAsia" w:ascii="宋体" w:hAnsi="宋体" w:eastAsia="宋体" w:cs="宋体"/>
                <w:color w:val="auto"/>
                <w:sz w:val="21"/>
                <w:szCs w:val="21"/>
                <w:highlight w:val="none"/>
                <w:vertAlign w:val="subscript"/>
              </w:rPr>
              <w:t>3</w:t>
            </w:r>
          </w:p>
        </w:tc>
        <w:tc>
          <w:tcPr>
            <w:tcW w:w="2571" w:type="dxa"/>
            <w:vAlign w:val="center"/>
          </w:tcPr>
          <w:p w14:paraId="1BD2DDC0">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49i</w:t>
            </w:r>
          </w:p>
        </w:tc>
        <w:tc>
          <w:tcPr>
            <w:tcW w:w="2618" w:type="dxa"/>
            <w:tcBorders>
              <w:right w:val="single" w:color="auto" w:sz="4" w:space="0"/>
            </w:tcBorders>
            <w:vAlign w:val="center"/>
          </w:tcPr>
          <w:p w14:paraId="29060DA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紫外吸收法</w:t>
            </w:r>
          </w:p>
        </w:tc>
        <w:tc>
          <w:tcPr>
            <w:tcW w:w="2115" w:type="dxa"/>
            <w:tcBorders>
              <w:left w:val="single" w:color="auto" w:sz="4" w:space="0"/>
            </w:tcBorders>
            <w:vAlign w:val="center"/>
          </w:tcPr>
          <w:p w14:paraId="2CAA756D">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39个站</w:t>
            </w:r>
          </w:p>
        </w:tc>
      </w:tr>
      <w:tr w14:paraId="5AA0A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Merge w:val="restart"/>
            <w:vAlign w:val="center"/>
          </w:tcPr>
          <w:p w14:paraId="4DDC0F3B">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SO</w:t>
            </w:r>
            <w:r>
              <w:rPr>
                <w:rFonts w:hint="eastAsia" w:ascii="宋体" w:hAnsi="宋体" w:eastAsia="宋体" w:cs="宋体"/>
                <w:color w:val="auto"/>
                <w:sz w:val="21"/>
                <w:szCs w:val="21"/>
                <w:highlight w:val="none"/>
                <w:vertAlign w:val="subscript"/>
              </w:rPr>
              <w:t>2</w:t>
            </w:r>
          </w:p>
        </w:tc>
        <w:tc>
          <w:tcPr>
            <w:tcW w:w="2571" w:type="dxa"/>
            <w:vAlign w:val="center"/>
          </w:tcPr>
          <w:p w14:paraId="01D7C3D2">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43i</w:t>
            </w:r>
          </w:p>
        </w:tc>
        <w:tc>
          <w:tcPr>
            <w:tcW w:w="2618" w:type="dxa"/>
            <w:tcBorders>
              <w:right w:val="single" w:color="auto" w:sz="4" w:space="0"/>
            </w:tcBorders>
            <w:vAlign w:val="center"/>
          </w:tcPr>
          <w:p w14:paraId="35987209">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紫外荧光法</w:t>
            </w:r>
          </w:p>
        </w:tc>
        <w:tc>
          <w:tcPr>
            <w:tcW w:w="2115" w:type="dxa"/>
            <w:tcBorders>
              <w:left w:val="single" w:color="auto" w:sz="4" w:space="0"/>
            </w:tcBorders>
            <w:vAlign w:val="center"/>
          </w:tcPr>
          <w:p w14:paraId="6C323FE8">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西安20个站点</w:t>
            </w:r>
          </w:p>
        </w:tc>
      </w:tr>
      <w:tr w14:paraId="1598A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Merge w:val="continue"/>
            <w:vAlign w:val="center"/>
          </w:tcPr>
          <w:p w14:paraId="7A87E31E">
            <w:pPr>
              <w:adjustRightInd w:val="0"/>
              <w:jc w:val="center"/>
              <w:textAlignment w:val="baseline"/>
              <w:rPr>
                <w:rFonts w:hint="eastAsia" w:ascii="宋体" w:hAnsi="宋体" w:eastAsia="宋体" w:cs="宋体"/>
                <w:color w:val="auto"/>
                <w:sz w:val="21"/>
                <w:szCs w:val="21"/>
                <w:highlight w:val="none"/>
              </w:rPr>
            </w:pPr>
          </w:p>
        </w:tc>
        <w:tc>
          <w:tcPr>
            <w:tcW w:w="2571" w:type="dxa"/>
            <w:vAlign w:val="center"/>
          </w:tcPr>
          <w:p w14:paraId="0E89A37E">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TH-2002H</w:t>
            </w:r>
          </w:p>
        </w:tc>
        <w:tc>
          <w:tcPr>
            <w:tcW w:w="2618" w:type="dxa"/>
            <w:tcBorders>
              <w:right w:val="single" w:color="auto" w:sz="4" w:space="0"/>
            </w:tcBorders>
            <w:vAlign w:val="center"/>
          </w:tcPr>
          <w:p w14:paraId="088163D0">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紫外荧光法</w:t>
            </w:r>
          </w:p>
        </w:tc>
        <w:tc>
          <w:tcPr>
            <w:tcW w:w="2115" w:type="dxa"/>
            <w:tcBorders>
              <w:left w:val="single" w:color="auto" w:sz="4" w:space="0"/>
            </w:tcBorders>
            <w:vAlign w:val="center"/>
          </w:tcPr>
          <w:p w14:paraId="0759306C">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西咸19个站点</w:t>
            </w:r>
          </w:p>
        </w:tc>
      </w:tr>
      <w:tr w14:paraId="2083E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Merge w:val="restart"/>
            <w:vAlign w:val="center"/>
          </w:tcPr>
          <w:p w14:paraId="3D67CE50">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w:t>
            </w:r>
          </w:p>
        </w:tc>
        <w:tc>
          <w:tcPr>
            <w:tcW w:w="2571" w:type="dxa"/>
            <w:vAlign w:val="center"/>
          </w:tcPr>
          <w:p w14:paraId="0296B05D">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48i</w:t>
            </w:r>
          </w:p>
        </w:tc>
        <w:tc>
          <w:tcPr>
            <w:tcW w:w="2618" w:type="dxa"/>
            <w:tcBorders>
              <w:right w:val="single" w:color="auto" w:sz="4" w:space="0"/>
            </w:tcBorders>
            <w:vAlign w:val="center"/>
          </w:tcPr>
          <w:p w14:paraId="6128A43B">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红外吸收法</w:t>
            </w:r>
          </w:p>
        </w:tc>
        <w:tc>
          <w:tcPr>
            <w:tcW w:w="2115" w:type="dxa"/>
            <w:tcBorders>
              <w:left w:val="single" w:color="auto" w:sz="4" w:space="0"/>
            </w:tcBorders>
            <w:vAlign w:val="center"/>
          </w:tcPr>
          <w:p w14:paraId="10738A3C">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西安20个站点</w:t>
            </w:r>
          </w:p>
        </w:tc>
      </w:tr>
      <w:tr w14:paraId="44A99F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Merge w:val="continue"/>
            <w:vAlign w:val="center"/>
          </w:tcPr>
          <w:p w14:paraId="1BB187C3">
            <w:pPr>
              <w:adjustRightInd w:val="0"/>
              <w:jc w:val="center"/>
              <w:textAlignment w:val="baseline"/>
              <w:rPr>
                <w:rFonts w:hint="eastAsia" w:ascii="宋体" w:hAnsi="宋体" w:eastAsia="宋体" w:cs="宋体"/>
                <w:color w:val="auto"/>
                <w:sz w:val="21"/>
                <w:szCs w:val="21"/>
                <w:highlight w:val="none"/>
              </w:rPr>
            </w:pPr>
          </w:p>
        </w:tc>
        <w:tc>
          <w:tcPr>
            <w:tcW w:w="2571" w:type="dxa"/>
            <w:vAlign w:val="center"/>
          </w:tcPr>
          <w:p w14:paraId="4C561A5E">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TH-2004H</w:t>
            </w:r>
          </w:p>
        </w:tc>
        <w:tc>
          <w:tcPr>
            <w:tcW w:w="2618" w:type="dxa"/>
            <w:tcBorders>
              <w:right w:val="single" w:color="auto" w:sz="4" w:space="0"/>
            </w:tcBorders>
            <w:vAlign w:val="center"/>
          </w:tcPr>
          <w:p w14:paraId="360E3E4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红外吸收法</w:t>
            </w:r>
          </w:p>
        </w:tc>
        <w:tc>
          <w:tcPr>
            <w:tcW w:w="2115" w:type="dxa"/>
            <w:tcBorders>
              <w:left w:val="single" w:color="auto" w:sz="4" w:space="0"/>
            </w:tcBorders>
            <w:vAlign w:val="center"/>
          </w:tcPr>
          <w:p w14:paraId="39E80338">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西咸19个站点</w:t>
            </w:r>
          </w:p>
        </w:tc>
      </w:tr>
      <w:tr w14:paraId="64A6D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Merge w:val="restart"/>
            <w:vAlign w:val="center"/>
          </w:tcPr>
          <w:p w14:paraId="1CAFBDB7">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NOx</w:t>
            </w:r>
          </w:p>
        </w:tc>
        <w:tc>
          <w:tcPr>
            <w:tcW w:w="2571" w:type="dxa"/>
            <w:vAlign w:val="center"/>
          </w:tcPr>
          <w:p w14:paraId="753FEF5C">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42i</w:t>
            </w:r>
          </w:p>
        </w:tc>
        <w:tc>
          <w:tcPr>
            <w:tcW w:w="2618" w:type="dxa"/>
            <w:tcBorders>
              <w:right w:val="single" w:color="auto" w:sz="4" w:space="0"/>
            </w:tcBorders>
            <w:vAlign w:val="center"/>
          </w:tcPr>
          <w:p w14:paraId="237C2681">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化学发光法</w:t>
            </w:r>
          </w:p>
        </w:tc>
        <w:tc>
          <w:tcPr>
            <w:tcW w:w="2115" w:type="dxa"/>
            <w:tcBorders>
              <w:left w:val="single" w:color="auto" w:sz="4" w:space="0"/>
            </w:tcBorders>
            <w:vAlign w:val="center"/>
          </w:tcPr>
          <w:p w14:paraId="71874CAB">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西安20个站点</w:t>
            </w:r>
          </w:p>
        </w:tc>
      </w:tr>
      <w:tr w14:paraId="4E94B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3" w:hRule="atLeast"/>
        </w:trPr>
        <w:tc>
          <w:tcPr>
            <w:tcW w:w="2034" w:type="dxa"/>
            <w:vMerge w:val="continue"/>
            <w:vAlign w:val="center"/>
          </w:tcPr>
          <w:p w14:paraId="733EA3E5">
            <w:pPr>
              <w:adjustRightInd w:val="0"/>
              <w:jc w:val="center"/>
              <w:textAlignment w:val="baseline"/>
              <w:rPr>
                <w:rFonts w:hint="eastAsia" w:ascii="宋体" w:hAnsi="宋体" w:eastAsia="宋体" w:cs="宋体"/>
                <w:color w:val="auto"/>
                <w:sz w:val="21"/>
                <w:szCs w:val="21"/>
                <w:highlight w:val="none"/>
              </w:rPr>
            </w:pPr>
          </w:p>
        </w:tc>
        <w:tc>
          <w:tcPr>
            <w:tcW w:w="2571" w:type="dxa"/>
            <w:vAlign w:val="center"/>
          </w:tcPr>
          <w:p w14:paraId="715B861B">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TH-2001H</w:t>
            </w:r>
          </w:p>
        </w:tc>
        <w:tc>
          <w:tcPr>
            <w:tcW w:w="2618" w:type="dxa"/>
            <w:tcBorders>
              <w:right w:val="single" w:color="auto" w:sz="4" w:space="0"/>
            </w:tcBorders>
            <w:vAlign w:val="center"/>
          </w:tcPr>
          <w:p w14:paraId="02778514">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化学发光法</w:t>
            </w:r>
          </w:p>
        </w:tc>
        <w:tc>
          <w:tcPr>
            <w:tcW w:w="2115" w:type="dxa"/>
            <w:tcBorders>
              <w:left w:val="single" w:color="auto" w:sz="4" w:space="0"/>
            </w:tcBorders>
            <w:vAlign w:val="center"/>
          </w:tcPr>
          <w:p w14:paraId="122A60BE">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西咸19个站点</w:t>
            </w:r>
          </w:p>
        </w:tc>
      </w:tr>
    </w:tbl>
    <w:p w14:paraId="6DC06F46">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1.2.2监测项目</w:t>
      </w:r>
    </w:p>
    <w:p w14:paraId="0BD35CEC">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各站点均监测O3、PM10、PM2.5、SO2、CO、NOx六项指标。</w:t>
      </w:r>
    </w:p>
    <w:p w14:paraId="5AC3B2E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1.2.3监测频次及数据传输</w:t>
      </w:r>
    </w:p>
    <w:p w14:paraId="0E18098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监测工作方式为24小时不间断连续自动监测，本项目在线路可达的站点采用4M MSTP专线组网，少部分无法铺设的站点辅助以中国移动APN无线方式组网，向西安市智慧环保指挥平台实时监测数据。上传数据包括各监测设备的实时监测分钟值、小时值及工控机的状态参数等，各监测项目监测频次参照《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lang w:val="zh-CN" w:eastAsia="zh-CN"/>
        </w:rPr>
        <w:t>中数据统计的有效性规定执行。</w:t>
      </w:r>
    </w:p>
    <w:p w14:paraId="41D060E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1.2.4站点基础设施及电力、通讯保障</w:t>
      </w:r>
    </w:p>
    <w:p w14:paraId="7227165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西安市智慧环保项目空气监测自动站属于小型站，配备稳定的电力供应和通讯设备，并能向西安市智慧环保指挥大厅正常上传监测数据。</w:t>
      </w:r>
    </w:p>
    <w:p w14:paraId="7A5DF49B">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1.2.5空气站其他情况</w:t>
      </w:r>
    </w:p>
    <w:p w14:paraId="2208E11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目前，大多数子站未采用国家电网（陕西地电）直接供电方式供电，而是通过二次电表计价供电。根据取电来源，大致可分为村民家庭供电、村委会供电、街道办事处供电、企业（民企/国企）供电、事业单位（学校/公园/孵化器）供电、国家电网（陕西地电）供电。子站未配备臭氧校准设备和颗粒物标准膜片。目前，部分空气站（高空站）暂未安装安全爬梯。</w:t>
      </w:r>
    </w:p>
    <w:p w14:paraId="3D961F0A">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2.运维工作目标</w:t>
      </w:r>
    </w:p>
    <w:p w14:paraId="75F3D09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运行维护工作应按照安全生产有关规定，建立安全生产制度，切实消除安全隐患；运行维护工作必须确保提供及时、准确、有效的监测数据，空气站运行质量应达到以下指标：</w:t>
      </w:r>
    </w:p>
    <w:p w14:paraId="3121FB9B">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（1）所获取的各项指标的有效监测数据必须满足《环境空气质量标准》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lang w:val="zh-CN" w:eastAsia="zh-CN"/>
        </w:rPr>
        <w:t>中规定的污染物浓度数据有效性最低要求；</w:t>
      </w:r>
    </w:p>
    <w:p w14:paraId="0BB50C9E">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（2）各项指标数据捕获率达到90%（以小时值计）以上；</w:t>
      </w:r>
    </w:p>
    <w:p w14:paraId="6C6EFA9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（3）各项指标数据有效率达到80%（以小时值计）以上；</w:t>
      </w:r>
    </w:p>
    <w:p w14:paraId="70EC4B3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（4）运维任务完成率100%；</w:t>
      </w:r>
    </w:p>
    <w:p w14:paraId="7FA1A6BE">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（5）异常情况处理率100%；</w:t>
      </w:r>
    </w:p>
    <w:p w14:paraId="5BD1DA9E">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3.运维工作内容</w:t>
      </w:r>
    </w:p>
    <w:p w14:paraId="4511D2D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运维过程中主要完成以下工作：</w:t>
      </w:r>
    </w:p>
    <w:p w14:paraId="673A340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（1）空气站的日常运行维护，备件耗材更换；</w:t>
      </w:r>
    </w:p>
    <w:p w14:paraId="18FB958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（2）空气站的设备维护保养及维修；</w:t>
      </w:r>
    </w:p>
    <w:p w14:paraId="115A61D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（3）当仪器出现故障不能及时修复时，应在48小时之内使用备机开展监测；</w:t>
      </w:r>
    </w:p>
    <w:p w14:paraId="3AFA57D6">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 xml:space="preserve">（4）空气站的内部质控措施； </w:t>
      </w:r>
    </w:p>
    <w:p w14:paraId="1091662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（5）空气站通讯及数据采集系统的维护及维修，保障空气站与西安市智慧环保指挥平台通讯正常；</w:t>
      </w:r>
    </w:p>
    <w:p w14:paraId="0F554E76">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（6）空气站相关辅助设施的维护、保养、维修；</w:t>
      </w:r>
    </w:p>
    <w:p w14:paraId="4AC0FF7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（7）运维电费和通讯费用由运维单位承担；</w:t>
      </w:r>
    </w:p>
    <w:p w14:paraId="621F5656">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（8）运维过程中产生的备机及耗材费用由运维单位承担；</w:t>
      </w:r>
    </w:p>
    <w:p w14:paraId="57F2E6A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（9）运维单位在运维期内须无条件配合</w:t>
      </w:r>
      <w:r>
        <w:rPr>
          <w:rFonts w:hint="eastAsia" w:ascii="宋体" w:hAnsi="宋体" w:eastAsia="宋体" w:cs="宋体"/>
          <w:b w:val="0"/>
          <w:bCs w:val="0"/>
          <w:color w:val="auto"/>
          <w:sz w:val="24"/>
          <w:szCs w:val="24"/>
          <w:highlight w:val="none"/>
          <w:lang w:val="en-US" w:eastAsia="zh-CN"/>
        </w:rPr>
        <w:t>采购人</w:t>
      </w:r>
      <w:r>
        <w:rPr>
          <w:rFonts w:hint="eastAsia" w:ascii="宋体" w:hAnsi="宋体" w:eastAsia="宋体" w:cs="宋体"/>
          <w:b w:val="0"/>
          <w:bCs w:val="0"/>
          <w:color w:val="auto"/>
          <w:sz w:val="24"/>
          <w:szCs w:val="24"/>
          <w:highlight w:val="none"/>
          <w:lang w:val="zh-CN" w:eastAsia="zh-CN"/>
        </w:rPr>
        <w:t>组织的小型站相关设备补充、升级工作，并保障监测数据的完整性、准确性。</w:t>
      </w:r>
    </w:p>
    <w:p w14:paraId="1B4A865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10）委托运行维护及管理的全部资产（包括全部产权和建筑物、设备及配套设施）属采购人所有。未经采购人同意，运维单位不得以任何方式对各类财产进行出售、抵押或转移；同时，在委托运行及管理期间，运维单位有责任保证上述全部资产的完整、安全并处于良好状态，运维单位应根据站点分布及安全保障情况购买财产保险（含第三方责任险），避免出现被盗、人为破坏等原因造成的资产损失。出现空气站资产丢失、损坏等情况，一切责任由运维单位承担，并尽快恢复运行，所发生的费用全部由运维单位承担。</w:t>
      </w:r>
    </w:p>
    <w:p w14:paraId="10EEF73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（11）运维单位须为所有参与本项目运维的人员购买能覆盖此次运维周期的人身意外保险，制定并执行运维相关的安全措施，确保不发生意外，若发生运维安全事故，全部责任由运维单位承担。</w:t>
      </w:r>
    </w:p>
    <w:p w14:paraId="25CD7D39">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4.运维工作具体要求</w:t>
      </w:r>
    </w:p>
    <w:p w14:paraId="7770833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运维单位应遵守关于空气站管理的各项规定，严格按照国家相关标准要求开展运维工作。</w:t>
      </w:r>
    </w:p>
    <w:p w14:paraId="1CF48FA3">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 一般维护要求</w:t>
      </w:r>
    </w:p>
    <w:p w14:paraId="7D1D073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（1）保持站点内部环境清洁，布置整齐，各仪器设备干净清洁，设备标识清楚；</w:t>
      </w:r>
    </w:p>
    <w:p w14:paraId="22DB8C1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（2）检查供电、网络通讯的情况，保证系统的正常运行;</w:t>
      </w:r>
    </w:p>
    <w:p w14:paraId="7D98C9A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 xml:space="preserve">（3）保证空调正常工作，仪器运行温度保持在25℃左右，站房内温度日波动范围小于5℃，相对湿度保持在80%RH以下； </w:t>
      </w:r>
    </w:p>
    <w:p w14:paraId="0FA40BA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（4）指派专人维护，设备固定牢固，人走关门，非工作人员未经许可不得入内；</w:t>
      </w:r>
    </w:p>
    <w:p w14:paraId="4EB3132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（5）定期检查消防和安全设施；</w:t>
      </w:r>
    </w:p>
    <w:p w14:paraId="520FA17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（6）每次维护后做好系统运行维护记录；</w:t>
      </w:r>
    </w:p>
    <w:p w14:paraId="03BC563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（7）进行维护时，应规范操作，注意安全，防止意外发生；</w:t>
      </w:r>
    </w:p>
    <w:p w14:paraId="7FB2E04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（8）所有记录表格参照国家站标准填写。</w:t>
      </w:r>
    </w:p>
    <w:p w14:paraId="3F9548D0">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4.1.1 每日维护要求</w:t>
      </w:r>
    </w:p>
    <w:p w14:paraId="2EA373AD">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每日上午和下午两次远程查看空气站数据并形成记录，分析监测数据，对站点运行情况进行远程诊断和运行管理，包括：</w:t>
      </w:r>
    </w:p>
    <w:p w14:paraId="747E408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（1）判断系统数据采集与传输情况；</w:t>
      </w:r>
    </w:p>
    <w:p w14:paraId="758CBBE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（2）发现监测数据异常，应立即通知</w:t>
      </w:r>
      <w:r>
        <w:rPr>
          <w:rFonts w:hint="eastAsia" w:ascii="宋体" w:hAnsi="宋体" w:eastAsia="宋体" w:cs="宋体"/>
          <w:b w:val="0"/>
          <w:bCs w:val="0"/>
          <w:color w:val="auto"/>
          <w:sz w:val="24"/>
          <w:szCs w:val="24"/>
          <w:highlight w:val="none"/>
          <w:lang w:val="zh-CN" w:eastAsia="zh-CN"/>
        </w:rPr>
        <w:t>采购人</w:t>
      </w:r>
      <w:r>
        <w:rPr>
          <w:rFonts w:hint="eastAsia" w:ascii="宋体" w:hAnsi="宋体" w:eastAsia="宋体" w:cs="宋体"/>
          <w:b w:val="0"/>
          <w:bCs w:val="0"/>
          <w:color w:val="auto"/>
          <w:sz w:val="24"/>
          <w:szCs w:val="24"/>
          <w:highlight w:val="none"/>
          <w:lang w:val="zh-CN" w:eastAsia="zh-CN"/>
        </w:rPr>
        <w:t>，在每日6时～23时出现的异常，应在4小时内解决；在每日23时～次日6时出现的异常，应在次日10时前解决（通信线路，电力线路故障除外，但应及时与相关部门联系积极解决）；</w:t>
      </w:r>
    </w:p>
    <w:p w14:paraId="29BA3B6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（3）发生重污染天气等特殊情况后，应在4小时内开展相应运维工作；</w:t>
      </w:r>
    </w:p>
    <w:p w14:paraId="5B2C03F6">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（4）根据数据分析结果、设备状态参数和仪器故障报警信号，判断仪器运行情况和现场状况；</w:t>
      </w:r>
    </w:p>
    <w:p w14:paraId="5C71245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（5）每日检查数据是否及时上传至数据平台并正常发布，发现数据断网及时恢复；</w:t>
      </w:r>
    </w:p>
    <w:p w14:paraId="3EB3F69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运维单位对空气站监测数据进行审核，并将审核数据按时提交采购人。每日12时前完成空气站前日各站点原始小时值的审核，报送采购人复核。对复核不通过的数据，需于第2日12时前再次审核后上报。再次审核报送的数据仍未通过复核的，以</w:t>
      </w:r>
      <w:r>
        <w:rPr>
          <w:rFonts w:hint="eastAsia" w:ascii="宋体" w:hAnsi="宋体" w:eastAsia="宋体" w:cs="宋体"/>
          <w:b w:val="0"/>
          <w:bCs w:val="0"/>
          <w:color w:val="auto"/>
          <w:sz w:val="24"/>
          <w:szCs w:val="24"/>
          <w:highlight w:val="none"/>
          <w:lang w:val="en-US" w:eastAsia="zh-CN"/>
        </w:rPr>
        <w:t>采购人</w:t>
      </w:r>
      <w:r>
        <w:rPr>
          <w:rFonts w:hint="eastAsia" w:ascii="宋体" w:hAnsi="宋体" w:eastAsia="宋体" w:cs="宋体"/>
          <w:b w:val="0"/>
          <w:bCs w:val="0"/>
          <w:color w:val="auto"/>
          <w:sz w:val="24"/>
          <w:szCs w:val="24"/>
          <w:highlight w:val="none"/>
          <w:lang w:val="zh-CN" w:eastAsia="zh-CN"/>
        </w:rPr>
        <w:t>最终复核结果为准。每月1日12时前，完成上月所有实时监测数据的在线审核，报送采购人复核。对复核不通过的数据，于1日18时前再次报送采购人。再次审核报送的数据仍未通过复核的，以采购人最终复核结果为准。对于未能在规定时间内完成审核的数据，需于数据产生1周内，以正式文件的形式向采购人报送书面审核结果及未能按时完成审核的原因。</w:t>
      </w:r>
    </w:p>
    <w:p w14:paraId="2D522A5A">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4.1.2每周工作要求</w:t>
      </w:r>
    </w:p>
    <w:p w14:paraId="315FA02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每周至少巡查空气站1次，并做好巡查记录，巡检时需要完成的工作包括：</w:t>
      </w:r>
    </w:p>
    <w:p w14:paraId="018690FD">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（1）查看小型站设备是否齐备，有无丢失和损坏；检查接地线路是否可靠，排风排气装置工作是否正常，标准气钢瓶阀门是否漏气，标准气的消耗情况；</w:t>
      </w:r>
    </w:p>
    <w:p w14:paraId="1729A5B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（2）检查采样和排气管路是否有漏气和堵塞现象，各监测仪器采样流量是否正常；</w:t>
      </w:r>
    </w:p>
    <w:p w14:paraId="786C1398">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（3）检查各监测仪器运行状况和工作参数，判断是否正常，如有异常情况及时处理，保证仪器运行正常；</w:t>
      </w:r>
    </w:p>
    <w:p w14:paraId="5A36023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（4）检查PM10与PM2.5监测仪动态加热装置及采样总管加热装置是否工作正常；</w:t>
      </w:r>
    </w:p>
    <w:p w14:paraId="4BCD3E2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（5）检查并记录仪器设备零气、标气输出压力，应与前次检查时基本保持一致；</w:t>
      </w:r>
    </w:p>
    <w:p w14:paraId="6B5F10B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（6）每周对气态监测仪至少进行一次零点、跨度检查（纯净零气及75%-90%标气），如果漂移超过国家相关规范要求，需要进行校准或维修；</w:t>
      </w:r>
    </w:p>
    <w:p w14:paraId="2F2AE1DC">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（7）检查外部环境是否正常，有没有对测定结果或运行环境存在明显影响的污染源；</w:t>
      </w:r>
    </w:p>
    <w:p w14:paraId="6767FA3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（8）检查电路系统和通讯系统，保证系统供电正常，电压稳定；</w:t>
      </w:r>
    </w:p>
    <w:p w14:paraId="73870BB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（9）检查空气站通讯系统，保证空气站与数据平台的连接正常，数据传输正常；确保无远程控制软件；</w:t>
      </w:r>
    </w:p>
    <w:p w14:paraId="4F10CEF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（10）对仪器显示数据、时间与数据采集仪之间的一致性进行检查和校准；</w:t>
      </w:r>
    </w:p>
    <w:p w14:paraId="15D071D8">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（11）检查气态监测仪器的采样入口与采样支路管线结合部之间的过滤膜的污染情况，每周更换1次滤膜，每周检查监测仪器散热风扇污染情况，及时清洗；</w:t>
      </w:r>
    </w:p>
    <w:p w14:paraId="4A6C15A8">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（12）在冬、夏季应注意空气站机柜内部与外部环境的温差，若温差较大，应及时改变机柜温度或对采样总管采取适当的控制措施，防止冷凝现象；</w:t>
      </w:r>
    </w:p>
    <w:p w14:paraId="2A33C0A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（13）应及时清除空气站附近的杂草和积水，当周围树木生长超过规范规定的控制限时，应及时剪除对采样有影响的树枝；</w:t>
      </w:r>
    </w:p>
    <w:p w14:paraId="58331C9D">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（14）应经常检查避雷设施是否可靠，机柜是否有漏雨现象，发现渗漏情况及时用玻璃胶进行密封，机柜外围设备是否有损坏或被水淹，如遇到以上问题应及时处理，保证系统安全运行；</w:t>
      </w:r>
    </w:p>
    <w:p w14:paraId="43B16CB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（15）检查站房的安全措施，做好防火防盗工作；</w:t>
      </w:r>
    </w:p>
    <w:p w14:paraId="62B7974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（16）每周对颗粒物仪器至少进行一次流量检查，流量误差超过±5%时应进行校准，每周对颗粒物监测仪的采样纸带进行检查，如纸带即将用尽或滤膜负载超过50%，及时进行更换；</w:t>
      </w:r>
    </w:p>
    <w:p w14:paraId="1F540F78">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（17）空气质量达到重度及以上时，应及时清洗采样管和切割器并更换滤膜。在污染过程结束后清洗采样系统；</w:t>
      </w:r>
    </w:p>
    <w:p w14:paraId="4DE3E73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（18）每周检查视频监控系统，并做好视频系统的日常维护。发现人为干预空气质量监测的行为，及时向</w:t>
      </w:r>
      <w:r>
        <w:rPr>
          <w:rFonts w:hint="eastAsia" w:ascii="宋体" w:hAnsi="宋体" w:eastAsia="宋体" w:cs="宋体"/>
          <w:b w:val="0"/>
          <w:bCs w:val="0"/>
          <w:color w:val="auto"/>
          <w:sz w:val="24"/>
          <w:szCs w:val="24"/>
          <w:highlight w:val="none"/>
          <w:lang w:val="zh-CN" w:eastAsia="zh-CN"/>
        </w:rPr>
        <w:t>采购人汇</w:t>
      </w:r>
      <w:r>
        <w:rPr>
          <w:rFonts w:hint="eastAsia" w:ascii="宋体" w:hAnsi="宋体" w:eastAsia="宋体" w:cs="宋体"/>
          <w:b w:val="0"/>
          <w:bCs w:val="0"/>
          <w:color w:val="auto"/>
          <w:sz w:val="24"/>
          <w:szCs w:val="24"/>
          <w:highlight w:val="none"/>
          <w:lang w:val="zh-CN" w:eastAsia="zh-CN"/>
        </w:rPr>
        <w:t>报；</w:t>
      </w:r>
    </w:p>
    <w:p w14:paraId="056958EC">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（19）每周对机柜内外环境卫生进行检查，及时保洁；</w:t>
      </w:r>
    </w:p>
    <w:p w14:paraId="0E6A324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（20）认真填写每周运行维护记录表。</w:t>
      </w:r>
    </w:p>
    <w:p w14:paraId="7F494FC1">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4.1.3每月工作要求</w:t>
      </w:r>
    </w:p>
    <w:p w14:paraId="2EAEA18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（1）清洗PM10及PM2.5采样头，检查β射线法颗粒物监测仪仪器喷嘴、压环、密封圈等部件；</w:t>
      </w:r>
    </w:p>
    <w:p w14:paraId="29A1622C">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（2）检查PM10及PM2.5监测仪、气态分析仪、动态校准仪流量，超过国家相关规范要求时进行校准，检查仪器是否泄漏；</w:t>
      </w:r>
    </w:p>
    <w:p w14:paraId="26302B52">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（3）每月开展颗粒物标准膜测试，流量误差超过±2%时应进行校准；</w:t>
      </w:r>
    </w:p>
    <w:p w14:paraId="350025C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（4）每月清洗一次空调过滤网；</w:t>
      </w:r>
    </w:p>
    <w:p w14:paraId="5CD8A7E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（5）分析仪器时钟检查，数据采集仪时钟检查；</w:t>
      </w:r>
    </w:p>
    <w:p w14:paraId="5FF29B2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（6）每月对数据和运维记录进行备份；</w:t>
      </w:r>
    </w:p>
    <w:p w14:paraId="333349D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（7）认真填写每月运行维护记录表。</w:t>
      </w:r>
    </w:p>
    <w:p w14:paraId="754BB616">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4.1.4每季度工作要求</w:t>
      </w:r>
    </w:p>
    <w:p w14:paraId="40CEC76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（1）采样总管及采样风机每季度至少清洗一次；</w:t>
      </w:r>
    </w:p>
    <w:p w14:paraId="6F9E990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（2）对气态分析仪进行多点线性检查，绘制校准曲线，检验相关系数、截距和斜率；</w:t>
      </w:r>
    </w:p>
    <w:p w14:paraId="21549DF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（3）每季度进行一次监测仪器的精密度校准。气态污染物监测仪的精密度审核采用向监测仪通入一定体积分数的标准气体来确定，颗粒物监测仪的精密度审核采用标准流量计测定监测仪器的工作流量来确定；</w:t>
      </w:r>
    </w:p>
    <w:p w14:paraId="2EA613F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（4）检查校准PM10、PM2.5监测仪相对湿度、温度传感器和压力传感器；</w:t>
      </w:r>
    </w:p>
    <w:p w14:paraId="2080ABF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（5）更换气态采样管、颗粒物采样管、摄像系统管路等与机柜冲孔处的密封玻璃胶；</w:t>
      </w:r>
    </w:p>
    <w:p w14:paraId="1DB0599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（6）认真填写季度运行维护记录表。</w:t>
      </w:r>
    </w:p>
    <w:p w14:paraId="61718D32">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4.1.5每半年工作要求</w:t>
      </w:r>
    </w:p>
    <w:p w14:paraId="4D2F09C2">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（1）动态校准仪质量流量计每半年进行一次流量多点校准；</w:t>
      </w:r>
    </w:p>
    <w:p w14:paraId="6FC38D42">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（2）采用臭氧传递标准对小型站臭氧工作标准进行标准传递，更换零气源净化剂和氧化剂，以零气性能进行检查；</w:t>
      </w:r>
    </w:p>
    <w:p w14:paraId="5FAC336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（3）对氮氧化物分析仪钼炉转化率进行检查；</w:t>
      </w:r>
    </w:p>
    <w:p w14:paraId="1EEE2CEC">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（4）对气态监测仪器每半年进行一次期间核查；</w:t>
      </w:r>
    </w:p>
    <w:p w14:paraId="4AC95B9B">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（5）对机柜、风绳（等电位联结体）等外部组件进行除锈处理；</w:t>
      </w:r>
    </w:p>
    <w:p w14:paraId="16BD397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（6）认真填写每半年运行维护记录表。</w:t>
      </w:r>
    </w:p>
    <w:p w14:paraId="43144972">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4.1.6每年工作要求</w:t>
      </w:r>
    </w:p>
    <w:p w14:paraId="4074274D">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（1）对所有的仪器进行预防性维护，按说明书要求更换备件；</w:t>
      </w:r>
    </w:p>
    <w:p w14:paraId="1ABD05F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（2）更换所有泵组件；</w:t>
      </w:r>
    </w:p>
    <w:p w14:paraId="0524414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（3）认真填写每年运行维护记录表；</w:t>
      </w:r>
    </w:p>
    <w:p w14:paraId="1D1C41D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（4）需提供计量部门出具的质控仪器计量认证证书。</w:t>
      </w:r>
    </w:p>
    <w:p w14:paraId="08B3B248">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4.1.7日常运行维护记录</w:t>
      </w:r>
    </w:p>
    <w:p w14:paraId="4A58678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应建立空气站维护档案，将空气站的运行过程和运行事件进行详细记录，并进行归档管理。日常运维中使用运行管理相关记录至少应包括：</w:t>
      </w:r>
    </w:p>
    <w:p w14:paraId="34AAE3E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（1）空气站运行维护记录；</w:t>
      </w:r>
    </w:p>
    <w:p w14:paraId="6CAD7DD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（2）颗粒物监测仪校准检查记录；</w:t>
      </w:r>
    </w:p>
    <w:p w14:paraId="2F4160E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（3）气态监测仪校准检查记录；</w:t>
      </w:r>
    </w:p>
    <w:p w14:paraId="48BCFCB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（4）空气自动监测系统仪器设备维修记录；</w:t>
      </w:r>
    </w:p>
    <w:p w14:paraId="4351AE6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（5）空气自动监测系统备品备件管理记录；</w:t>
      </w:r>
    </w:p>
    <w:p w14:paraId="6F3C64E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（6）空气站主要消耗耗材使用记录；</w:t>
      </w:r>
    </w:p>
    <w:p w14:paraId="5EBF64D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（7）标准物质使用记录；</w:t>
      </w:r>
    </w:p>
    <w:p w14:paraId="074274A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（8）多点线性校准表格；</w:t>
      </w:r>
    </w:p>
    <w:p w14:paraId="6E1321C8">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（9）空气站机柜内外环境检查记录；</w:t>
      </w:r>
    </w:p>
    <w:p w14:paraId="566DB05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（10）空气自动监测系统仪器资料保管清单。</w:t>
      </w:r>
    </w:p>
    <w:p w14:paraId="1990DFB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投标人须在投标文件中提供以上记录表格。</w:t>
      </w:r>
    </w:p>
    <w:p w14:paraId="283D4ACC">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4.1.8其他要求</w:t>
      </w:r>
    </w:p>
    <w:p w14:paraId="798FB6C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（1）运维所使用耗材、备件要求为原厂耗材及备件；</w:t>
      </w:r>
    </w:p>
    <w:p w14:paraId="35E24FE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（2）应及时制定每月工作计划，并严格按计划执行，若有变更及时通知采购人；</w:t>
      </w:r>
    </w:p>
    <w:p w14:paraId="416DFF5E">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（3）运维单位需保证满足环保部门对仪器设备故障的响应时间的要求，当仪器设备每日6时～23时出现故障，应在</w:t>
      </w:r>
      <w:r>
        <w:rPr>
          <w:rFonts w:hint="eastAsia" w:ascii="宋体" w:hAnsi="宋体" w:eastAsia="宋体" w:cs="宋体"/>
          <w:b w:val="0"/>
          <w:bCs w:val="0"/>
          <w:color w:val="auto"/>
          <w:sz w:val="24"/>
          <w:szCs w:val="24"/>
          <w:highlight w:val="none"/>
          <w:lang w:val="zh-CN" w:eastAsia="zh-CN"/>
        </w:rPr>
        <w:t>1小时内响应，</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zh-CN" w:eastAsia="zh-CN"/>
        </w:rPr>
        <w:t>小时内到达现场解决</w:t>
      </w:r>
      <w:r>
        <w:rPr>
          <w:rFonts w:hint="eastAsia" w:ascii="宋体" w:hAnsi="宋体" w:eastAsia="宋体" w:cs="宋体"/>
          <w:b w:val="0"/>
          <w:bCs w:val="0"/>
          <w:color w:val="auto"/>
          <w:sz w:val="24"/>
          <w:szCs w:val="24"/>
          <w:highlight w:val="none"/>
          <w:lang w:val="zh-CN" w:eastAsia="zh-CN"/>
        </w:rPr>
        <w:t>（通信线路、电力线路故障除外，但应及时与相关部门联系积极解决）。当仪器设备每日23时～次日6时出现故障，应在次日10时前到达现场解决（通信线路、电力线路故障除外，但应及时与相关部门联系积极解决）。若仪器故障无法排除，运维单位必须在48小时内提供并更换相应的备机，保证自动站正常运行；</w:t>
      </w:r>
    </w:p>
    <w:p w14:paraId="0682C38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（4）严禁擅自改变采样管路连接方式和更改仪器参数设置；</w:t>
      </w:r>
    </w:p>
    <w:p w14:paraId="4D85624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（5）运维单位须每月5日前提交各站点上一月的运维记录纸质表格记录至采购人。</w:t>
      </w:r>
    </w:p>
    <w:p w14:paraId="4399CD64">
      <w:pPr>
        <w:adjustRightInd w:val="0"/>
        <w:spacing w:line="360" w:lineRule="auto"/>
        <w:ind w:firstLine="480" w:firstLineChars="200"/>
        <w:textAlignment w:val="baseline"/>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zh-CN"/>
        </w:rPr>
        <w:t>（6）运维服务期内，</w:t>
      </w:r>
      <w:r>
        <w:rPr>
          <w:rFonts w:hint="eastAsia" w:ascii="宋体" w:hAnsi="宋体" w:eastAsia="宋体" w:cs="宋体"/>
          <w:color w:val="auto"/>
          <w:szCs w:val="24"/>
          <w:highlight w:val="none"/>
          <w:lang w:val="en-US" w:eastAsia="zh-CN"/>
        </w:rPr>
        <w:t>承担采购人要求的相关迁站任务（不超过3站）。</w:t>
      </w:r>
    </w:p>
    <w:p w14:paraId="0BCD4C9F">
      <w:pPr>
        <w:pStyle w:val="11"/>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 质量控制要求</w:t>
      </w:r>
    </w:p>
    <w:p w14:paraId="7C05C69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中标人需认真落实质量管理制度，做好相应记录。</w:t>
      </w:r>
    </w:p>
    <w:p w14:paraId="5666BC46">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4.2.1量值溯源要求</w:t>
      </w:r>
    </w:p>
    <w:p w14:paraId="7F68062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应将运维所使用的流量计、温度计、气压计、湿度计等标准质控器具溯源到标准设备，由省级（含）以上计量院出具鉴定报告；将运维所使用的臭氧工作标准向国家总站指定或认可的标准进行溯源，性能指标均应符合要求。</w:t>
      </w:r>
    </w:p>
    <w:p w14:paraId="73FCCD9B">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4.2.2日常质量控制要求</w:t>
      </w:r>
    </w:p>
    <w:p w14:paraId="4D0B341B">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分析仪在以下情况下需进行校准：</w:t>
      </w:r>
    </w:p>
    <w:p w14:paraId="1D5BF24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（1）安装时；</w:t>
      </w:r>
    </w:p>
    <w:p w14:paraId="4DCB83D7">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（2）移动位置时；</w:t>
      </w:r>
    </w:p>
    <w:p w14:paraId="59E4D7CB">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（3）进行可能影响校准结果的维修或维护后；</w:t>
      </w:r>
    </w:p>
    <w:p w14:paraId="115AA18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（4）监测仪暂停工作一段时间后；</w:t>
      </w:r>
    </w:p>
    <w:p w14:paraId="469EDBBB">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（5）有迹象表明监测仪工作不正常或校准结果出现变化；</w:t>
      </w:r>
    </w:p>
    <w:p w14:paraId="1EE7456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（6）超过国家规范或本方案要求的校准周期或校准要求的。</w:t>
      </w:r>
    </w:p>
    <w:p w14:paraId="2B1DDEF1">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4.2.3质量检查</w:t>
      </w:r>
    </w:p>
    <w:p w14:paraId="431662A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运维单位必须接受</w:t>
      </w:r>
      <w:r>
        <w:rPr>
          <w:rFonts w:hint="eastAsia" w:ascii="宋体" w:hAnsi="宋体" w:eastAsia="宋体" w:cs="宋体"/>
          <w:b w:val="0"/>
          <w:bCs w:val="0"/>
          <w:color w:val="auto"/>
          <w:sz w:val="24"/>
          <w:szCs w:val="24"/>
          <w:highlight w:val="none"/>
          <w:lang w:val="en-US" w:eastAsia="zh-CN"/>
        </w:rPr>
        <w:t>采购人</w:t>
      </w:r>
      <w:r>
        <w:rPr>
          <w:rFonts w:hint="eastAsia" w:ascii="宋体" w:hAnsi="宋体" w:eastAsia="宋体" w:cs="宋体"/>
          <w:b w:val="0"/>
          <w:bCs w:val="0"/>
          <w:color w:val="auto"/>
          <w:sz w:val="24"/>
          <w:szCs w:val="24"/>
          <w:highlight w:val="none"/>
          <w:lang w:val="zh-CN" w:eastAsia="zh-CN"/>
        </w:rPr>
        <w:t>及其委托单位和人员的质量检查。</w:t>
      </w:r>
    </w:p>
    <w:p w14:paraId="6FA0E066">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4.2.4质量控制资料整理</w:t>
      </w:r>
    </w:p>
    <w:p w14:paraId="65EA0A0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b w:val="0"/>
          <w:bCs w:val="0"/>
          <w:color w:val="auto"/>
          <w:sz w:val="24"/>
          <w:szCs w:val="24"/>
          <w:highlight w:val="none"/>
          <w:lang w:val="zh-CN" w:eastAsia="zh-CN"/>
        </w:rPr>
        <w:t>各种技术与质量文件均保持现行有效，可根据管理需要进行调整或修订。以纸质表格的形式，将巡检记录、维修维护记录、日常检查等质量保证与质量控制记录按要求及时进行填写。</w:t>
      </w:r>
    </w:p>
    <w:p w14:paraId="2FF88A00">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4.2.5质量控制资料提交</w:t>
      </w:r>
    </w:p>
    <w:p w14:paraId="3E1E5C1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运维单位须每月5日前将各站点上一月的质控记录的纸质表</w:t>
      </w:r>
      <w:r>
        <w:rPr>
          <w:rFonts w:hint="eastAsia" w:ascii="宋体" w:hAnsi="宋体" w:eastAsia="宋体" w:cs="宋体"/>
          <w:b w:val="0"/>
          <w:bCs w:val="0"/>
          <w:color w:val="auto"/>
          <w:sz w:val="24"/>
          <w:szCs w:val="24"/>
          <w:highlight w:val="none"/>
          <w:lang w:val="zh-CN" w:eastAsia="zh-CN"/>
        </w:rPr>
        <w:t>格提交至采购人。</w:t>
      </w:r>
    </w:p>
    <w:p w14:paraId="3BE16C3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4.3 系统设备维修要求</w:t>
      </w:r>
    </w:p>
    <w:p w14:paraId="792F790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4.3.1维修更换工作要求</w:t>
      </w:r>
    </w:p>
    <w:p w14:paraId="1E5B91D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运维单位负责系统所有设备和仪器的维护、维修和部件更换。</w:t>
      </w:r>
    </w:p>
    <w:p w14:paraId="106C9D6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4.3.2设备维修质量控制要求</w:t>
      </w:r>
    </w:p>
    <w:p w14:paraId="2847C978">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监测仪器修复后，当其监测性能受到影响时，采用关键参数检查、标气测定、颗粒物流量测定、标准膜测试、标准样品测试或手工比对等方法进行测试；修复后的仪器应经质控实验室校核。</w:t>
      </w:r>
    </w:p>
    <w:p w14:paraId="5B864125">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仪器大修后，气态监测仪应按顺序开展零点漂移和量程漂移测试、精密度及准确度测试、多点线性测试；颗粒物监测设备应开展手工比对测试，测试应严格按照《环境空气颗粒物（PM10和PM2.5）连续自动监测系统运行和质控技术规范》（HJ 817-2018）中准确度审核要求实施，并遵守《环境空气颗粒物（PM2.5）手工监测方法（重量法）技术规范》（HJ656－2013）、《环境空气中PM10和PM2.5的测定 重量法》（HJ618－2011）和《环境空气质量手工监测技术规范》（HJ 194-2017）等相关规范要求，同时提交相应报告。</w:t>
      </w:r>
    </w:p>
    <w:p w14:paraId="08F3674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4.4机构、人员、车辆、设备配备及技术标准要求</w:t>
      </w:r>
    </w:p>
    <w:p w14:paraId="75E686C5">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4.4.1机构配备要求</w:t>
      </w:r>
    </w:p>
    <w:p w14:paraId="1AC4F45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39个空气站分布于西安市39个街办、乡镇、工业园，点多面广，为提高运维效率，运维单位应至少设立2个运维办事处及1个质控实验室，运维办事处主要用于运维人员办公（统计分析数据、制作运维计划、上报运维报告等）及存放器材；质控实验室用于对监测仪器和设备进行量值传递、校准和性能审核，并对检修后的监测仪器和设备进行核准和性能测试。</w:t>
      </w:r>
    </w:p>
    <w:p w14:paraId="1657EE5A">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实验室基本要求：</w:t>
      </w:r>
    </w:p>
    <w:p w14:paraId="7C657EF1">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（1）实验室大小应能保证操作人员正常工作；</w:t>
      </w:r>
    </w:p>
    <w:p w14:paraId="2C8D62D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（2）应采用密封窗结构，并设置缓冲间，防止灰尘和泥土进入实验室；</w:t>
      </w:r>
    </w:p>
    <w:p w14:paraId="2739AB79">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（3）应安装温度和湿度控制设备，使实验室温度控制在25℃±5℃范围内，相对湿度控制在80%以下；</w:t>
      </w:r>
    </w:p>
    <w:p w14:paraId="1F61C7E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（4）供电电源电压为220V，电压波动不能超过±10%。实验室供电系统应配有电源过压、过载和漏电保护装置，实验室要有良好的接地线路，接地电阻≤4Ω；</w:t>
      </w:r>
    </w:p>
    <w:p w14:paraId="237AA0E9">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（5）应配置良好的通风设备和废气排出口，保持室内空气清洁；</w:t>
      </w:r>
    </w:p>
    <w:p w14:paraId="22F5894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（6）应至少配备质控用六参数监测仪、臭氧传递标准、标定用流量计。</w:t>
      </w:r>
    </w:p>
    <w:p w14:paraId="01169582">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4.4.2人员配备要求</w:t>
      </w:r>
    </w:p>
    <w:p w14:paraId="1F8A5EA0">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运维单位应保证配备的运维技术人员数量与其负责日常维护的站点数量比值不低于</w:t>
      </w:r>
      <w:r>
        <w:rPr>
          <w:rFonts w:hint="eastAsia" w:ascii="宋体" w:hAnsi="宋体" w:eastAsia="宋体" w:cs="宋体"/>
          <w:b w:val="0"/>
          <w:bCs w:val="0"/>
          <w:color w:val="auto"/>
          <w:sz w:val="24"/>
          <w:szCs w:val="24"/>
          <w:highlight w:val="none"/>
          <w:lang w:val="zh-CN" w:eastAsia="zh-CN"/>
        </w:rPr>
        <w:t>1/4。</w:t>
      </w:r>
    </w:p>
    <w:p w14:paraId="10FE905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运行维护单位投入本项目的现场站点运维人员须取得省级及以上相关部门颁发的空气站自动监测培训合格证。</w:t>
      </w:r>
    </w:p>
    <w:p w14:paraId="4B21E97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运维单位应选派至少1名专职工作人员在我中心指定办公地点进行小型站的运维管理（数据审核，运维调度）。在我中心指定地点进行小型站运维管理的工作人员应接受我中心管理，我中心有权要求撤换</w:t>
      </w:r>
      <w:r>
        <w:rPr>
          <w:rFonts w:hint="eastAsia" w:ascii="宋体" w:hAnsi="宋体" w:eastAsia="宋体" w:cs="宋体"/>
          <w:b w:val="0"/>
          <w:bCs w:val="0"/>
          <w:color w:val="auto"/>
          <w:sz w:val="24"/>
          <w:szCs w:val="24"/>
          <w:highlight w:val="none"/>
          <w:lang w:val="zh-CN" w:eastAsia="zh-CN"/>
        </w:rPr>
        <w:t>不符合运维管理要求的工作人员。运维单位应至少安排2名人员进行空气站质控管理，配合采购人进行检查考</w:t>
      </w:r>
      <w:r>
        <w:rPr>
          <w:rFonts w:hint="eastAsia" w:ascii="宋体" w:hAnsi="宋体" w:eastAsia="宋体" w:cs="宋体"/>
          <w:b w:val="0"/>
          <w:bCs w:val="0"/>
          <w:color w:val="auto"/>
          <w:sz w:val="24"/>
          <w:szCs w:val="24"/>
          <w:highlight w:val="none"/>
          <w:lang w:val="zh-CN" w:eastAsia="zh-CN"/>
        </w:rPr>
        <w:t>。</w:t>
      </w:r>
    </w:p>
    <w:p w14:paraId="475C75F8">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4.4.3车辆配置要求</w:t>
      </w:r>
    </w:p>
    <w:p w14:paraId="7A65689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运维单位应保证配备的运维保障车辆数量与负责日常维护的站点数量比值不低于1/8，其中应包含：</w:t>
      </w:r>
    </w:p>
    <w:p w14:paraId="7D6F22DB">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运维巡检用车：主要用于站点的日常巡查维护、备件耗材运输、工具运输；</w:t>
      </w:r>
    </w:p>
    <w:p w14:paraId="07FD060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质控用车：主要用于各种计量器具、质控器具的检定运输，臭氧分析仪的标准传递及标准溯源；</w:t>
      </w:r>
    </w:p>
    <w:p w14:paraId="0BA8E670">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应急用车：主要用于子站的应急故障处理及车辆维修保养的轮换等。</w:t>
      </w:r>
    </w:p>
    <w:p w14:paraId="56B6AFBA">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4.4.4备机配置要求</w:t>
      </w:r>
    </w:p>
    <w:p w14:paraId="4F466FC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（1）运维单位须配置不少于4套备机满足运维需求。</w:t>
      </w:r>
    </w:p>
    <w:p w14:paraId="29ADF218">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（2）运维单位需为本项目配备1套工控机、1套路由设备。</w:t>
      </w:r>
    </w:p>
    <w:p w14:paraId="0332388C">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4.4.5备件配置需求</w:t>
      </w:r>
    </w:p>
    <w:p w14:paraId="1BEE7C6D">
      <w:pPr>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运维单位应按不少于半年的使用量配置运维所需备件（原厂）。备件应做好出入库登记，在备件使用过程中，要遵循先备先用的原则。</w:t>
      </w:r>
    </w:p>
    <w:p w14:paraId="0F58759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本项目涉及备件包括但不限于以下内容：</w:t>
      </w:r>
    </w:p>
    <w:p w14:paraId="0AF7664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（1）PM10分析仪备品备件：检测器、前置放大器、光电开关板、流量控制器、颗粒物加热杆、采样泵、24V电源、检测室密封膜、高压模块、开关电源、输入滤波器、保险管等；</w:t>
      </w:r>
    </w:p>
    <w:p w14:paraId="4BB40BAA">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（2）PM2.5分析仪备品备件：检测器、前置放大器、光电开关板、流量控制器、颗粒物加热杆、采样泵、24V电源、检测室密封膜、高压模块、开关电源、输入滤波器、保险管等；</w:t>
      </w:r>
    </w:p>
    <w:p w14:paraId="103C5BB8">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O3分析仪备品备件：检测器、24VDC风扇、臭氧灯、内置泵、臭氧剔除器、输入滤波器、流量传感器、压力传感器、24V电源、毛细管、采样支管保温棉套（防止支管内样气因温差产生冷凝水损坏分析仪）、A/B电磁阀、保险管等；</w:t>
      </w:r>
    </w:p>
    <w:p w14:paraId="59B07FC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CO分析仪备品备件：毛细管、相关轮、红外源、相关轮电机、接口板、红外源固定支架、传感器、加热器板组件、光学开关、入口镜、出口镜、风扇电源线、检测器、泵、24VD风扇、压力传感器、输入滤波器、保险丝座、主板、24V开关电源、流量传感器、显示屏、压力传感器等；</w:t>
      </w:r>
    </w:p>
    <w:p w14:paraId="3624D7A3">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NOx分析仪备品备件：毛细管、臭氧发生器、接口板、光电倍增管、温控板、冷堆、模式电磁阀（三通）、流量开关、臭氧去除器、二氧化硅过滤器（臭氧清洁柱）、钼炉、臭氧变压器、保险丝2A、变压器、光电倍增管，反应室，冷堆组件、输入板保险丝2A、输入板、I/O扩展板、模拟量输出板、高压供电包、反应室毛细管O圈小、反应室毛细管O圈大、固定反应室9454侧的三个大六方螺丝（1个）、反应室9454内侧密封O圈、白色玻璃、红色玻璃、密封垫圈、红色玻璃内侧o圈、钼转换器芯、反应室（冷堆一侧）、反应室（转化炉一侧）、泵、24VD风扇、压力传感器、输入滤波器、保险丝座、主板、24V开关电源、流量传感器、显示屏、压力传感器等；</w:t>
      </w:r>
    </w:p>
    <w:p w14:paraId="35CDDFB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SO2分析仪备品备件：保险丝1.6A、毛细管、紫外灯、程序版、棱镜组、紫外灯座、光电倍增管、碳氢切割器/祛除器、接口板、泵、24VD风扇、压力传感器、输入滤波器、保险丝座、主板、24V开关电源、流量传感器、显示屏、压力传感器等；</w:t>
      </w:r>
    </w:p>
    <w:p w14:paraId="367C8F35">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（7）其他备品备件：显示器、工控机主板、空调电机、空调主板、稳压器、温控仪、电表、空开、浪涌保护器、插线板、机柜内节能灯管、监控硬盘机、监控球机、监控设备电源适配器等。</w:t>
      </w:r>
    </w:p>
    <w:p w14:paraId="55076F6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4.4.6耗材配置要求</w:t>
      </w:r>
    </w:p>
    <w:p w14:paraId="0C8F10D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运维单位应按不少于半年的消耗量配置运维所需耗材（原厂）。耗材应做好出入库登记，在耗材使用过程中，要遵循先备先用的原则。</w:t>
      </w:r>
    </w:p>
    <w:p w14:paraId="0F2548E1">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本项目涉及耗材包括但不限于以下内容：</w:t>
      </w:r>
    </w:p>
    <w:p w14:paraId="7FBBA510">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（1）PM10分析仪：纸带、O型圈、泵维护包等；</w:t>
      </w:r>
    </w:p>
    <w:p w14:paraId="30692603">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（2）PM2.5分析仪：纸带、O型圈、泵维护包等；</w:t>
      </w:r>
    </w:p>
    <w:p w14:paraId="31668F4E">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（3）O3分析仪：粒子过滤膜、臭氧剔除器、O型圈、泵膜、采样支管及一次性连接件等；</w:t>
      </w:r>
    </w:p>
    <w:p w14:paraId="68396C4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（4）CO分析仪：气路接口处密封圈、接头、滤膜、聚四氟乙烯采样支管、标准钢气瓶等；</w:t>
      </w:r>
    </w:p>
    <w:p w14:paraId="38EBDC83">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（5）NOx分析仪：气路接口处密封圈、接头、滤膜、聚四氟乙烯采样支管、标准钢气瓶等；</w:t>
      </w:r>
    </w:p>
    <w:p w14:paraId="410B70F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（6）SO2分析仪：气路接口处密封圈、接头、滤膜、聚四氟乙烯采样支管、标准钢气瓶等。</w:t>
      </w:r>
    </w:p>
    <w:p w14:paraId="53722950">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（7）其他耗材：中性透明玻璃胶、不锈钢除锈剂等。</w:t>
      </w:r>
    </w:p>
    <w:p w14:paraId="72A1445A">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4.4.7设备维修质量控制配置要求</w:t>
      </w:r>
    </w:p>
    <w:p w14:paraId="4ECD50A1">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运维单位须配备必要的质量控制设备：</w:t>
      </w:r>
    </w:p>
    <w:p w14:paraId="756A2A7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（1）至少每8个站点配备1套流量计、1台一级压力计、1台一级温湿度计；</w:t>
      </w:r>
    </w:p>
    <w:p w14:paraId="62F5DCDE">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（2）至少每8个站点配备一台臭氧校准仪（另需配置3台溯源为三级或三级以上标准）；</w:t>
      </w:r>
    </w:p>
    <w:p w14:paraId="230C81C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（3）至少每8个子站配备一套Thermo 5014i标准膜片（用于颗粒物分析仪标准膜标定检查校准）；</w:t>
      </w:r>
    </w:p>
    <w:p w14:paraId="1568746A">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运维单位应将运维所使用的流量计、温度计、气压计、湿度计等标准质控器具溯源到标准设备，由省级（含）以上计量院出具鉴定报告；将运维所使用的臭氧工作标准向我中心指定或认可的标准进行溯源，性能指标均应符合要求。</w:t>
      </w:r>
    </w:p>
    <w:p w14:paraId="059C428F">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4.4.8空气质量连续监测（AQMS）技术服务遵循的标准及规范</w:t>
      </w:r>
    </w:p>
    <w:p w14:paraId="0DACF9F5">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lang w:val="zh-CN" w:eastAsia="zh-CN"/>
        </w:rPr>
        <w:t>；</w:t>
      </w:r>
    </w:p>
    <w:p w14:paraId="1986118C">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《环境监测质量管理技术导则》（HJ 630-2011）；</w:t>
      </w:r>
    </w:p>
    <w:p w14:paraId="1025654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《环境空气颗粒物（PM10和PM2.5）连续自动监测系统安装和验收技术规范》（HJ 655-2013）；</w:t>
      </w:r>
    </w:p>
    <w:p w14:paraId="2E91893D">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《环境空气颗粒物（PM10和PM2.5）连续自动监测系统技术要求及检测方法》（HJ 653-2013）；</w:t>
      </w:r>
    </w:p>
    <w:p w14:paraId="00800BD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《环境空气颗粒物（PM10和PM2.5）连续自动监测系统运行和质控技术规范》（HJ 817-2018）；</w:t>
      </w:r>
    </w:p>
    <w:p w14:paraId="6F289E08">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《环境空气气态污染物（SO2、NO2、O3、CO）连续自动监测系统安装验收技术规范》（HJ 193-2013）；</w:t>
      </w:r>
    </w:p>
    <w:p w14:paraId="253C4ED5">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《环境空气气态污染物（SO2、NO2、O3、CO）连续自动监测系统技术要求及检测方法》（HJ 654-2013）；</w:t>
      </w:r>
    </w:p>
    <w:p w14:paraId="0E4FE18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《环境空气气态污染物（SO2、NO2、O3、CO）连续自动监测系统运行和质控技术规范》（HJ 818-2018）；</w:t>
      </w:r>
    </w:p>
    <w:p w14:paraId="143D13A8">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《环境空气质量手工监测技术规范》（HJ 194-2017）；</w:t>
      </w:r>
    </w:p>
    <w:p w14:paraId="19F5F13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《环境空气颗粒物（PM2.5）手工监测方法（重量法）技术规范》（HJ 656-2013）；</w:t>
      </w:r>
    </w:p>
    <w:p w14:paraId="298917CA">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《环境空气质量评价技术规范（试行）》（HJ 663-2013）；</w:t>
      </w:r>
    </w:p>
    <w:p w14:paraId="199487CB">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《环境空气质量指数（AQI）技术规定（试行）》（HJ 633-2012）；</w:t>
      </w:r>
    </w:p>
    <w:p w14:paraId="6A3AE44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《环境空气PM10和PM2.5的测定 重量法》（HJ 618－2011）。</w:t>
      </w:r>
    </w:p>
    <w:p w14:paraId="1EBF527B">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其他规范及要求：中华人民共和国环境保护行业标准中规定的涉及空气质量连续自动监测内容的要求；生态环境部印发《城市环境空气质量排名技术规定》；省级环保部门的管理要求和工作要求；市级环保部门的管理要求和工作要求。</w:t>
      </w:r>
    </w:p>
    <w:p w14:paraId="52ECE698">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5.空气站交接内容</w:t>
      </w:r>
    </w:p>
    <w:p w14:paraId="74CC0260">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5.1勘查安装现场</w:t>
      </w:r>
    </w:p>
    <w:p w14:paraId="57EC817A">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对所有设备安装现场进行勘察，通过勘察，了解各现场工作条件是否符合相关标准要求、自动监测设备是否正常运行、各项指标是否满足标准要求，总结各个监测设备安装现场情况、存在的问题，根据勘察结果提出整改的建议，并为各个监测设备建立档案。</w:t>
      </w:r>
    </w:p>
    <w:p w14:paraId="69E72EC0">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5.2完善设备资料</w:t>
      </w:r>
    </w:p>
    <w:p w14:paraId="623C72C6">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空气自动监测设备的现场资料，主要有：设备的中文说明书、维护手册、技术图纸、国家认证检测报告与合格证（复印件）、设备自带的软件备份、安装厂家的调试报告。</w:t>
      </w:r>
    </w:p>
    <w:p w14:paraId="13EBBCA4">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5.3设备检修调试</w:t>
      </w:r>
    </w:p>
    <w:p w14:paraId="7DA7C828">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根据国家相关标准，对已安装的自动监测设备进行调试，并对各个主要技术指标进行检测，检测结果必须符合国家相关标准要求。</w:t>
      </w:r>
    </w:p>
    <w:p w14:paraId="186A3522">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5.4调取运行数据</w:t>
      </w:r>
    </w:p>
    <w:p w14:paraId="338D8B4C">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运维单位在设备安装现场将调取设备运行前一个月连续的历史数据，分析并判断数据能否正确反映当地实际监测状况，从而判断设备是否工作正常。</w:t>
      </w:r>
    </w:p>
    <w:p w14:paraId="5F17FB45">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5.5接收运行设备</w:t>
      </w:r>
    </w:p>
    <w:p w14:paraId="0EEA53D9">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若自动监测设备运行正常、测试结果符合要求，运维单位将在现场重新启动自动监测设备，如果能够继续正常工作，运维单位将正式接收自动监测设备。</w:t>
      </w:r>
    </w:p>
    <w:p w14:paraId="4259600D">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5.6建立设备档案</w:t>
      </w:r>
    </w:p>
    <w:p w14:paraId="17F3EA61">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根据勘察情况、设备测试数据和测试结果，运维单位将对每套空气自动监测设备建立一个单独的档案，将每次维护的表格都存在这个档案中。在运维移交时，将这些设备档案交给后续的运维单位。</w:t>
      </w:r>
    </w:p>
    <w:p w14:paraId="36776C7C">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6.监督考核要求</w:t>
      </w:r>
    </w:p>
    <w:p w14:paraId="77FDBB3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每月对运维单位绩效考核一次，考核采取百分制、单站考核的方式，主要包括单个站点数据有效性、监测数据捕获率、数据有效率（以下简称“两率”）以及运行维护的内容。</w:t>
      </w:r>
    </w:p>
    <w:p w14:paraId="79E95AEB">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6.1 考核办法</w:t>
      </w:r>
    </w:p>
    <w:p w14:paraId="0A540FDC">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监测数据捕获率指考核时段内各监测项目实际获取的小时值监测数据量总和除以应获得小时值数据量总和。</w:t>
      </w:r>
    </w:p>
    <w:p w14:paraId="78887D60">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数据有效率指考核时段内各监测项目实际获取的质控合格的小时值监测数据量总和除以应获得小时值数据量总和。</w:t>
      </w:r>
    </w:p>
    <w:p w14:paraId="787F8EA8">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每日各项目应获得小时值数据量均按24个计，考核时段天数按考核时段内日历天数计。</w:t>
      </w:r>
    </w:p>
    <w:p w14:paraId="39C8C609">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（1）数据有效性：</w:t>
      </w:r>
    </w:p>
    <w:p w14:paraId="56D6E65B">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考核时段内单个站点任一监测项目有效数据量应满足《环境空气质量标准》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lang w:val="zh-CN" w:eastAsia="zh-CN"/>
        </w:rPr>
        <w:t>中规定的污染物浓度数据有效性的最低要求，否则考核总分为0分；</w:t>
      </w:r>
    </w:p>
    <w:p w14:paraId="596E1D5E">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单站设备数据捕获率必须高于90%（含），否则不予支付运维费用；单站设备数据有效率必须高于80%（含），否则不予支付运维费用。</w:t>
      </w:r>
    </w:p>
    <w:p w14:paraId="597BD794">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（2）两率及运行维护：</w:t>
      </w:r>
    </w:p>
    <w:p w14:paraId="11E6D27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符合数据有效性要求后，参照本部分执行：</w:t>
      </w:r>
    </w:p>
    <w:p w14:paraId="095E7E4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1）两率部分（60分）</w:t>
      </w:r>
    </w:p>
    <w:p w14:paraId="084667AE">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单站监测数据有效率高于90%（含）的，得60分；80%（含）-90%的，得分为60×（数据有效率/90%）。</w:t>
      </w:r>
    </w:p>
    <w:p w14:paraId="02E79B46">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2）运行维护部分（30分）</w:t>
      </w:r>
    </w:p>
    <w:p w14:paraId="0A694D6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运行维护部分</w:t>
      </w:r>
      <w:r>
        <w:rPr>
          <w:rFonts w:hint="eastAsia" w:ascii="宋体" w:hAnsi="宋体" w:eastAsia="宋体" w:cs="宋体"/>
          <w:b w:val="0"/>
          <w:bCs w:val="0"/>
          <w:color w:val="auto"/>
          <w:sz w:val="24"/>
          <w:szCs w:val="24"/>
          <w:highlight w:val="none"/>
          <w:lang w:val="zh-CN" w:eastAsia="zh-CN"/>
        </w:rPr>
        <w:t>由采购人组织</w:t>
      </w:r>
      <w:r>
        <w:rPr>
          <w:rFonts w:hint="eastAsia" w:ascii="宋体" w:hAnsi="宋体" w:eastAsia="宋体" w:cs="宋体"/>
          <w:b w:val="0"/>
          <w:bCs w:val="0"/>
          <w:color w:val="auto"/>
          <w:sz w:val="24"/>
          <w:szCs w:val="24"/>
          <w:highlight w:val="none"/>
          <w:lang w:val="zh-CN" w:eastAsia="zh-CN"/>
        </w:rPr>
        <w:t>检查考核，每月抽10%至20%站点进行运行维护部分现场检查，以现场检查得分平均分计为所有站点本月运行维护部分得分。检查内容包括站点环境保障效果、采样系统维护效果、仪器日常维护效果、质量控制效果、通讯系统维护效果（数据上传发布情况）、人员与档案记录管理情况等。</w:t>
      </w:r>
    </w:p>
    <w:p w14:paraId="186E920A">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检查满分100分，运维得分=检查得分×0.3分。</w:t>
      </w:r>
    </w:p>
    <w:p w14:paraId="289FEEF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3）运维任务完成及异常情况处理情况（10分）</w:t>
      </w:r>
    </w:p>
    <w:p w14:paraId="5DD4DFE6">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单站运维任务完成率100%，并且站点异常情况处理率达100%的，得10分；两项未达100%的，得分为10×（任务完成及异常情况处理率/100%）。</w:t>
      </w:r>
    </w:p>
    <w:p w14:paraId="10C25E25">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4）考核总分（100分）</w:t>
      </w:r>
    </w:p>
    <w:p w14:paraId="015A1B3D">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考核总分=两率得分+运维得分+任务完成及异常情况处理得分。</w:t>
      </w:r>
    </w:p>
    <w:p w14:paraId="65E5B0AA">
      <w:pPr>
        <w:spacing w:line="360" w:lineRule="auto"/>
        <w:rPr>
          <w:rFonts w:hint="eastAsia" w:ascii="宋体" w:hAnsi="宋体" w:eastAsia="宋体" w:cs="宋体"/>
          <w:color w:val="auto"/>
          <w:sz w:val="32"/>
          <w:szCs w:val="32"/>
          <w:highlight w:val="none"/>
        </w:rPr>
        <w:sectPr>
          <w:footerReference r:id="rId3" w:type="default"/>
          <w:pgSz w:w="11907" w:h="16840"/>
          <w:pgMar w:top="1247" w:right="1247" w:bottom="1213" w:left="1247" w:header="851" w:footer="680" w:gutter="0"/>
          <w:pgNumType w:fmt="decimal" w:start="1"/>
          <w:cols w:space="720" w:num="1"/>
          <w:docGrid w:linePitch="312" w:charSpace="0"/>
        </w:sectPr>
      </w:pPr>
    </w:p>
    <w:p w14:paraId="78918641">
      <w:pPr>
        <w:pStyle w:val="11"/>
        <w:spacing w:line="360" w:lineRule="auto"/>
        <w:ind w:firstLine="48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西安市镇（街）环境空气自动监测子站运维现场检查评分表</w:t>
      </w:r>
    </w:p>
    <w:p w14:paraId="571902B4">
      <w:pPr>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站点所在地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区（县/管委会）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街办（镇/园办）                                   </w:t>
      </w:r>
      <w:r>
        <w:rPr>
          <w:rFonts w:hint="eastAsia" w:ascii="宋体" w:hAnsi="宋体" w:eastAsia="宋体" w:cs="宋体"/>
          <w:b/>
          <w:color w:val="auto"/>
          <w:sz w:val="24"/>
          <w:szCs w:val="24"/>
          <w:highlight w:val="none"/>
        </w:rPr>
        <w:t>监测子站名称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334DB1AC">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检查日期</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w:t>
      </w:r>
    </w:p>
    <w:tbl>
      <w:tblPr>
        <w:tblStyle w:val="7"/>
        <w:tblW w:w="15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52"/>
        <w:gridCol w:w="4793"/>
        <w:gridCol w:w="851"/>
        <w:gridCol w:w="5670"/>
        <w:gridCol w:w="2212"/>
        <w:gridCol w:w="623"/>
      </w:tblGrid>
      <w:tr w14:paraId="1FF73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14:paraId="7D4AC03F">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检查内容</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6B4501D2">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检查要点</w:t>
            </w:r>
          </w:p>
        </w:tc>
        <w:tc>
          <w:tcPr>
            <w:tcW w:w="851" w:type="dxa"/>
            <w:tcBorders>
              <w:top w:val="single" w:color="auto" w:sz="4" w:space="0"/>
              <w:left w:val="single" w:color="auto" w:sz="4" w:space="0"/>
              <w:bottom w:val="single" w:color="auto" w:sz="4" w:space="0"/>
              <w:right w:val="single" w:color="auto" w:sz="4" w:space="0"/>
            </w:tcBorders>
            <w:vAlign w:val="center"/>
          </w:tcPr>
          <w:p w14:paraId="51FA027B">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单项</w:t>
            </w:r>
          </w:p>
          <w:p w14:paraId="691C00D9">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分值</w:t>
            </w:r>
          </w:p>
        </w:tc>
        <w:tc>
          <w:tcPr>
            <w:tcW w:w="5670" w:type="dxa"/>
            <w:tcBorders>
              <w:top w:val="single" w:color="auto" w:sz="4" w:space="0"/>
              <w:left w:val="single" w:color="auto" w:sz="4" w:space="0"/>
              <w:bottom w:val="single" w:color="auto" w:sz="4" w:space="0"/>
              <w:right w:val="single" w:color="auto" w:sz="4" w:space="0"/>
            </w:tcBorders>
            <w:vAlign w:val="center"/>
          </w:tcPr>
          <w:p w14:paraId="0131086D">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评分标准</w:t>
            </w:r>
          </w:p>
        </w:tc>
        <w:tc>
          <w:tcPr>
            <w:tcW w:w="2212" w:type="dxa"/>
            <w:tcBorders>
              <w:top w:val="single" w:color="auto" w:sz="4" w:space="0"/>
              <w:left w:val="single" w:color="auto" w:sz="4" w:space="0"/>
              <w:bottom w:val="single" w:color="auto" w:sz="4" w:space="0"/>
              <w:right w:val="single" w:color="auto" w:sz="4" w:space="0"/>
            </w:tcBorders>
            <w:vAlign w:val="center"/>
          </w:tcPr>
          <w:p w14:paraId="0530D035">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检查情况</w:t>
            </w:r>
          </w:p>
        </w:tc>
        <w:tc>
          <w:tcPr>
            <w:tcW w:w="623" w:type="dxa"/>
            <w:tcBorders>
              <w:top w:val="single" w:color="auto" w:sz="4" w:space="0"/>
              <w:left w:val="single" w:color="auto" w:sz="4" w:space="0"/>
              <w:bottom w:val="single" w:color="auto" w:sz="4" w:space="0"/>
              <w:right w:val="single" w:color="auto" w:sz="4" w:space="0"/>
            </w:tcBorders>
            <w:vAlign w:val="center"/>
          </w:tcPr>
          <w:p w14:paraId="4D14CFCF">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得分</w:t>
            </w:r>
          </w:p>
        </w:tc>
      </w:tr>
      <w:tr w14:paraId="2FA54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0999FACB">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1.站点运行环境保障效果</w:t>
            </w:r>
          </w:p>
          <w:p w14:paraId="70794018">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（10分）</w:t>
            </w:r>
          </w:p>
          <w:p w14:paraId="376FA50E">
            <w:pPr>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41780290">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站点内部是否清洁，是否符合要求</w:t>
            </w:r>
          </w:p>
        </w:tc>
        <w:tc>
          <w:tcPr>
            <w:tcW w:w="851" w:type="dxa"/>
            <w:tcBorders>
              <w:top w:val="single" w:color="auto" w:sz="4" w:space="0"/>
              <w:left w:val="single" w:color="auto" w:sz="4" w:space="0"/>
              <w:bottom w:val="single" w:color="auto" w:sz="4" w:space="0"/>
              <w:right w:val="single" w:color="auto" w:sz="4" w:space="0"/>
            </w:tcBorders>
            <w:vAlign w:val="center"/>
          </w:tcPr>
          <w:p w14:paraId="64CBE6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6A26221C">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站点内部干净，无灰尘；</w:t>
            </w:r>
          </w:p>
          <w:p w14:paraId="3B236464">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站点物品摆放整齐；无明显异味；</w:t>
            </w:r>
          </w:p>
          <w:p w14:paraId="3EC99B56">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仪器电源线路、气体线路规整；</w:t>
            </w:r>
          </w:p>
          <w:p w14:paraId="0C5EAC00">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站点内部没有无关的设备及杂物。</w:t>
            </w:r>
          </w:p>
          <w:p w14:paraId="49AD6CBC">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爬梯及防护栏满足安全需求，无破损；</w:t>
            </w:r>
          </w:p>
          <w:p w14:paraId="2479F59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备注：若①③⑤任一项不满足扣5分；其他项不满足扣除2分，扣分上限为单项分值。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22B4B333">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28ED19FE">
            <w:pPr>
              <w:ind w:left="330"/>
              <w:jc w:val="left"/>
              <w:rPr>
                <w:rFonts w:hint="eastAsia" w:ascii="宋体" w:hAnsi="宋体" w:eastAsia="宋体" w:cs="宋体"/>
                <w:color w:val="auto"/>
                <w:sz w:val="21"/>
                <w:szCs w:val="21"/>
                <w:highlight w:val="none"/>
              </w:rPr>
            </w:pPr>
          </w:p>
        </w:tc>
      </w:tr>
      <w:tr w14:paraId="602DA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2A36E6E1">
            <w:pPr>
              <w:widowControl/>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73422BA">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站点箱内温度是否控制在25±5℃，相对湿度控制在80%RH以下</w:t>
            </w:r>
          </w:p>
        </w:tc>
        <w:tc>
          <w:tcPr>
            <w:tcW w:w="851" w:type="dxa"/>
            <w:tcBorders>
              <w:top w:val="single" w:color="auto" w:sz="4" w:space="0"/>
              <w:left w:val="single" w:color="auto" w:sz="4" w:space="0"/>
              <w:bottom w:val="single" w:color="auto" w:sz="4" w:space="0"/>
              <w:right w:val="single" w:color="auto" w:sz="4" w:space="0"/>
            </w:tcBorders>
            <w:vAlign w:val="center"/>
          </w:tcPr>
          <w:p w14:paraId="387AEC0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6B0CF8E1">
            <w:pPr>
              <w:numPr>
                <w:ilvl w:val="0"/>
                <w:numId w:val="3"/>
              </w:num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站点配有温湿度计；</w:t>
            </w:r>
          </w:p>
          <w:p w14:paraId="0372AAC7">
            <w:pPr>
              <w:numPr>
                <w:ilvl w:val="0"/>
                <w:numId w:val="3"/>
              </w:num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箱内温满足25±5℃；</w:t>
            </w:r>
          </w:p>
          <w:p w14:paraId="425B1AF7">
            <w:pPr>
              <w:numPr>
                <w:ilvl w:val="0"/>
                <w:numId w:val="3"/>
              </w:num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箱内湿度满足≤80%。</w:t>
            </w:r>
          </w:p>
          <w:p w14:paraId="3CD6F65A">
            <w:p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rPr>
              <w:t>备注：不满足①扣3分；其他项不满足扣除2分，扣分上限为单项分值。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6F9DF188">
            <w:pP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温度计：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RH</w:t>
            </w:r>
          </w:p>
          <w:p w14:paraId="0F59F7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温控模块：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94BC2B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总管侧空调：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AE70A4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另一侧空调：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tc>
        <w:tc>
          <w:tcPr>
            <w:tcW w:w="623" w:type="dxa"/>
            <w:tcBorders>
              <w:top w:val="single" w:color="auto" w:sz="4" w:space="0"/>
              <w:left w:val="single" w:color="auto" w:sz="4" w:space="0"/>
              <w:bottom w:val="single" w:color="auto" w:sz="4" w:space="0"/>
              <w:right w:val="single" w:color="auto" w:sz="4" w:space="0"/>
            </w:tcBorders>
            <w:vAlign w:val="center"/>
          </w:tcPr>
          <w:p w14:paraId="753182A7">
            <w:pPr>
              <w:ind w:left="-360" w:leftChars="-150"/>
              <w:jc w:val="left"/>
              <w:rPr>
                <w:rFonts w:hint="eastAsia" w:ascii="宋体" w:hAnsi="宋体" w:eastAsia="宋体" w:cs="宋体"/>
                <w:color w:val="auto"/>
                <w:spacing w:val="-2"/>
                <w:sz w:val="21"/>
                <w:szCs w:val="21"/>
                <w:highlight w:val="none"/>
              </w:rPr>
            </w:pPr>
          </w:p>
        </w:tc>
      </w:tr>
      <w:tr w14:paraId="60660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53B0D7A8">
            <w:pPr>
              <w:widowControl/>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17175635">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防水、防雷、供电、摄像是否满足运行要求，其他基础设施是否满足监测要求</w:t>
            </w:r>
          </w:p>
        </w:tc>
        <w:tc>
          <w:tcPr>
            <w:tcW w:w="851" w:type="dxa"/>
            <w:tcBorders>
              <w:top w:val="single" w:color="auto" w:sz="4" w:space="0"/>
              <w:left w:val="single" w:color="auto" w:sz="4" w:space="0"/>
              <w:bottom w:val="single" w:color="auto" w:sz="4" w:space="0"/>
              <w:right w:val="single" w:color="auto" w:sz="4" w:space="0"/>
            </w:tcBorders>
            <w:vAlign w:val="center"/>
          </w:tcPr>
          <w:p w14:paraId="1DE27A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670" w:type="dxa"/>
            <w:tcBorders>
              <w:top w:val="single" w:color="auto" w:sz="4" w:space="0"/>
              <w:left w:val="single" w:color="auto" w:sz="4" w:space="0"/>
              <w:bottom w:val="single" w:color="auto" w:sz="4" w:space="0"/>
              <w:right w:val="single" w:color="auto" w:sz="4" w:space="0"/>
            </w:tcBorders>
            <w:vAlign w:val="center"/>
          </w:tcPr>
          <w:p w14:paraId="25431032">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防水满足要求，站点无漏水；</w:t>
            </w:r>
          </w:p>
          <w:p w14:paraId="729E1315">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防雷满足要求，有年度防雷检测报告；</w:t>
            </w:r>
          </w:p>
          <w:p w14:paraId="64FA86FE">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仪器用电满足要求；</w:t>
            </w:r>
          </w:p>
          <w:p w14:paraId="3E2463FF">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灭火器符合要求；</w:t>
            </w:r>
          </w:p>
          <w:p w14:paraId="6E904ABE">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空调运行正常，滤芯及时清理（每季度）；</w:t>
            </w:r>
          </w:p>
          <w:p w14:paraId="1E569F20">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监控系统正常运行，智慧环保平台能查看现场监控；</w:t>
            </w:r>
          </w:p>
          <w:p w14:paraId="2152DD2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备注：一项不满足扣除2分，扣分上限为单项分值。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2BE53872">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2FD63F8C">
            <w:pPr>
              <w:jc w:val="left"/>
              <w:rPr>
                <w:rFonts w:hint="eastAsia" w:ascii="宋体" w:hAnsi="宋体" w:eastAsia="宋体" w:cs="宋体"/>
                <w:color w:val="auto"/>
                <w:sz w:val="21"/>
                <w:szCs w:val="21"/>
                <w:highlight w:val="none"/>
              </w:rPr>
            </w:pPr>
          </w:p>
        </w:tc>
      </w:tr>
      <w:tr w14:paraId="2E030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19DF37FA">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2.采样系统维护效果（10分）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AE573B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气态物</w:t>
            </w:r>
            <w:r>
              <w:rPr>
                <w:rFonts w:hint="eastAsia" w:ascii="宋体" w:hAnsi="宋体" w:eastAsia="宋体" w:cs="宋体"/>
                <w:color w:val="auto"/>
                <w:spacing w:val="-6"/>
                <w:sz w:val="21"/>
                <w:szCs w:val="21"/>
                <w:highlight w:val="none"/>
              </w:rPr>
              <w:t>采样总管和采样支管材质是否满足要求</w:t>
            </w:r>
          </w:p>
        </w:tc>
        <w:tc>
          <w:tcPr>
            <w:tcW w:w="851" w:type="dxa"/>
            <w:tcBorders>
              <w:top w:val="single" w:color="auto" w:sz="4" w:space="0"/>
              <w:left w:val="single" w:color="auto" w:sz="4" w:space="0"/>
              <w:bottom w:val="single" w:color="auto" w:sz="4" w:space="0"/>
              <w:right w:val="single" w:color="auto" w:sz="4" w:space="0"/>
            </w:tcBorders>
            <w:vAlign w:val="center"/>
          </w:tcPr>
          <w:p w14:paraId="60C8FE4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670" w:type="dxa"/>
            <w:tcBorders>
              <w:top w:val="single" w:color="auto" w:sz="4" w:space="0"/>
              <w:left w:val="single" w:color="auto" w:sz="4" w:space="0"/>
              <w:bottom w:val="single" w:color="auto" w:sz="4" w:space="0"/>
              <w:right w:val="single" w:color="auto" w:sz="4" w:space="0"/>
            </w:tcBorders>
            <w:vAlign w:val="center"/>
          </w:tcPr>
          <w:p w14:paraId="2F71A439">
            <w:pPr>
              <w:numPr>
                <w:ilvl w:val="0"/>
                <w:numId w:val="5"/>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采样总管材质</w:t>
            </w:r>
            <w:r>
              <w:rPr>
                <w:rFonts w:hint="eastAsia" w:ascii="宋体" w:hAnsi="宋体" w:eastAsia="宋体" w:cs="宋体"/>
                <w:color w:val="auto"/>
                <w:spacing w:val="-6"/>
                <w:sz w:val="21"/>
                <w:szCs w:val="21"/>
                <w:highlight w:val="none"/>
              </w:rPr>
              <w:t>选用聚四氟乙烯或硼硅酸盐玻璃材料</w:t>
            </w:r>
            <w:r>
              <w:rPr>
                <w:rFonts w:hint="eastAsia" w:ascii="宋体" w:hAnsi="宋体" w:eastAsia="宋体" w:cs="宋体"/>
                <w:color w:val="auto"/>
                <w:sz w:val="21"/>
                <w:szCs w:val="21"/>
                <w:highlight w:val="none"/>
              </w:rPr>
              <w:t>；</w:t>
            </w:r>
          </w:p>
          <w:p w14:paraId="32E069B6">
            <w:pPr>
              <w:numPr>
                <w:ilvl w:val="0"/>
                <w:numId w:val="5"/>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采样支管材质选用聚四氟乙烯材料</w:t>
            </w:r>
            <w:r>
              <w:rPr>
                <w:rFonts w:hint="eastAsia" w:ascii="宋体" w:hAnsi="宋体" w:eastAsia="宋体" w:cs="宋体"/>
                <w:color w:val="auto"/>
                <w:sz w:val="21"/>
                <w:szCs w:val="21"/>
                <w:highlight w:val="none"/>
              </w:rPr>
              <w:t>；</w:t>
            </w:r>
          </w:p>
          <w:p w14:paraId="16275435">
            <w:pPr>
              <w:ind w:left="330" w:hanging="315" w:hanging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备注：任一项不满足扣除1分，扣分上限为单项分值。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04C34347">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3B5432F7">
            <w:pPr>
              <w:ind w:left="330" w:hanging="315" w:hangingChars="150"/>
              <w:jc w:val="left"/>
              <w:rPr>
                <w:rFonts w:hint="eastAsia" w:ascii="宋体" w:hAnsi="宋体" w:eastAsia="宋体" w:cs="宋体"/>
                <w:color w:val="auto"/>
                <w:sz w:val="21"/>
                <w:szCs w:val="21"/>
                <w:highlight w:val="none"/>
              </w:rPr>
            </w:pPr>
          </w:p>
        </w:tc>
      </w:tr>
      <w:tr w14:paraId="4B6CB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50015486">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0769E53C">
            <w:pPr>
              <w:numPr>
                <w:ilvl w:val="0"/>
                <w:numId w:val="6"/>
              </w:numPr>
              <w:jc w:val="left"/>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采样系统清洁程度：采样头、采样管道是否清洁，有无积灰、积水或障碍物，采样风机是否正常工作</w:t>
            </w:r>
          </w:p>
        </w:tc>
        <w:tc>
          <w:tcPr>
            <w:tcW w:w="851" w:type="dxa"/>
            <w:tcBorders>
              <w:top w:val="single" w:color="auto" w:sz="4" w:space="0"/>
              <w:left w:val="single" w:color="auto" w:sz="4" w:space="0"/>
              <w:bottom w:val="single" w:color="auto" w:sz="4" w:space="0"/>
              <w:right w:val="single" w:color="auto" w:sz="4" w:space="0"/>
            </w:tcBorders>
            <w:vAlign w:val="center"/>
          </w:tcPr>
          <w:p w14:paraId="5438C82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104909DC">
            <w:pPr>
              <w:numPr>
                <w:ilvl w:val="0"/>
                <w:numId w:val="7"/>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颗粒物切割头无明显积灰/积水/障碍物，颗粒物采样管定期维护；</w:t>
            </w:r>
          </w:p>
          <w:p w14:paraId="6FF8E0FB">
            <w:pPr>
              <w:numPr>
                <w:ilvl w:val="0"/>
                <w:numId w:val="7"/>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采样总管、支管无明显积灰/积水/障碍物； </w:t>
            </w:r>
          </w:p>
          <w:p w14:paraId="76480D16">
            <w:pPr>
              <w:numPr>
                <w:ilvl w:val="0"/>
                <w:numId w:val="7"/>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采样风机正常工作；</w:t>
            </w:r>
          </w:p>
          <w:p w14:paraId="275A8BEF">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1F1BD81E">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5D862A3C">
            <w:pPr>
              <w:spacing w:line="280" w:lineRule="exact"/>
              <w:jc w:val="left"/>
              <w:rPr>
                <w:rFonts w:hint="eastAsia" w:ascii="宋体" w:hAnsi="宋体" w:eastAsia="宋体" w:cs="宋体"/>
                <w:color w:val="auto"/>
                <w:sz w:val="21"/>
                <w:szCs w:val="21"/>
                <w:highlight w:val="none"/>
              </w:rPr>
            </w:pPr>
          </w:p>
        </w:tc>
      </w:tr>
      <w:tr w14:paraId="5A704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11792567">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651362BF">
            <w:pPr>
              <w:numPr>
                <w:ilvl w:val="0"/>
                <w:numId w:val="6"/>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采样总管、支管安装是否符合要求</w:t>
            </w:r>
          </w:p>
        </w:tc>
        <w:tc>
          <w:tcPr>
            <w:tcW w:w="851" w:type="dxa"/>
            <w:tcBorders>
              <w:top w:val="single" w:color="auto" w:sz="4" w:space="0"/>
              <w:left w:val="single" w:color="auto" w:sz="4" w:space="0"/>
              <w:bottom w:val="single" w:color="auto" w:sz="4" w:space="0"/>
              <w:right w:val="single" w:color="auto" w:sz="4" w:space="0"/>
            </w:tcBorders>
            <w:vAlign w:val="center"/>
          </w:tcPr>
          <w:p w14:paraId="258ED9FD">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45613F0B">
            <w:pPr>
              <w:numPr>
                <w:ilvl w:val="0"/>
                <w:numId w:val="8"/>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避免被空调直吹，是否采取措施避免影响；</w:t>
            </w:r>
          </w:p>
          <w:p w14:paraId="3F79E9C4">
            <w:pPr>
              <w:numPr>
                <w:ilvl w:val="0"/>
                <w:numId w:val="8"/>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采样管路连接规范；</w:t>
            </w:r>
          </w:p>
          <w:p w14:paraId="1C5FAED6">
            <w:pPr>
              <w:numPr>
                <w:ilvl w:val="0"/>
                <w:numId w:val="8"/>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气态污染物采样总管竖直安装，采样支管插入采样总管的中心；</w:t>
            </w:r>
          </w:p>
          <w:p w14:paraId="7A57D3D5">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备注：任一项不满足要求的扣1分，扣分上限为单项分值。 </w:t>
            </w:r>
          </w:p>
        </w:tc>
        <w:tc>
          <w:tcPr>
            <w:tcW w:w="2212" w:type="dxa"/>
            <w:tcBorders>
              <w:top w:val="single" w:color="auto" w:sz="4" w:space="0"/>
              <w:left w:val="single" w:color="auto" w:sz="4" w:space="0"/>
              <w:bottom w:val="single" w:color="auto" w:sz="4" w:space="0"/>
              <w:right w:val="single" w:color="auto" w:sz="4" w:space="0"/>
            </w:tcBorders>
            <w:vAlign w:val="center"/>
          </w:tcPr>
          <w:p w14:paraId="33866CB7">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19705F73">
            <w:pPr>
              <w:spacing w:line="280" w:lineRule="exact"/>
              <w:jc w:val="left"/>
              <w:rPr>
                <w:rFonts w:hint="eastAsia" w:ascii="宋体" w:hAnsi="宋体" w:eastAsia="宋体" w:cs="宋体"/>
                <w:color w:val="auto"/>
                <w:sz w:val="21"/>
                <w:szCs w:val="21"/>
                <w:highlight w:val="none"/>
              </w:rPr>
            </w:pPr>
          </w:p>
        </w:tc>
      </w:tr>
      <w:tr w14:paraId="4276E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0ABFF381">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3.仪器日常维护效果（15分）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0CEFF99C">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仪器工作状态是否正常，是否存在报警信息</w:t>
            </w:r>
          </w:p>
        </w:tc>
        <w:tc>
          <w:tcPr>
            <w:tcW w:w="851" w:type="dxa"/>
            <w:tcBorders>
              <w:top w:val="single" w:color="auto" w:sz="4" w:space="0"/>
              <w:left w:val="single" w:color="auto" w:sz="4" w:space="0"/>
              <w:bottom w:val="single" w:color="auto" w:sz="4" w:space="0"/>
              <w:right w:val="single" w:color="auto" w:sz="4" w:space="0"/>
            </w:tcBorders>
            <w:vAlign w:val="center"/>
          </w:tcPr>
          <w:p w14:paraId="0CB5FBC3">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6339EB07">
            <w:pPr>
              <w:numPr>
                <w:ilvl w:val="0"/>
                <w:numId w:val="9"/>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仪器工作状态不正常，扣3分；</w:t>
            </w:r>
          </w:p>
          <w:p w14:paraId="0D2DADFD">
            <w:pPr>
              <w:numPr>
                <w:ilvl w:val="0"/>
                <w:numId w:val="9"/>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每存在一条报警信息扣1分。</w:t>
            </w:r>
          </w:p>
          <w:p w14:paraId="0190FB91">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28E93C19">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59FF71F5">
            <w:pPr>
              <w:spacing w:line="280" w:lineRule="exact"/>
              <w:jc w:val="left"/>
              <w:rPr>
                <w:rFonts w:hint="eastAsia" w:ascii="宋体" w:hAnsi="宋体" w:eastAsia="宋体" w:cs="宋体"/>
                <w:color w:val="auto"/>
                <w:sz w:val="21"/>
                <w:szCs w:val="21"/>
                <w:highlight w:val="none"/>
              </w:rPr>
            </w:pPr>
          </w:p>
        </w:tc>
      </w:tr>
      <w:tr w14:paraId="25981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627000A5">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0D4BD4B2">
            <w:pPr>
              <w:numPr>
                <w:ilvl w:val="0"/>
                <w:numId w:val="1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采样管加热装置是否工作正常</w:t>
            </w:r>
          </w:p>
        </w:tc>
        <w:tc>
          <w:tcPr>
            <w:tcW w:w="851" w:type="dxa"/>
            <w:tcBorders>
              <w:top w:val="single" w:color="auto" w:sz="4" w:space="0"/>
              <w:left w:val="single" w:color="auto" w:sz="4" w:space="0"/>
              <w:bottom w:val="single" w:color="auto" w:sz="4" w:space="0"/>
              <w:right w:val="single" w:color="auto" w:sz="4" w:space="0"/>
            </w:tcBorders>
            <w:vAlign w:val="center"/>
          </w:tcPr>
          <w:p w14:paraId="319D5AE4">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5670" w:type="dxa"/>
            <w:tcBorders>
              <w:top w:val="single" w:color="auto" w:sz="4" w:space="0"/>
              <w:left w:val="single" w:color="auto" w:sz="4" w:space="0"/>
              <w:bottom w:val="single" w:color="auto" w:sz="4" w:space="0"/>
              <w:right w:val="single" w:color="auto" w:sz="4" w:space="0"/>
            </w:tcBorders>
            <w:vAlign w:val="center"/>
          </w:tcPr>
          <w:p w14:paraId="6F29C9FF">
            <w:pPr>
              <w:numPr>
                <w:ilvl w:val="0"/>
                <w:numId w:val="1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颗粒物采样管加热装置不能正常工作；或参数设置不当，扣2分；</w:t>
            </w:r>
          </w:p>
          <w:p w14:paraId="58C84E2F">
            <w:pPr>
              <w:numPr>
                <w:ilvl w:val="0"/>
                <w:numId w:val="1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气态污染物采样总管未配备加热装置；或加热温度小于30℃、大于50℃，扣2分；</w:t>
            </w:r>
          </w:p>
          <w:p w14:paraId="10FD528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4DC53209">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2852A499">
            <w:pPr>
              <w:jc w:val="left"/>
              <w:rPr>
                <w:rFonts w:hint="eastAsia" w:ascii="宋体" w:hAnsi="宋体" w:eastAsia="宋体" w:cs="宋体"/>
                <w:color w:val="auto"/>
                <w:sz w:val="21"/>
                <w:szCs w:val="21"/>
                <w:highlight w:val="none"/>
              </w:rPr>
            </w:pPr>
          </w:p>
        </w:tc>
      </w:tr>
      <w:tr w14:paraId="23A59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6F5B27C5">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B109869">
            <w:pPr>
              <w:numPr>
                <w:ilvl w:val="0"/>
                <w:numId w:val="1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臭氧仪器过滤膜、臭氧剔除器是否及时更换，散热风扇是否及时清洗</w:t>
            </w:r>
          </w:p>
        </w:tc>
        <w:tc>
          <w:tcPr>
            <w:tcW w:w="851" w:type="dxa"/>
            <w:tcBorders>
              <w:top w:val="single" w:color="auto" w:sz="4" w:space="0"/>
              <w:left w:val="single" w:color="auto" w:sz="4" w:space="0"/>
              <w:bottom w:val="single" w:color="auto" w:sz="4" w:space="0"/>
              <w:right w:val="single" w:color="auto" w:sz="4" w:space="0"/>
            </w:tcBorders>
            <w:vAlign w:val="center"/>
          </w:tcPr>
          <w:p w14:paraId="68FD0445">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5670" w:type="dxa"/>
            <w:tcBorders>
              <w:top w:val="single" w:color="auto" w:sz="4" w:space="0"/>
              <w:left w:val="single" w:color="auto" w:sz="4" w:space="0"/>
              <w:bottom w:val="single" w:color="auto" w:sz="4" w:space="0"/>
              <w:right w:val="single" w:color="auto" w:sz="4" w:space="0"/>
            </w:tcBorders>
            <w:vAlign w:val="center"/>
          </w:tcPr>
          <w:p w14:paraId="66377720">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查看滤膜更换记录，仪器滤膜保证及时更换（每周）；</w:t>
            </w:r>
          </w:p>
          <w:p w14:paraId="09B9056D">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臭氧剔除器及时更换（每年）；</w:t>
            </w:r>
          </w:p>
          <w:p w14:paraId="391D7653">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仪器散热风扇工作正常；</w:t>
            </w:r>
          </w:p>
          <w:p w14:paraId="6759F6C1">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散热风扇过滤网无缺失，及时清理；</w:t>
            </w:r>
          </w:p>
          <w:p w14:paraId="691FB2A4">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备注：任一项不满足要求的扣2分，扣分上限为单项分值。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29164B0E">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30826BCD">
            <w:pPr>
              <w:spacing w:line="280" w:lineRule="exact"/>
              <w:jc w:val="left"/>
              <w:rPr>
                <w:rFonts w:hint="eastAsia" w:ascii="宋体" w:hAnsi="宋体" w:eastAsia="宋体" w:cs="宋体"/>
                <w:color w:val="auto"/>
                <w:sz w:val="21"/>
                <w:szCs w:val="21"/>
                <w:highlight w:val="none"/>
              </w:rPr>
            </w:pPr>
          </w:p>
        </w:tc>
      </w:tr>
      <w:tr w14:paraId="3B56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49098354">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04AB3262">
            <w:pPr>
              <w:numPr>
                <w:ilvl w:val="0"/>
                <w:numId w:val="1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采样纸带、O型圈、采样泵等相关耗材及时更换</w:t>
            </w:r>
          </w:p>
        </w:tc>
        <w:tc>
          <w:tcPr>
            <w:tcW w:w="851" w:type="dxa"/>
            <w:tcBorders>
              <w:top w:val="single" w:color="auto" w:sz="4" w:space="0"/>
              <w:left w:val="single" w:color="auto" w:sz="4" w:space="0"/>
              <w:bottom w:val="single" w:color="auto" w:sz="4" w:space="0"/>
              <w:right w:val="single" w:color="auto" w:sz="4" w:space="0"/>
            </w:tcBorders>
            <w:vAlign w:val="center"/>
          </w:tcPr>
          <w:p w14:paraId="1E0A60E2">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5670" w:type="dxa"/>
            <w:tcBorders>
              <w:top w:val="single" w:color="auto" w:sz="4" w:space="0"/>
              <w:left w:val="single" w:color="auto" w:sz="4" w:space="0"/>
              <w:bottom w:val="single" w:color="auto" w:sz="4" w:space="0"/>
              <w:right w:val="single" w:color="auto" w:sz="4" w:space="0"/>
            </w:tcBorders>
            <w:vAlign w:val="center"/>
          </w:tcPr>
          <w:p w14:paraId="02D66A26">
            <w:pPr>
              <w:numPr>
                <w:ilvl w:val="0"/>
                <w:numId w:val="13"/>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及时更换纸带；</w:t>
            </w:r>
          </w:p>
          <w:p w14:paraId="5126645E">
            <w:pPr>
              <w:numPr>
                <w:ilvl w:val="0"/>
                <w:numId w:val="13"/>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及时更换O型圈；</w:t>
            </w:r>
          </w:p>
          <w:p w14:paraId="0A6AF450">
            <w:pPr>
              <w:numPr>
                <w:ilvl w:val="0"/>
                <w:numId w:val="13"/>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及时更换采样泵相关耗材；</w:t>
            </w:r>
          </w:p>
          <w:p w14:paraId="60D07E06">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备注：任一项不满足要求的扣4分，扣分上限为单项分值。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07AF682F">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35673D9D">
            <w:pPr>
              <w:spacing w:line="280" w:lineRule="exact"/>
              <w:jc w:val="left"/>
              <w:rPr>
                <w:rFonts w:hint="eastAsia" w:ascii="宋体" w:hAnsi="宋体" w:eastAsia="宋体" w:cs="宋体"/>
                <w:color w:val="auto"/>
                <w:sz w:val="21"/>
                <w:szCs w:val="21"/>
                <w:highlight w:val="none"/>
              </w:rPr>
            </w:pPr>
          </w:p>
        </w:tc>
      </w:tr>
      <w:tr w14:paraId="19706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4"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4E1D47A1">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4.质控控制效果</w:t>
            </w:r>
          </w:p>
          <w:p w14:paraId="1EBD6464">
            <w:pP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（50分）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6D05C7AA">
            <w:pPr>
              <w:numPr>
                <w:ilvl w:val="0"/>
                <w:numId w:val="14"/>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动态校准仪质量流量控制器（MFC）（每季度）</w:t>
            </w:r>
          </w:p>
          <w:p w14:paraId="2163CBF2">
            <w:pPr>
              <w:numPr>
                <w:ilvl w:val="0"/>
                <w:numId w:val="15"/>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零气MFC流量：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F3C89DD">
            <w:pPr>
              <w:numPr>
                <w:ilvl w:val="0"/>
                <w:numId w:val="15"/>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标气MFC流量：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ml/min；标准流量计测量值：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ml/min；相对误差：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2C425B3B">
            <w:pPr>
              <w:numPr>
                <w:ilvl w:val="0"/>
                <w:numId w:val="14"/>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多点MFC流量（年）</w:t>
            </w:r>
          </w:p>
          <w:p w14:paraId="56915A10">
            <w:pPr>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零气：斜率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1135869D">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tc>
        <w:tc>
          <w:tcPr>
            <w:tcW w:w="851" w:type="dxa"/>
            <w:tcBorders>
              <w:top w:val="single" w:color="auto" w:sz="4" w:space="0"/>
              <w:left w:val="single" w:color="auto" w:sz="4" w:space="0"/>
              <w:bottom w:val="single" w:color="auto" w:sz="4" w:space="0"/>
              <w:right w:val="single" w:color="auto" w:sz="4" w:space="0"/>
            </w:tcBorders>
            <w:vAlign w:val="center"/>
          </w:tcPr>
          <w:p w14:paraId="14756C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1F755A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采样流量误差超出±2%的，扣5分；</w:t>
            </w:r>
          </w:p>
          <w:p w14:paraId="6442720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记录表：</w:t>
            </w:r>
          </w:p>
          <w:tbl>
            <w:tblPr>
              <w:tblStyle w:val="7"/>
              <w:tblW w:w="5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818"/>
              <w:gridCol w:w="1818"/>
            </w:tblGrid>
            <w:tr w14:paraId="7C2C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vAlign w:val="center"/>
                </w:tcPr>
                <w:p w14:paraId="0AAC5A4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校准点</w:t>
                  </w:r>
                </w:p>
              </w:tc>
              <w:tc>
                <w:tcPr>
                  <w:tcW w:w="1818" w:type="dxa"/>
                  <w:vAlign w:val="center"/>
                </w:tcPr>
                <w:p w14:paraId="79BA39A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输出值</w:t>
                  </w:r>
                </w:p>
              </w:tc>
              <w:tc>
                <w:tcPr>
                  <w:tcW w:w="1818" w:type="dxa"/>
                  <w:vAlign w:val="center"/>
                </w:tcPr>
                <w:p w14:paraId="2B05B22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仪器显示值</w:t>
                  </w:r>
                </w:p>
              </w:tc>
            </w:tr>
            <w:tr w14:paraId="5EFB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8" w:type="dxa"/>
                </w:tcPr>
                <w:p w14:paraId="09943E3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零点</w:t>
                  </w:r>
                </w:p>
              </w:tc>
              <w:tc>
                <w:tcPr>
                  <w:tcW w:w="1818" w:type="dxa"/>
                </w:tcPr>
                <w:p w14:paraId="14EB8244">
                  <w:pPr>
                    <w:rPr>
                      <w:rFonts w:hint="eastAsia" w:ascii="宋体" w:hAnsi="宋体" w:eastAsia="宋体" w:cs="宋体"/>
                      <w:color w:val="auto"/>
                      <w:sz w:val="21"/>
                      <w:szCs w:val="21"/>
                      <w:highlight w:val="none"/>
                    </w:rPr>
                  </w:pPr>
                </w:p>
              </w:tc>
              <w:tc>
                <w:tcPr>
                  <w:tcW w:w="1818" w:type="dxa"/>
                </w:tcPr>
                <w:p w14:paraId="2AFD8064">
                  <w:pPr>
                    <w:rPr>
                      <w:rFonts w:hint="eastAsia" w:ascii="宋体" w:hAnsi="宋体" w:eastAsia="宋体" w:cs="宋体"/>
                      <w:color w:val="auto"/>
                      <w:sz w:val="21"/>
                      <w:szCs w:val="21"/>
                      <w:highlight w:val="none"/>
                    </w:rPr>
                  </w:pPr>
                </w:p>
              </w:tc>
            </w:tr>
            <w:tr w14:paraId="1D7F9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4257933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满量程10%</w:t>
                  </w:r>
                </w:p>
              </w:tc>
              <w:tc>
                <w:tcPr>
                  <w:tcW w:w="1818" w:type="dxa"/>
                </w:tcPr>
                <w:p w14:paraId="11BFAAF0">
                  <w:pPr>
                    <w:rPr>
                      <w:rFonts w:hint="eastAsia" w:ascii="宋体" w:hAnsi="宋体" w:eastAsia="宋体" w:cs="宋体"/>
                      <w:color w:val="auto"/>
                      <w:sz w:val="21"/>
                      <w:szCs w:val="21"/>
                      <w:highlight w:val="none"/>
                    </w:rPr>
                  </w:pPr>
                </w:p>
              </w:tc>
              <w:tc>
                <w:tcPr>
                  <w:tcW w:w="1818" w:type="dxa"/>
                </w:tcPr>
                <w:p w14:paraId="17AED3D4">
                  <w:pPr>
                    <w:rPr>
                      <w:rFonts w:hint="eastAsia" w:ascii="宋体" w:hAnsi="宋体" w:eastAsia="宋体" w:cs="宋体"/>
                      <w:color w:val="auto"/>
                      <w:sz w:val="21"/>
                      <w:szCs w:val="21"/>
                      <w:highlight w:val="none"/>
                    </w:rPr>
                  </w:pPr>
                </w:p>
              </w:tc>
            </w:tr>
            <w:tr w14:paraId="379B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185B56F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满量程20%</w:t>
                  </w:r>
                </w:p>
              </w:tc>
              <w:tc>
                <w:tcPr>
                  <w:tcW w:w="1818" w:type="dxa"/>
                </w:tcPr>
                <w:p w14:paraId="043343BA">
                  <w:pPr>
                    <w:rPr>
                      <w:rFonts w:hint="eastAsia" w:ascii="宋体" w:hAnsi="宋体" w:eastAsia="宋体" w:cs="宋体"/>
                      <w:color w:val="auto"/>
                      <w:sz w:val="21"/>
                      <w:szCs w:val="21"/>
                      <w:highlight w:val="none"/>
                    </w:rPr>
                  </w:pPr>
                </w:p>
              </w:tc>
              <w:tc>
                <w:tcPr>
                  <w:tcW w:w="1818" w:type="dxa"/>
                </w:tcPr>
                <w:p w14:paraId="5474A3A2">
                  <w:pPr>
                    <w:rPr>
                      <w:rFonts w:hint="eastAsia" w:ascii="宋体" w:hAnsi="宋体" w:eastAsia="宋体" w:cs="宋体"/>
                      <w:color w:val="auto"/>
                      <w:sz w:val="21"/>
                      <w:szCs w:val="21"/>
                      <w:highlight w:val="none"/>
                    </w:rPr>
                  </w:pPr>
                </w:p>
              </w:tc>
            </w:tr>
            <w:tr w14:paraId="3BFE3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0E23D84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满量程40%</w:t>
                  </w:r>
                </w:p>
              </w:tc>
              <w:tc>
                <w:tcPr>
                  <w:tcW w:w="1818" w:type="dxa"/>
                </w:tcPr>
                <w:p w14:paraId="347D7E0A">
                  <w:pPr>
                    <w:rPr>
                      <w:rFonts w:hint="eastAsia" w:ascii="宋体" w:hAnsi="宋体" w:eastAsia="宋体" w:cs="宋体"/>
                      <w:color w:val="auto"/>
                      <w:sz w:val="21"/>
                      <w:szCs w:val="21"/>
                      <w:highlight w:val="none"/>
                    </w:rPr>
                  </w:pPr>
                </w:p>
              </w:tc>
              <w:tc>
                <w:tcPr>
                  <w:tcW w:w="1818" w:type="dxa"/>
                </w:tcPr>
                <w:p w14:paraId="3BDE5884">
                  <w:pPr>
                    <w:rPr>
                      <w:rFonts w:hint="eastAsia" w:ascii="宋体" w:hAnsi="宋体" w:eastAsia="宋体" w:cs="宋体"/>
                      <w:color w:val="auto"/>
                      <w:sz w:val="21"/>
                      <w:szCs w:val="21"/>
                      <w:highlight w:val="none"/>
                    </w:rPr>
                  </w:pPr>
                </w:p>
              </w:tc>
            </w:tr>
            <w:tr w14:paraId="7420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237420F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满量程60%</w:t>
                  </w:r>
                </w:p>
              </w:tc>
              <w:tc>
                <w:tcPr>
                  <w:tcW w:w="1818" w:type="dxa"/>
                </w:tcPr>
                <w:p w14:paraId="09269C56">
                  <w:pPr>
                    <w:rPr>
                      <w:rFonts w:hint="eastAsia" w:ascii="宋体" w:hAnsi="宋体" w:eastAsia="宋体" w:cs="宋体"/>
                      <w:color w:val="auto"/>
                      <w:sz w:val="21"/>
                      <w:szCs w:val="21"/>
                      <w:highlight w:val="none"/>
                    </w:rPr>
                  </w:pPr>
                </w:p>
              </w:tc>
              <w:tc>
                <w:tcPr>
                  <w:tcW w:w="1818" w:type="dxa"/>
                </w:tcPr>
                <w:p w14:paraId="0E3A3EB6">
                  <w:pPr>
                    <w:rPr>
                      <w:rFonts w:hint="eastAsia" w:ascii="宋体" w:hAnsi="宋体" w:eastAsia="宋体" w:cs="宋体"/>
                      <w:color w:val="auto"/>
                      <w:sz w:val="21"/>
                      <w:szCs w:val="21"/>
                      <w:highlight w:val="none"/>
                    </w:rPr>
                  </w:pPr>
                </w:p>
              </w:tc>
            </w:tr>
            <w:tr w14:paraId="34F99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1FC304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满量程80%</w:t>
                  </w:r>
                </w:p>
              </w:tc>
              <w:tc>
                <w:tcPr>
                  <w:tcW w:w="1818" w:type="dxa"/>
                </w:tcPr>
                <w:p w14:paraId="66872B67">
                  <w:pPr>
                    <w:rPr>
                      <w:rFonts w:hint="eastAsia" w:ascii="宋体" w:hAnsi="宋体" w:eastAsia="宋体" w:cs="宋体"/>
                      <w:color w:val="auto"/>
                      <w:sz w:val="21"/>
                      <w:szCs w:val="21"/>
                      <w:highlight w:val="none"/>
                    </w:rPr>
                  </w:pPr>
                </w:p>
              </w:tc>
              <w:tc>
                <w:tcPr>
                  <w:tcW w:w="1818" w:type="dxa"/>
                </w:tcPr>
                <w:p w14:paraId="2CB9C06E">
                  <w:pPr>
                    <w:rPr>
                      <w:rFonts w:hint="eastAsia" w:ascii="宋体" w:hAnsi="宋体" w:eastAsia="宋体" w:cs="宋体"/>
                      <w:color w:val="auto"/>
                      <w:sz w:val="21"/>
                      <w:szCs w:val="21"/>
                      <w:highlight w:val="none"/>
                    </w:rPr>
                  </w:pPr>
                </w:p>
              </w:tc>
            </w:tr>
          </w:tbl>
          <w:p w14:paraId="7724DD0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备注：以上扣分上限为单项分值。</w:t>
            </w:r>
          </w:p>
        </w:tc>
        <w:tc>
          <w:tcPr>
            <w:tcW w:w="2212" w:type="dxa"/>
            <w:tcBorders>
              <w:top w:val="single" w:color="auto" w:sz="4" w:space="0"/>
              <w:left w:val="single" w:color="auto" w:sz="4" w:space="0"/>
              <w:bottom w:val="single" w:color="auto" w:sz="4" w:space="0"/>
              <w:right w:val="single" w:color="auto" w:sz="4" w:space="0"/>
            </w:tcBorders>
          </w:tcPr>
          <w:p w14:paraId="3BD07F55">
            <w:p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零气MFC</w:t>
            </w:r>
          </w:p>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4F40F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70CDD1E">
                  <w:pPr>
                    <w:jc w:val="center"/>
                    <w:rPr>
                      <w:rFonts w:hint="eastAsia" w:ascii="宋体" w:hAnsi="宋体" w:eastAsia="宋体" w:cs="宋体"/>
                      <w:color w:val="auto"/>
                      <w:sz w:val="21"/>
                      <w:szCs w:val="21"/>
                      <w:highlight w:val="none"/>
                    </w:rPr>
                  </w:pPr>
                </w:p>
              </w:tc>
              <w:tc>
                <w:tcPr>
                  <w:tcW w:w="813" w:type="dxa"/>
                  <w:vAlign w:val="center"/>
                </w:tcPr>
                <w:p w14:paraId="40FB9CC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温度</w:t>
                  </w:r>
                </w:p>
              </w:tc>
              <w:tc>
                <w:tcPr>
                  <w:tcW w:w="813" w:type="dxa"/>
                  <w:vAlign w:val="center"/>
                </w:tcPr>
                <w:p w14:paraId="1BE8657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压力</w:t>
                  </w:r>
                </w:p>
              </w:tc>
            </w:tr>
            <w:tr w14:paraId="29DA9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7AFD2D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6CD51F5E">
                  <w:pPr>
                    <w:jc w:val="center"/>
                    <w:rPr>
                      <w:rFonts w:hint="eastAsia" w:ascii="宋体" w:hAnsi="宋体" w:eastAsia="宋体" w:cs="宋体"/>
                      <w:color w:val="auto"/>
                      <w:sz w:val="21"/>
                      <w:szCs w:val="21"/>
                      <w:highlight w:val="none"/>
                    </w:rPr>
                  </w:pPr>
                </w:p>
              </w:tc>
              <w:tc>
                <w:tcPr>
                  <w:tcW w:w="813" w:type="dxa"/>
                  <w:vAlign w:val="center"/>
                </w:tcPr>
                <w:p w14:paraId="539AF72C">
                  <w:pPr>
                    <w:jc w:val="center"/>
                    <w:rPr>
                      <w:rFonts w:hint="eastAsia" w:ascii="宋体" w:hAnsi="宋体" w:eastAsia="宋体" w:cs="宋体"/>
                      <w:color w:val="auto"/>
                      <w:sz w:val="21"/>
                      <w:szCs w:val="21"/>
                      <w:highlight w:val="none"/>
                    </w:rPr>
                  </w:pPr>
                </w:p>
              </w:tc>
            </w:tr>
            <w:tr w14:paraId="697A6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5E9176E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0CA43A09">
                  <w:pPr>
                    <w:jc w:val="center"/>
                    <w:rPr>
                      <w:rFonts w:hint="eastAsia" w:ascii="宋体" w:hAnsi="宋体" w:eastAsia="宋体" w:cs="宋体"/>
                      <w:color w:val="auto"/>
                      <w:sz w:val="21"/>
                      <w:szCs w:val="21"/>
                      <w:highlight w:val="none"/>
                    </w:rPr>
                  </w:pPr>
                </w:p>
              </w:tc>
              <w:tc>
                <w:tcPr>
                  <w:tcW w:w="813" w:type="dxa"/>
                  <w:vAlign w:val="center"/>
                </w:tcPr>
                <w:p w14:paraId="4FB97A1F">
                  <w:pPr>
                    <w:jc w:val="center"/>
                    <w:rPr>
                      <w:rFonts w:hint="eastAsia" w:ascii="宋体" w:hAnsi="宋体" w:eastAsia="宋体" w:cs="宋体"/>
                      <w:color w:val="auto"/>
                      <w:sz w:val="21"/>
                      <w:szCs w:val="21"/>
                      <w:highlight w:val="none"/>
                    </w:rPr>
                  </w:pPr>
                </w:p>
              </w:tc>
            </w:tr>
            <w:tr w14:paraId="7E0EC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955D3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0C8821DF">
                  <w:pPr>
                    <w:jc w:val="center"/>
                    <w:rPr>
                      <w:rFonts w:hint="eastAsia" w:ascii="宋体" w:hAnsi="宋体" w:eastAsia="宋体" w:cs="宋体"/>
                      <w:color w:val="auto"/>
                      <w:sz w:val="21"/>
                      <w:szCs w:val="21"/>
                      <w:highlight w:val="none"/>
                    </w:rPr>
                  </w:pPr>
                </w:p>
              </w:tc>
              <w:tc>
                <w:tcPr>
                  <w:tcW w:w="813" w:type="dxa"/>
                  <w:vAlign w:val="center"/>
                </w:tcPr>
                <w:p w14:paraId="0F178C1F">
                  <w:pPr>
                    <w:jc w:val="center"/>
                    <w:rPr>
                      <w:rFonts w:hint="eastAsia" w:ascii="宋体" w:hAnsi="宋体" w:eastAsia="宋体" w:cs="宋体"/>
                      <w:color w:val="auto"/>
                      <w:sz w:val="21"/>
                      <w:szCs w:val="21"/>
                      <w:highlight w:val="none"/>
                    </w:rPr>
                  </w:pPr>
                </w:p>
              </w:tc>
            </w:tr>
          </w:tbl>
          <w:p w14:paraId="312A026E">
            <w:pPr>
              <w:rPr>
                <w:rFonts w:hint="eastAsia" w:ascii="宋体" w:hAnsi="宋体" w:eastAsia="宋体" w:cs="宋体"/>
                <w:vanish/>
                <w:color w:val="auto"/>
                <w:sz w:val="21"/>
                <w:szCs w:val="21"/>
                <w:highlight w:val="none"/>
              </w:rPr>
            </w:pPr>
          </w:p>
          <w:tbl>
            <w:tblPr>
              <w:tblStyle w:val="7"/>
              <w:tblpPr w:leftFromText="180" w:rightFromText="180" w:vertAnchor="text" w:horzAnchor="page" w:tblpX="129" w:tblpY="412"/>
              <w:tblOverlap w:val="never"/>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7A44B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4FD93B9">
                  <w:pPr>
                    <w:jc w:val="center"/>
                    <w:rPr>
                      <w:rFonts w:hint="eastAsia" w:ascii="宋体" w:hAnsi="宋体" w:eastAsia="宋体" w:cs="宋体"/>
                      <w:color w:val="auto"/>
                      <w:sz w:val="21"/>
                      <w:szCs w:val="21"/>
                      <w:highlight w:val="none"/>
                    </w:rPr>
                  </w:pPr>
                </w:p>
              </w:tc>
              <w:tc>
                <w:tcPr>
                  <w:tcW w:w="813" w:type="dxa"/>
                  <w:vAlign w:val="center"/>
                </w:tcPr>
                <w:p w14:paraId="200F5E4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温度</w:t>
                  </w:r>
                </w:p>
              </w:tc>
              <w:tc>
                <w:tcPr>
                  <w:tcW w:w="813" w:type="dxa"/>
                  <w:vAlign w:val="center"/>
                </w:tcPr>
                <w:p w14:paraId="2D1E2A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压力</w:t>
                  </w:r>
                </w:p>
              </w:tc>
            </w:tr>
            <w:tr w14:paraId="7B7EC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7A84E8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4765DD29">
                  <w:pPr>
                    <w:jc w:val="center"/>
                    <w:rPr>
                      <w:rFonts w:hint="eastAsia" w:ascii="宋体" w:hAnsi="宋体" w:eastAsia="宋体" w:cs="宋体"/>
                      <w:color w:val="auto"/>
                      <w:sz w:val="21"/>
                      <w:szCs w:val="21"/>
                      <w:highlight w:val="none"/>
                    </w:rPr>
                  </w:pPr>
                </w:p>
              </w:tc>
              <w:tc>
                <w:tcPr>
                  <w:tcW w:w="813" w:type="dxa"/>
                  <w:vAlign w:val="center"/>
                </w:tcPr>
                <w:p w14:paraId="34FB18BF">
                  <w:pPr>
                    <w:jc w:val="center"/>
                    <w:rPr>
                      <w:rFonts w:hint="eastAsia" w:ascii="宋体" w:hAnsi="宋体" w:eastAsia="宋体" w:cs="宋体"/>
                      <w:color w:val="auto"/>
                      <w:sz w:val="21"/>
                      <w:szCs w:val="21"/>
                      <w:highlight w:val="none"/>
                    </w:rPr>
                  </w:pPr>
                </w:p>
              </w:tc>
            </w:tr>
            <w:tr w14:paraId="4040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278C3D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02CB8B88">
                  <w:pPr>
                    <w:jc w:val="center"/>
                    <w:rPr>
                      <w:rFonts w:hint="eastAsia" w:ascii="宋体" w:hAnsi="宋体" w:eastAsia="宋体" w:cs="宋体"/>
                      <w:color w:val="auto"/>
                      <w:sz w:val="21"/>
                      <w:szCs w:val="21"/>
                      <w:highlight w:val="none"/>
                    </w:rPr>
                  </w:pPr>
                </w:p>
              </w:tc>
              <w:tc>
                <w:tcPr>
                  <w:tcW w:w="813" w:type="dxa"/>
                  <w:vAlign w:val="center"/>
                </w:tcPr>
                <w:p w14:paraId="1786E663">
                  <w:pPr>
                    <w:jc w:val="center"/>
                    <w:rPr>
                      <w:rFonts w:hint="eastAsia" w:ascii="宋体" w:hAnsi="宋体" w:eastAsia="宋体" w:cs="宋体"/>
                      <w:color w:val="auto"/>
                      <w:sz w:val="21"/>
                      <w:szCs w:val="21"/>
                      <w:highlight w:val="none"/>
                    </w:rPr>
                  </w:pPr>
                </w:p>
              </w:tc>
            </w:tr>
            <w:tr w14:paraId="78F6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179DB8B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7581223C">
                  <w:pPr>
                    <w:jc w:val="center"/>
                    <w:rPr>
                      <w:rFonts w:hint="eastAsia" w:ascii="宋体" w:hAnsi="宋体" w:eastAsia="宋体" w:cs="宋体"/>
                      <w:color w:val="auto"/>
                      <w:sz w:val="21"/>
                      <w:szCs w:val="21"/>
                      <w:highlight w:val="none"/>
                    </w:rPr>
                  </w:pPr>
                </w:p>
              </w:tc>
              <w:tc>
                <w:tcPr>
                  <w:tcW w:w="813" w:type="dxa"/>
                  <w:vAlign w:val="center"/>
                </w:tcPr>
                <w:p w14:paraId="6944F87F">
                  <w:pPr>
                    <w:jc w:val="center"/>
                    <w:rPr>
                      <w:rFonts w:hint="eastAsia" w:ascii="宋体" w:hAnsi="宋体" w:eastAsia="宋体" w:cs="宋体"/>
                      <w:color w:val="auto"/>
                      <w:sz w:val="21"/>
                      <w:szCs w:val="21"/>
                      <w:highlight w:val="none"/>
                    </w:rPr>
                  </w:pPr>
                </w:p>
              </w:tc>
            </w:tr>
          </w:tbl>
          <w:p w14:paraId="7BF95DD8">
            <w:p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标气MFC</w:t>
            </w:r>
          </w:p>
        </w:tc>
        <w:tc>
          <w:tcPr>
            <w:tcW w:w="623" w:type="dxa"/>
            <w:tcBorders>
              <w:top w:val="single" w:color="auto" w:sz="4" w:space="0"/>
              <w:left w:val="single" w:color="auto" w:sz="4" w:space="0"/>
              <w:bottom w:val="single" w:color="auto" w:sz="4" w:space="0"/>
              <w:right w:val="single" w:color="auto" w:sz="4" w:space="0"/>
            </w:tcBorders>
            <w:vAlign w:val="center"/>
          </w:tcPr>
          <w:p w14:paraId="23B59A88">
            <w:pPr>
              <w:rPr>
                <w:rFonts w:hint="eastAsia" w:ascii="宋体" w:hAnsi="宋体" w:eastAsia="宋体" w:cs="宋体"/>
                <w:color w:val="auto"/>
                <w:sz w:val="21"/>
                <w:szCs w:val="21"/>
                <w:highlight w:val="none"/>
              </w:rPr>
            </w:pPr>
          </w:p>
        </w:tc>
      </w:tr>
      <w:tr w14:paraId="68C80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Merge w:val="continue"/>
            <w:tcBorders>
              <w:left w:val="single" w:color="auto" w:sz="4" w:space="0"/>
              <w:right w:val="single" w:color="auto" w:sz="4" w:space="0"/>
            </w:tcBorders>
            <w:vAlign w:val="center"/>
          </w:tcPr>
          <w:p w14:paraId="1731A4D0">
            <w:pPr>
              <w:rPr>
                <w:rFonts w:hint="eastAsia" w:ascii="宋体" w:hAnsi="宋体" w:eastAsia="宋体" w:cs="宋体"/>
                <w:b/>
                <w:color w:val="auto"/>
                <w:sz w:val="21"/>
                <w:szCs w:val="21"/>
                <w:highlight w:val="none"/>
              </w:rPr>
            </w:pPr>
          </w:p>
        </w:tc>
        <w:tc>
          <w:tcPr>
            <w:tcW w:w="452" w:type="dxa"/>
            <w:vMerge w:val="restart"/>
            <w:tcBorders>
              <w:top w:val="single" w:color="auto" w:sz="4" w:space="0"/>
              <w:left w:val="single" w:color="auto" w:sz="4" w:space="0"/>
              <w:right w:val="single" w:color="auto" w:sz="4" w:space="0"/>
            </w:tcBorders>
            <w:vAlign w:val="center"/>
          </w:tcPr>
          <w:p w14:paraId="7AD8E6BC">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气态污染物</w:t>
            </w:r>
          </w:p>
        </w:tc>
        <w:tc>
          <w:tcPr>
            <w:tcW w:w="4793" w:type="dxa"/>
            <w:tcBorders>
              <w:top w:val="single" w:color="auto" w:sz="4" w:space="0"/>
              <w:left w:val="single" w:color="auto" w:sz="4" w:space="0"/>
              <w:bottom w:val="single" w:color="auto" w:sz="4" w:space="0"/>
              <w:right w:val="single" w:color="auto" w:sz="4" w:space="0"/>
            </w:tcBorders>
            <w:vAlign w:val="center"/>
          </w:tcPr>
          <w:p w14:paraId="78DE975E">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O</w:t>
            </w:r>
            <w:r>
              <w:rPr>
                <w:rFonts w:hint="eastAsia" w:ascii="宋体" w:hAnsi="宋体" w:eastAsia="宋体" w:cs="宋体"/>
                <w:bCs/>
                <w:color w:val="auto"/>
                <w:sz w:val="21"/>
                <w:szCs w:val="21"/>
                <w:highlight w:val="none"/>
                <w:vertAlign w:val="subscript"/>
              </w:rPr>
              <w:t>3</w:t>
            </w:r>
            <w:r>
              <w:rPr>
                <w:rFonts w:hint="eastAsia" w:ascii="宋体" w:hAnsi="宋体" w:eastAsia="宋体" w:cs="宋体"/>
                <w:bCs/>
                <w:color w:val="auto"/>
                <w:sz w:val="21"/>
                <w:szCs w:val="21"/>
                <w:highlight w:val="none"/>
              </w:rPr>
              <w:t>或NOX部分（二选一）</w:t>
            </w:r>
          </w:p>
          <w:p w14:paraId="20E22EFC">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仪器显示流量：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2794057">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标气稀释输出浓度：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ppb，浓度误差：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02EB5B33">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t90响应时间：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分钟</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秒钟 </w:t>
            </w:r>
          </w:p>
          <w:p w14:paraId="51A0B355">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仪器零点响应浓度：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w:t>
            </w:r>
          </w:p>
          <w:p w14:paraId="7D072045">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气密性检查</w:t>
            </w:r>
          </w:p>
          <w:p w14:paraId="10AB2FCE">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多点校准(每半年)</w:t>
            </w:r>
          </w:p>
          <w:p w14:paraId="1AC3B768">
            <w:pPr>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2032E014">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精密度检查(每半年)</w:t>
            </w:r>
          </w:p>
          <w:p w14:paraId="4B41E989">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标气输出浓度：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w:t>
            </w:r>
          </w:p>
          <w:p w14:paraId="573CEC89">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w:t>
            </w:r>
          </w:p>
          <w:p w14:paraId="398E8BD3">
            <w:pPr>
              <w:ind w:firstLine="210" w:firstLineChars="100"/>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 xml:space="preserve"> 相对偏差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68ADA2BA">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准确度检查(每年)平均相对误差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D8F4931">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 xml:space="preserve"> 钼炉转化效率（</w:t>
            </w:r>
            <w:r>
              <w:rPr>
                <w:rFonts w:hint="eastAsia" w:ascii="宋体" w:hAnsi="宋体" w:eastAsia="宋体" w:cs="宋体"/>
                <w:bCs/>
                <w:color w:val="auto"/>
                <w:sz w:val="21"/>
                <w:szCs w:val="21"/>
                <w:highlight w:val="none"/>
              </w:rPr>
              <w:t>每年)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56DC513B">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备注：E、F、G、H、I项根据运维节点抽一项进行检查考核。I项仅在抽取NOX时进行考核。</w:t>
            </w:r>
          </w:p>
        </w:tc>
        <w:tc>
          <w:tcPr>
            <w:tcW w:w="851" w:type="dxa"/>
            <w:tcBorders>
              <w:top w:val="single" w:color="auto" w:sz="4" w:space="0"/>
              <w:left w:val="single" w:color="auto" w:sz="4" w:space="0"/>
              <w:bottom w:val="single" w:color="auto" w:sz="4" w:space="0"/>
              <w:right w:val="single" w:color="auto" w:sz="4" w:space="0"/>
            </w:tcBorders>
            <w:vAlign w:val="center"/>
          </w:tcPr>
          <w:p w14:paraId="5422662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0D016939">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采样流量误差超出±10%的，扣5分；</w:t>
            </w:r>
          </w:p>
          <w:p w14:paraId="4663D2FC">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仪器零点超出±10ppb，扣5分；</w:t>
            </w:r>
          </w:p>
          <w:p w14:paraId="0DF92700">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标气浓度误差超出±5%的扣5分；</w:t>
            </w:r>
          </w:p>
          <w:p w14:paraId="2254276D">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t90相应时间≥5min的，扣5分；</w:t>
            </w:r>
          </w:p>
          <w:p w14:paraId="508945C1">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按仪器说明书采样支管和仪器气路气密性检查不合格，扣5分；</w:t>
            </w:r>
          </w:p>
          <w:p w14:paraId="3AF78F36">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多点校准不合格扣5分；</w:t>
            </w:r>
          </w:p>
          <w:p w14:paraId="74050C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要求：0.95≤斜率≤1.05，截距＜±5ppb，相关系数＞0.999</w:t>
            </w:r>
          </w:p>
          <w:p w14:paraId="0030AAE6">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精密度检查不合格，扣5分；</w:t>
            </w:r>
          </w:p>
          <w:p w14:paraId="26DAB9CF">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准确度检查不合格，扣5分；</w:t>
            </w:r>
          </w:p>
          <w:p w14:paraId="150A3DA2">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钼炉转化效率＜96%，扣5分（仅适用于考核NOX）备注：以上扣分上限为单项分值。</w:t>
            </w:r>
          </w:p>
          <w:p w14:paraId="5BEEFCE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记录表：</w:t>
            </w:r>
          </w:p>
          <w:tbl>
            <w:tblPr>
              <w:tblStyle w:val="7"/>
              <w:tblW w:w="5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818"/>
              <w:gridCol w:w="1818"/>
            </w:tblGrid>
            <w:tr w14:paraId="35B86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vAlign w:val="center"/>
                </w:tcPr>
                <w:p w14:paraId="2D3BD5D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校准点</w:t>
                  </w:r>
                </w:p>
              </w:tc>
              <w:tc>
                <w:tcPr>
                  <w:tcW w:w="1818" w:type="dxa"/>
                  <w:vAlign w:val="center"/>
                </w:tcPr>
                <w:p w14:paraId="63A8B46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输出值</w:t>
                  </w:r>
                </w:p>
              </w:tc>
              <w:tc>
                <w:tcPr>
                  <w:tcW w:w="1818" w:type="dxa"/>
                  <w:vAlign w:val="center"/>
                </w:tcPr>
                <w:p w14:paraId="285E05E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仪器显示值</w:t>
                  </w:r>
                </w:p>
              </w:tc>
            </w:tr>
            <w:tr w14:paraId="136BC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8" w:type="dxa"/>
                </w:tcPr>
                <w:p w14:paraId="7569FD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零点</w:t>
                  </w:r>
                </w:p>
              </w:tc>
              <w:tc>
                <w:tcPr>
                  <w:tcW w:w="1818" w:type="dxa"/>
                </w:tcPr>
                <w:p w14:paraId="0A15AEF6">
                  <w:pPr>
                    <w:rPr>
                      <w:rFonts w:hint="eastAsia" w:ascii="宋体" w:hAnsi="宋体" w:eastAsia="宋体" w:cs="宋体"/>
                      <w:color w:val="auto"/>
                      <w:sz w:val="21"/>
                      <w:szCs w:val="21"/>
                      <w:highlight w:val="none"/>
                    </w:rPr>
                  </w:pPr>
                </w:p>
              </w:tc>
              <w:tc>
                <w:tcPr>
                  <w:tcW w:w="1818" w:type="dxa"/>
                </w:tcPr>
                <w:p w14:paraId="79BA588B">
                  <w:pPr>
                    <w:rPr>
                      <w:rFonts w:hint="eastAsia" w:ascii="宋体" w:hAnsi="宋体" w:eastAsia="宋体" w:cs="宋体"/>
                      <w:color w:val="auto"/>
                      <w:sz w:val="21"/>
                      <w:szCs w:val="21"/>
                      <w:highlight w:val="none"/>
                    </w:rPr>
                  </w:pPr>
                </w:p>
              </w:tc>
            </w:tr>
            <w:tr w14:paraId="36323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00137F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满量程10%</w:t>
                  </w:r>
                </w:p>
              </w:tc>
              <w:tc>
                <w:tcPr>
                  <w:tcW w:w="1818" w:type="dxa"/>
                </w:tcPr>
                <w:p w14:paraId="3F594830">
                  <w:pPr>
                    <w:rPr>
                      <w:rFonts w:hint="eastAsia" w:ascii="宋体" w:hAnsi="宋体" w:eastAsia="宋体" w:cs="宋体"/>
                      <w:color w:val="auto"/>
                      <w:sz w:val="21"/>
                      <w:szCs w:val="21"/>
                      <w:highlight w:val="none"/>
                    </w:rPr>
                  </w:pPr>
                </w:p>
              </w:tc>
              <w:tc>
                <w:tcPr>
                  <w:tcW w:w="1818" w:type="dxa"/>
                </w:tcPr>
                <w:p w14:paraId="013D117E">
                  <w:pPr>
                    <w:rPr>
                      <w:rFonts w:hint="eastAsia" w:ascii="宋体" w:hAnsi="宋体" w:eastAsia="宋体" w:cs="宋体"/>
                      <w:color w:val="auto"/>
                      <w:sz w:val="21"/>
                      <w:szCs w:val="21"/>
                      <w:highlight w:val="none"/>
                    </w:rPr>
                  </w:pPr>
                </w:p>
              </w:tc>
            </w:tr>
            <w:tr w14:paraId="26613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7A351C2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满量程20%</w:t>
                  </w:r>
                </w:p>
              </w:tc>
              <w:tc>
                <w:tcPr>
                  <w:tcW w:w="1818" w:type="dxa"/>
                </w:tcPr>
                <w:p w14:paraId="3ED75D32">
                  <w:pPr>
                    <w:rPr>
                      <w:rFonts w:hint="eastAsia" w:ascii="宋体" w:hAnsi="宋体" w:eastAsia="宋体" w:cs="宋体"/>
                      <w:color w:val="auto"/>
                      <w:sz w:val="21"/>
                      <w:szCs w:val="21"/>
                      <w:highlight w:val="none"/>
                    </w:rPr>
                  </w:pPr>
                </w:p>
              </w:tc>
              <w:tc>
                <w:tcPr>
                  <w:tcW w:w="1818" w:type="dxa"/>
                </w:tcPr>
                <w:p w14:paraId="03CCAEC6">
                  <w:pPr>
                    <w:rPr>
                      <w:rFonts w:hint="eastAsia" w:ascii="宋体" w:hAnsi="宋体" w:eastAsia="宋体" w:cs="宋体"/>
                      <w:color w:val="auto"/>
                      <w:sz w:val="21"/>
                      <w:szCs w:val="21"/>
                      <w:highlight w:val="none"/>
                    </w:rPr>
                  </w:pPr>
                </w:p>
              </w:tc>
            </w:tr>
            <w:tr w14:paraId="74AA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67288D1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满量程40%</w:t>
                  </w:r>
                </w:p>
              </w:tc>
              <w:tc>
                <w:tcPr>
                  <w:tcW w:w="1818" w:type="dxa"/>
                </w:tcPr>
                <w:p w14:paraId="1AF61165">
                  <w:pPr>
                    <w:rPr>
                      <w:rFonts w:hint="eastAsia" w:ascii="宋体" w:hAnsi="宋体" w:eastAsia="宋体" w:cs="宋体"/>
                      <w:color w:val="auto"/>
                      <w:sz w:val="21"/>
                      <w:szCs w:val="21"/>
                      <w:highlight w:val="none"/>
                    </w:rPr>
                  </w:pPr>
                </w:p>
              </w:tc>
              <w:tc>
                <w:tcPr>
                  <w:tcW w:w="1818" w:type="dxa"/>
                </w:tcPr>
                <w:p w14:paraId="22D79037">
                  <w:pPr>
                    <w:rPr>
                      <w:rFonts w:hint="eastAsia" w:ascii="宋体" w:hAnsi="宋体" w:eastAsia="宋体" w:cs="宋体"/>
                      <w:color w:val="auto"/>
                      <w:sz w:val="21"/>
                      <w:szCs w:val="21"/>
                      <w:highlight w:val="none"/>
                    </w:rPr>
                  </w:pPr>
                </w:p>
              </w:tc>
            </w:tr>
            <w:tr w14:paraId="46088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50D7D26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满量程60%</w:t>
                  </w:r>
                </w:p>
              </w:tc>
              <w:tc>
                <w:tcPr>
                  <w:tcW w:w="1818" w:type="dxa"/>
                </w:tcPr>
                <w:p w14:paraId="61256FDD">
                  <w:pPr>
                    <w:rPr>
                      <w:rFonts w:hint="eastAsia" w:ascii="宋体" w:hAnsi="宋体" w:eastAsia="宋体" w:cs="宋体"/>
                      <w:color w:val="auto"/>
                      <w:sz w:val="21"/>
                      <w:szCs w:val="21"/>
                      <w:highlight w:val="none"/>
                    </w:rPr>
                  </w:pPr>
                </w:p>
              </w:tc>
              <w:tc>
                <w:tcPr>
                  <w:tcW w:w="1818" w:type="dxa"/>
                </w:tcPr>
                <w:p w14:paraId="16AC16C7">
                  <w:pPr>
                    <w:rPr>
                      <w:rFonts w:hint="eastAsia" w:ascii="宋体" w:hAnsi="宋体" w:eastAsia="宋体" w:cs="宋体"/>
                      <w:color w:val="auto"/>
                      <w:sz w:val="21"/>
                      <w:szCs w:val="21"/>
                      <w:highlight w:val="none"/>
                    </w:rPr>
                  </w:pPr>
                </w:p>
              </w:tc>
            </w:tr>
            <w:tr w14:paraId="580C1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25215A4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满量程80%</w:t>
                  </w:r>
                </w:p>
              </w:tc>
              <w:tc>
                <w:tcPr>
                  <w:tcW w:w="1818" w:type="dxa"/>
                </w:tcPr>
                <w:p w14:paraId="0A12B719">
                  <w:pPr>
                    <w:rPr>
                      <w:rFonts w:hint="eastAsia" w:ascii="宋体" w:hAnsi="宋体" w:eastAsia="宋体" w:cs="宋体"/>
                      <w:color w:val="auto"/>
                      <w:sz w:val="21"/>
                      <w:szCs w:val="21"/>
                      <w:highlight w:val="none"/>
                    </w:rPr>
                  </w:pPr>
                </w:p>
              </w:tc>
              <w:tc>
                <w:tcPr>
                  <w:tcW w:w="1818" w:type="dxa"/>
                </w:tcPr>
                <w:p w14:paraId="1E710955">
                  <w:pPr>
                    <w:rPr>
                      <w:rFonts w:hint="eastAsia" w:ascii="宋体" w:hAnsi="宋体" w:eastAsia="宋体" w:cs="宋体"/>
                      <w:color w:val="auto"/>
                      <w:sz w:val="21"/>
                      <w:szCs w:val="21"/>
                      <w:highlight w:val="none"/>
                    </w:rPr>
                  </w:pPr>
                </w:p>
              </w:tc>
            </w:tr>
          </w:tbl>
          <w:p w14:paraId="09071157">
            <w:pPr>
              <w:rPr>
                <w:rFonts w:hint="eastAsia" w:ascii="宋体" w:hAnsi="宋体" w:eastAsia="宋体" w:cs="宋体"/>
                <w:color w:val="auto"/>
                <w:sz w:val="21"/>
                <w:szCs w:val="21"/>
                <w:highlight w:val="none"/>
              </w:rPr>
            </w:pP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3FE2A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14B463D6">
                  <w:pPr>
                    <w:jc w:val="center"/>
                    <w:rPr>
                      <w:rFonts w:hint="eastAsia" w:ascii="宋体" w:hAnsi="宋体" w:eastAsia="宋体" w:cs="宋体"/>
                      <w:color w:val="auto"/>
                      <w:sz w:val="21"/>
                      <w:szCs w:val="21"/>
                      <w:highlight w:val="none"/>
                    </w:rPr>
                  </w:pPr>
                </w:p>
              </w:tc>
              <w:tc>
                <w:tcPr>
                  <w:tcW w:w="813" w:type="dxa"/>
                  <w:vAlign w:val="center"/>
                </w:tcPr>
                <w:p w14:paraId="55DC917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48E158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25ED1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58177D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7AB5A4CA">
                  <w:pPr>
                    <w:jc w:val="center"/>
                    <w:rPr>
                      <w:rFonts w:hint="eastAsia" w:ascii="宋体" w:hAnsi="宋体" w:eastAsia="宋体" w:cs="宋体"/>
                      <w:color w:val="auto"/>
                      <w:sz w:val="21"/>
                      <w:szCs w:val="21"/>
                      <w:highlight w:val="none"/>
                    </w:rPr>
                  </w:pPr>
                </w:p>
              </w:tc>
              <w:tc>
                <w:tcPr>
                  <w:tcW w:w="813" w:type="dxa"/>
                  <w:vAlign w:val="center"/>
                </w:tcPr>
                <w:p w14:paraId="673AC9DB">
                  <w:pPr>
                    <w:jc w:val="center"/>
                    <w:rPr>
                      <w:rFonts w:hint="eastAsia" w:ascii="宋体" w:hAnsi="宋体" w:eastAsia="宋体" w:cs="宋体"/>
                      <w:color w:val="auto"/>
                      <w:sz w:val="21"/>
                      <w:szCs w:val="21"/>
                      <w:highlight w:val="none"/>
                    </w:rPr>
                  </w:pPr>
                </w:p>
              </w:tc>
            </w:tr>
            <w:tr w14:paraId="2142E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1D759A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0335C720">
                  <w:pPr>
                    <w:jc w:val="center"/>
                    <w:rPr>
                      <w:rFonts w:hint="eastAsia" w:ascii="宋体" w:hAnsi="宋体" w:eastAsia="宋体" w:cs="宋体"/>
                      <w:color w:val="auto"/>
                      <w:sz w:val="21"/>
                      <w:szCs w:val="21"/>
                      <w:highlight w:val="none"/>
                    </w:rPr>
                  </w:pPr>
                </w:p>
              </w:tc>
              <w:tc>
                <w:tcPr>
                  <w:tcW w:w="813" w:type="dxa"/>
                  <w:vAlign w:val="center"/>
                </w:tcPr>
                <w:p w14:paraId="53DF8061">
                  <w:pPr>
                    <w:jc w:val="center"/>
                    <w:rPr>
                      <w:rFonts w:hint="eastAsia" w:ascii="宋体" w:hAnsi="宋体" w:eastAsia="宋体" w:cs="宋体"/>
                      <w:color w:val="auto"/>
                      <w:sz w:val="21"/>
                      <w:szCs w:val="21"/>
                      <w:highlight w:val="none"/>
                    </w:rPr>
                  </w:pPr>
                </w:p>
              </w:tc>
            </w:tr>
            <w:tr w14:paraId="20926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B98733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70E40967">
                  <w:pPr>
                    <w:jc w:val="center"/>
                    <w:rPr>
                      <w:rFonts w:hint="eastAsia" w:ascii="宋体" w:hAnsi="宋体" w:eastAsia="宋体" w:cs="宋体"/>
                      <w:color w:val="auto"/>
                      <w:sz w:val="21"/>
                      <w:szCs w:val="21"/>
                      <w:highlight w:val="none"/>
                    </w:rPr>
                  </w:pPr>
                </w:p>
              </w:tc>
              <w:tc>
                <w:tcPr>
                  <w:tcW w:w="813" w:type="dxa"/>
                  <w:vAlign w:val="center"/>
                </w:tcPr>
                <w:p w14:paraId="0958A11D">
                  <w:pPr>
                    <w:jc w:val="center"/>
                    <w:rPr>
                      <w:rFonts w:hint="eastAsia" w:ascii="宋体" w:hAnsi="宋体" w:eastAsia="宋体" w:cs="宋体"/>
                      <w:color w:val="auto"/>
                      <w:sz w:val="21"/>
                      <w:szCs w:val="21"/>
                      <w:highlight w:val="none"/>
                    </w:rPr>
                  </w:pPr>
                </w:p>
              </w:tc>
            </w:tr>
          </w:tbl>
          <w:p w14:paraId="7F80B9DC">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406C31A0">
            <w:pPr>
              <w:rPr>
                <w:rFonts w:hint="eastAsia" w:ascii="宋体" w:hAnsi="宋体" w:eastAsia="宋体" w:cs="宋体"/>
                <w:color w:val="auto"/>
                <w:sz w:val="21"/>
                <w:szCs w:val="21"/>
                <w:highlight w:val="none"/>
              </w:rPr>
            </w:pPr>
          </w:p>
        </w:tc>
      </w:tr>
      <w:tr w14:paraId="43953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8" w:hRule="atLeast"/>
          <w:jc w:val="center"/>
        </w:trPr>
        <w:tc>
          <w:tcPr>
            <w:tcW w:w="1242" w:type="dxa"/>
            <w:vMerge w:val="continue"/>
            <w:tcBorders>
              <w:left w:val="single" w:color="auto" w:sz="4" w:space="0"/>
              <w:right w:val="single" w:color="auto" w:sz="4" w:space="0"/>
            </w:tcBorders>
            <w:vAlign w:val="center"/>
          </w:tcPr>
          <w:p w14:paraId="0B9855FE">
            <w:pPr>
              <w:rPr>
                <w:rFonts w:hint="eastAsia" w:ascii="宋体" w:hAnsi="宋体" w:eastAsia="宋体" w:cs="宋体"/>
                <w:b/>
                <w:color w:val="auto"/>
                <w:sz w:val="21"/>
                <w:szCs w:val="21"/>
                <w:highlight w:val="none"/>
              </w:rPr>
            </w:pPr>
          </w:p>
        </w:tc>
        <w:tc>
          <w:tcPr>
            <w:tcW w:w="452" w:type="dxa"/>
            <w:vMerge w:val="continue"/>
            <w:tcBorders>
              <w:left w:val="single" w:color="auto" w:sz="4" w:space="0"/>
              <w:bottom w:val="single" w:color="auto" w:sz="4" w:space="0"/>
              <w:right w:val="single" w:color="auto" w:sz="4" w:space="0"/>
            </w:tcBorders>
            <w:vAlign w:val="center"/>
          </w:tcPr>
          <w:p w14:paraId="02058EB5">
            <w:pPr>
              <w:jc w:val="left"/>
              <w:rPr>
                <w:rFonts w:hint="eastAsia" w:ascii="宋体" w:hAnsi="宋体" w:eastAsia="宋体" w:cs="宋体"/>
                <w:bCs/>
                <w:color w:val="auto"/>
                <w:sz w:val="21"/>
                <w:szCs w:val="21"/>
                <w:highlight w:val="none"/>
              </w:rPr>
            </w:pPr>
          </w:p>
        </w:tc>
        <w:tc>
          <w:tcPr>
            <w:tcW w:w="4793" w:type="dxa"/>
            <w:tcBorders>
              <w:top w:val="single" w:color="auto" w:sz="4" w:space="0"/>
              <w:left w:val="single" w:color="auto" w:sz="4" w:space="0"/>
              <w:bottom w:val="single" w:color="auto" w:sz="4" w:space="0"/>
              <w:right w:val="single" w:color="auto" w:sz="4" w:space="0"/>
            </w:tcBorders>
            <w:vAlign w:val="center"/>
          </w:tcPr>
          <w:p w14:paraId="3A5D8123">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SO</w:t>
            </w:r>
            <w:r>
              <w:rPr>
                <w:rFonts w:hint="eastAsia" w:ascii="宋体" w:hAnsi="宋体" w:eastAsia="宋体" w:cs="宋体"/>
                <w:bCs/>
                <w:color w:val="auto"/>
                <w:sz w:val="21"/>
                <w:szCs w:val="21"/>
                <w:highlight w:val="none"/>
                <w:vertAlign w:val="subscript"/>
              </w:rPr>
              <w:t>2</w:t>
            </w:r>
            <w:r>
              <w:rPr>
                <w:rFonts w:hint="eastAsia" w:ascii="宋体" w:hAnsi="宋体" w:eastAsia="宋体" w:cs="宋体"/>
                <w:bCs/>
                <w:color w:val="auto"/>
                <w:sz w:val="21"/>
                <w:szCs w:val="21"/>
                <w:highlight w:val="none"/>
              </w:rPr>
              <w:t>或CO部分（二选一）</w:t>
            </w:r>
          </w:p>
          <w:p w14:paraId="03EE24A4">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仪器显示流量：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1CEB4AEF">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标气稀释输出浓度：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ppb(ppm)，浓度误差：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4521C02E">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t90响应时间：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分钟</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秒钟 </w:t>
            </w:r>
          </w:p>
          <w:p w14:paraId="15542598">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仪器零点响应浓度：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w:t>
            </w:r>
          </w:p>
          <w:p w14:paraId="0F102258">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气密性检查</w:t>
            </w:r>
          </w:p>
          <w:p w14:paraId="74B34653">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多点校准(每半年)</w:t>
            </w:r>
          </w:p>
          <w:p w14:paraId="5743975C">
            <w:pPr>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06BF679">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精密度检查(每半年)</w:t>
            </w:r>
          </w:p>
          <w:p w14:paraId="6A00036B">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标气输出浓度：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w:t>
            </w:r>
          </w:p>
          <w:p w14:paraId="2AF0ED84">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w:t>
            </w:r>
          </w:p>
          <w:p w14:paraId="317A7AE1">
            <w:pPr>
              <w:ind w:firstLine="210" w:firstLineChars="100"/>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 xml:space="preserve"> 相对偏差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0BD7A994">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准确度检查(每年)平均相对误差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7E46042">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备注：E、F、G、H项根据运维节点抽一项进行检查考核。</w:t>
            </w:r>
          </w:p>
        </w:tc>
        <w:tc>
          <w:tcPr>
            <w:tcW w:w="851" w:type="dxa"/>
            <w:tcBorders>
              <w:top w:val="single" w:color="auto" w:sz="4" w:space="0"/>
              <w:left w:val="single" w:color="auto" w:sz="4" w:space="0"/>
              <w:bottom w:val="single" w:color="auto" w:sz="4" w:space="0"/>
              <w:right w:val="single" w:color="auto" w:sz="4" w:space="0"/>
            </w:tcBorders>
            <w:vAlign w:val="center"/>
          </w:tcPr>
          <w:p w14:paraId="2B0D64A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2104317C">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采样流量误差超出±10%的，扣5分；</w:t>
            </w:r>
          </w:p>
          <w:p w14:paraId="1CCB8969">
            <w:pPr>
              <w:numPr>
                <w:ilvl w:val="0"/>
                <w:numId w:val="19"/>
              </w:num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SO</w:t>
            </w:r>
            <w:r>
              <w:rPr>
                <w:rFonts w:hint="eastAsia" w:ascii="宋体" w:hAnsi="宋体" w:eastAsia="宋体" w:cs="宋体"/>
                <w:bCs/>
                <w:color w:val="auto"/>
                <w:sz w:val="21"/>
                <w:szCs w:val="21"/>
                <w:highlight w:val="none"/>
                <w:vertAlign w:val="subscript"/>
              </w:rPr>
              <w:t>2</w:t>
            </w:r>
            <w:r>
              <w:rPr>
                <w:rFonts w:hint="eastAsia" w:ascii="宋体" w:hAnsi="宋体" w:eastAsia="宋体" w:cs="宋体"/>
                <w:color w:val="auto"/>
                <w:sz w:val="21"/>
                <w:szCs w:val="21"/>
                <w:highlight w:val="none"/>
              </w:rPr>
              <w:t>仪器零点超出±10ppb</w:t>
            </w:r>
            <w:r>
              <w:rPr>
                <w:rFonts w:hint="eastAsia" w:ascii="宋体" w:hAnsi="宋体" w:eastAsia="宋体" w:cs="宋体"/>
                <w:bCs/>
                <w:color w:val="auto"/>
                <w:sz w:val="21"/>
                <w:szCs w:val="21"/>
                <w:highlight w:val="none"/>
              </w:rPr>
              <w:t>或CO</w:t>
            </w:r>
            <w:r>
              <w:rPr>
                <w:rFonts w:hint="eastAsia" w:ascii="宋体" w:hAnsi="宋体" w:eastAsia="宋体" w:cs="宋体"/>
                <w:color w:val="auto"/>
                <w:sz w:val="21"/>
                <w:szCs w:val="21"/>
                <w:highlight w:val="none"/>
              </w:rPr>
              <w:t>仪器零点超出±1ppm，扣5分；</w:t>
            </w:r>
          </w:p>
          <w:p w14:paraId="1CC40F01">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标气浓度误差超出±5%的扣 5分；</w:t>
            </w:r>
          </w:p>
          <w:p w14:paraId="4E2033B1">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t90相应时间≥5min的，扣5分；</w:t>
            </w:r>
          </w:p>
          <w:p w14:paraId="0DDCB5EF">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按仪器说明书采样支管和仪器气路气密性检查不合格，扣5分；</w:t>
            </w:r>
          </w:p>
          <w:p w14:paraId="693597D7">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多点校准不合格扣5分；</w:t>
            </w:r>
          </w:p>
          <w:p w14:paraId="51F874FF">
            <w:p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SO</w:t>
            </w:r>
            <w:r>
              <w:rPr>
                <w:rFonts w:hint="eastAsia" w:ascii="宋体" w:hAnsi="宋体" w:eastAsia="宋体" w:cs="宋体"/>
                <w:bCs/>
                <w:color w:val="auto"/>
                <w:sz w:val="21"/>
                <w:szCs w:val="21"/>
                <w:highlight w:val="none"/>
                <w:vertAlign w:val="subscript"/>
              </w:rPr>
              <w:t>2</w:t>
            </w:r>
            <w:r>
              <w:rPr>
                <w:rFonts w:hint="eastAsia" w:ascii="宋体" w:hAnsi="宋体" w:eastAsia="宋体" w:cs="宋体"/>
                <w:color w:val="auto"/>
                <w:sz w:val="21"/>
                <w:szCs w:val="21"/>
                <w:highlight w:val="none"/>
              </w:rPr>
              <w:t>—0.95≤斜率≤1.05，截距＜±5ppb，相关系数＞0.999</w:t>
            </w:r>
          </w:p>
          <w:p w14:paraId="3DF73EA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CO—0.95≤斜率≤1.05，截距＜±0.5ppm，相关系数＞0.999</w:t>
            </w:r>
          </w:p>
          <w:p w14:paraId="4B062598">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精密度检查不合格，扣5分；</w:t>
            </w:r>
          </w:p>
          <w:p w14:paraId="08D85AA8">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准确度检查不合格，扣5分；</w:t>
            </w:r>
          </w:p>
          <w:p w14:paraId="3832935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备注：以上扣分上限为单项分值。</w:t>
            </w:r>
          </w:p>
          <w:p w14:paraId="13E23F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记录表：</w:t>
            </w:r>
          </w:p>
          <w:tbl>
            <w:tblPr>
              <w:tblStyle w:val="7"/>
              <w:tblW w:w="5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818"/>
              <w:gridCol w:w="1818"/>
            </w:tblGrid>
            <w:tr w14:paraId="073E7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vAlign w:val="center"/>
                </w:tcPr>
                <w:p w14:paraId="1EEEEE0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校准点</w:t>
                  </w:r>
                </w:p>
              </w:tc>
              <w:tc>
                <w:tcPr>
                  <w:tcW w:w="1818" w:type="dxa"/>
                  <w:vAlign w:val="center"/>
                </w:tcPr>
                <w:p w14:paraId="28A5A2C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输出值</w:t>
                  </w:r>
                </w:p>
              </w:tc>
              <w:tc>
                <w:tcPr>
                  <w:tcW w:w="1818" w:type="dxa"/>
                  <w:vAlign w:val="center"/>
                </w:tcPr>
                <w:p w14:paraId="061E45F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仪器显示值</w:t>
                  </w:r>
                </w:p>
              </w:tc>
            </w:tr>
            <w:tr w14:paraId="119A4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8" w:type="dxa"/>
                </w:tcPr>
                <w:p w14:paraId="0FADCA1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零点</w:t>
                  </w:r>
                </w:p>
              </w:tc>
              <w:tc>
                <w:tcPr>
                  <w:tcW w:w="1818" w:type="dxa"/>
                </w:tcPr>
                <w:p w14:paraId="4D6FC86D">
                  <w:pPr>
                    <w:rPr>
                      <w:rFonts w:hint="eastAsia" w:ascii="宋体" w:hAnsi="宋体" w:eastAsia="宋体" w:cs="宋体"/>
                      <w:color w:val="auto"/>
                      <w:sz w:val="21"/>
                      <w:szCs w:val="21"/>
                      <w:highlight w:val="none"/>
                    </w:rPr>
                  </w:pPr>
                </w:p>
              </w:tc>
              <w:tc>
                <w:tcPr>
                  <w:tcW w:w="1818" w:type="dxa"/>
                </w:tcPr>
                <w:p w14:paraId="4D2A797A">
                  <w:pPr>
                    <w:rPr>
                      <w:rFonts w:hint="eastAsia" w:ascii="宋体" w:hAnsi="宋体" w:eastAsia="宋体" w:cs="宋体"/>
                      <w:color w:val="auto"/>
                      <w:sz w:val="21"/>
                      <w:szCs w:val="21"/>
                      <w:highlight w:val="none"/>
                    </w:rPr>
                  </w:pPr>
                </w:p>
              </w:tc>
            </w:tr>
            <w:tr w14:paraId="3D21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50FECA1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满量程10%</w:t>
                  </w:r>
                </w:p>
              </w:tc>
              <w:tc>
                <w:tcPr>
                  <w:tcW w:w="1818" w:type="dxa"/>
                </w:tcPr>
                <w:p w14:paraId="08033647">
                  <w:pPr>
                    <w:rPr>
                      <w:rFonts w:hint="eastAsia" w:ascii="宋体" w:hAnsi="宋体" w:eastAsia="宋体" w:cs="宋体"/>
                      <w:color w:val="auto"/>
                      <w:sz w:val="21"/>
                      <w:szCs w:val="21"/>
                      <w:highlight w:val="none"/>
                    </w:rPr>
                  </w:pPr>
                </w:p>
              </w:tc>
              <w:tc>
                <w:tcPr>
                  <w:tcW w:w="1818" w:type="dxa"/>
                </w:tcPr>
                <w:p w14:paraId="634A499E">
                  <w:pPr>
                    <w:rPr>
                      <w:rFonts w:hint="eastAsia" w:ascii="宋体" w:hAnsi="宋体" w:eastAsia="宋体" w:cs="宋体"/>
                      <w:color w:val="auto"/>
                      <w:sz w:val="21"/>
                      <w:szCs w:val="21"/>
                      <w:highlight w:val="none"/>
                    </w:rPr>
                  </w:pPr>
                </w:p>
              </w:tc>
            </w:tr>
            <w:tr w14:paraId="4215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562BE4D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满量程20%</w:t>
                  </w:r>
                </w:p>
              </w:tc>
              <w:tc>
                <w:tcPr>
                  <w:tcW w:w="1818" w:type="dxa"/>
                </w:tcPr>
                <w:p w14:paraId="21A170D2">
                  <w:pPr>
                    <w:rPr>
                      <w:rFonts w:hint="eastAsia" w:ascii="宋体" w:hAnsi="宋体" w:eastAsia="宋体" w:cs="宋体"/>
                      <w:color w:val="auto"/>
                      <w:sz w:val="21"/>
                      <w:szCs w:val="21"/>
                      <w:highlight w:val="none"/>
                    </w:rPr>
                  </w:pPr>
                </w:p>
              </w:tc>
              <w:tc>
                <w:tcPr>
                  <w:tcW w:w="1818" w:type="dxa"/>
                </w:tcPr>
                <w:p w14:paraId="40AE3458">
                  <w:pPr>
                    <w:rPr>
                      <w:rFonts w:hint="eastAsia" w:ascii="宋体" w:hAnsi="宋体" w:eastAsia="宋体" w:cs="宋体"/>
                      <w:color w:val="auto"/>
                      <w:sz w:val="21"/>
                      <w:szCs w:val="21"/>
                      <w:highlight w:val="none"/>
                    </w:rPr>
                  </w:pPr>
                </w:p>
              </w:tc>
            </w:tr>
            <w:tr w14:paraId="2D11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44C0085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满量程40%</w:t>
                  </w:r>
                </w:p>
              </w:tc>
              <w:tc>
                <w:tcPr>
                  <w:tcW w:w="1818" w:type="dxa"/>
                </w:tcPr>
                <w:p w14:paraId="3B9C1E2F">
                  <w:pPr>
                    <w:rPr>
                      <w:rFonts w:hint="eastAsia" w:ascii="宋体" w:hAnsi="宋体" w:eastAsia="宋体" w:cs="宋体"/>
                      <w:color w:val="auto"/>
                      <w:sz w:val="21"/>
                      <w:szCs w:val="21"/>
                      <w:highlight w:val="none"/>
                    </w:rPr>
                  </w:pPr>
                </w:p>
              </w:tc>
              <w:tc>
                <w:tcPr>
                  <w:tcW w:w="1818" w:type="dxa"/>
                </w:tcPr>
                <w:p w14:paraId="6E0E178B">
                  <w:pPr>
                    <w:rPr>
                      <w:rFonts w:hint="eastAsia" w:ascii="宋体" w:hAnsi="宋体" w:eastAsia="宋体" w:cs="宋体"/>
                      <w:color w:val="auto"/>
                      <w:sz w:val="21"/>
                      <w:szCs w:val="21"/>
                      <w:highlight w:val="none"/>
                    </w:rPr>
                  </w:pPr>
                </w:p>
              </w:tc>
            </w:tr>
            <w:tr w14:paraId="25F9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06FE1B4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满量程60%</w:t>
                  </w:r>
                </w:p>
              </w:tc>
              <w:tc>
                <w:tcPr>
                  <w:tcW w:w="1818" w:type="dxa"/>
                </w:tcPr>
                <w:p w14:paraId="77560DBC">
                  <w:pPr>
                    <w:rPr>
                      <w:rFonts w:hint="eastAsia" w:ascii="宋体" w:hAnsi="宋体" w:eastAsia="宋体" w:cs="宋体"/>
                      <w:color w:val="auto"/>
                      <w:sz w:val="21"/>
                      <w:szCs w:val="21"/>
                      <w:highlight w:val="none"/>
                    </w:rPr>
                  </w:pPr>
                </w:p>
              </w:tc>
              <w:tc>
                <w:tcPr>
                  <w:tcW w:w="1818" w:type="dxa"/>
                </w:tcPr>
                <w:p w14:paraId="554F96FA">
                  <w:pPr>
                    <w:rPr>
                      <w:rFonts w:hint="eastAsia" w:ascii="宋体" w:hAnsi="宋体" w:eastAsia="宋体" w:cs="宋体"/>
                      <w:color w:val="auto"/>
                      <w:sz w:val="21"/>
                      <w:szCs w:val="21"/>
                      <w:highlight w:val="none"/>
                    </w:rPr>
                  </w:pPr>
                </w:p>
              </w:tc>
            </w:tr>
            <w:tr w14:paraId="0F21B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1464C0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满量程80%</w:t>
                  </w:r>
                </w:p>
              </w:tc>
              <w:tc>
                <w:tcPr>
                  <w:tcW w:w="1818" w:type="dxa"/>
                </w:tcPr>
                <w:p w14:paraId="155CF5F0">
                  <w:pPr>
                    <w:rPr>
                      <w:rFonts w:hint="eastAsia" w:ascii="宋体" w:hAnsi="宋体" w:eastAsia="宋体" w:cs="宋体"/>
                      <w:color w:val="auto"/>
                      <w:sz w:val="21"/>
                      <w:szCs w:val="21"/>
                      <w:highlight w:val="none"/>
                    </w:rPr>
                  </w:pPr>
                </w:p>
              </w:tc>
              <w:tc>
                <w:tcPr>
                  <w:tcW w:w="1818" w:type="dxa"/>
                </w:tcPr>
                <w:p w14:paraId="5C7C15B6">
                  <w:pPr>
                    <w:rPr>
                      <w:rFonts w:hint="eastAsia" w:ascii="宋体" w:hAnsi="宋体" w:eastAsia="宋体" w:cs="宋体"/>
                      <w:color w:val="auto"/>
                      <w:sz w:val="21"/>
                      <w:szCs w:val="21"/>
                      <w:highlight w:val="none"/>
                    </w:rPr>
                  </w:pPr>
                </w:p>
              </w:tc>
            </w:tr>
          </w:tbl>
          <w:p w14:paraId="157A92DE">
            <w:pPr>
              <w:rPr>
                <w:rFonts w:hint="eastAsia" w:ascii="宋体" w:hAnsi="宋体" w:eastAsia="宋体" w:cs="宋体"/>
                <w:color w:val="auto"/>
                <w:sz w:val="21"/>
                <w:szCs w:val="21"/>
                <w:highlight w:val="none"/>
              </w:rPr>
            </w:pP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0C2F3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6259F99">
                  <w:pPr>
                    <w:jc w:val="center"/>
                    <w:rPr>
                      <w:rFonts w:hint="eastAsia" w:ascii="宋体" w:hAnsi="宋体" w:eastAsia="宋体" w:cs="宋体"/>
                      <w:color w:val="auto"/>
                      <w:sz w:val="21"/>
                      <w:szCs w:val="21"/>
                      <w:highlight w:val="none"/>
                    </w:rPr>
                  </w:pPr>
                </w:p>
              </w:tc>
              <w:tc>
                <w:tcPr>
                  <w:tcW w:w="813" w:type="dxa"/>
                  <w:vAlign w:val="center"/>
                </w:tcPr>
                <w:p w14:paraId="160BB33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08D7A9A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75FE2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29851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56AB08F8">
                  <w:pPr>
                    <w:jc w:val="center"/>
                    <w:rPr>
                      <w:rFonts w:hint="eastAsia" w:ascii="宋体" w:hAnsi="宋体" w:eastAsia="宋体" w:cs="宋体"/>
                      <w:color w:val="auto"/>
                      <w:sz w:val="21"/>
                      <w:szCs w:val="21"/>
                      <w:highlight w:val="none"/>
                    </w:rPr>
                  </w:pPr>
                </w:p>
              </w:tc>
              <w:tc>
                <w:tcPr>
                  <w:tcW w:w="813" w:type="dxa"/>
                  <w:vAlign w:val="center"/>
                </w:tcPr>
                <w:p w14:paraId="02BB081E">
                  <w:pPr>
                    <w:jc w:val="center"/>
                    <w:rPr>
                      <w:rFonts w:hint="eastAsia" w:ascii="宋体" w:hAnsi="宋体" w:eastAsia="宋体" w:cs="宋体"/>
                      <w:color w:val="auto"/>
                      <w:sz w:val="21"/>
                      <w:szCs w:val="21"/>
                      <w:highlight w:val="none"/>
                    </w:rPr>
                  </w:pPr>
                </w:p>
              </w:tc>
            </w:tr>
            <w:tr w14:paraId="71D2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8F0B46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7000CB69">
                  <w:pPr>
                    <w:jc w:val="center"/>
                    <w:rPr>
                      <w:rFonts w:hint="eastAsia" w:ascii="宋体" w:hAnsi="宋体" w:eastAsia="宋体" w:cs="宋体"/>
                      <w:color w:val="auto"/>
                      <w:sz w:val="21"/>
                      <w:szCs w:val="21"/>
                      <w:highlight w:val="none"/>
                    </w:rPr>
                  </w:pPr>
                </w:p>
              </w:tc>
              <w:tc>
                <w:tcPr>
                  <w:tcW w:w="813" w:type="dxa"/>
                  <w:vAlign w:val="center"/>
                </w:tcPr>
                <w:p w14:paraId="588C0DB4">
                  <w:pPr>
                    <w:jc w:val="center"/>
                    <w:rPr>
                      <w:rFonts w:hint="eastAsia" w:ascii="宋体" w:hAnsi="宋体" w:eastAsia="宋体" w:cs="宋体"/>
                      <w:color w:val="auto"/>
                      <w:sz w:val="21"/>
                      <w:szCs w:val="21"/>
                      <w:highlight w:val="none"/>
                    </w:rPr>
                  </w:pPr>
                </w:p>
              </w:tc>
            </w:tr>
            <w:tr w14:paraId="18ED4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AC6D7C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7AD0AE5F">
                  <w:pPr>
                    <w:jc w:val="center"/>
                    <w:rPr>
                      <w:rFonts w:hint="eastAsia" w:ascii="宋体" w:hAnsi="宋体" w:eastAsia="宋体" w:cs="宋体"/>
                      <w:color w:val="auto"/>
                      <w:sz w:val="21"/>
                      <w:szCs w:val="21"/>
                      <w:highlight w:val="none"/>
                    </w:rPr>
                  </w:pPr>
                </w:p>
              </w:tc>
              <w:tc>
                <w:tcPr>
                  <w:tcW w:w="813" w:type="dxa"/>
                  <w:vAlign w:val="center"/>
                </w:tcPr>
                <w:p w14:paraId="5B4196CF">
                  <w:pPr>
                    <w:jc w:val="center"/>
                    <w:rPr>
                      <w:rFonts w:hint="eastAsia" w:ascii="宋体" w:hAnsi="宋体" w:eastAsia="宋体" w:cs="宋体"/>
                      <w:color w:val="auto"/>
                      <w:sz w:val="21"/>
                      <w:szCs w:val="21"/>
                      <w:highlight w:val="none"/>
                    </w:rPr>
                  </w:pPr>
                </w:p>
              </w:tc>
            </w:tr>
          </w:tbl>
          <w:p w14:paraId="29648025">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7405EB2F">
            <w:pPr>
              <w:rPr>
                <w:rFonts w:hint="eastAsia" w:ascii="宋体" w:hAnsi="宋体" w:eastAsia="宋体" w:cs="宋体"/>
                <w:color w:val="auto"/>
                <w:sz w:val="21"/>
                <w:szCs w:val="21"/>
                <w:highlight w:val="none"/>
              </w:rPr>
            </w:pPr>
          </w:p>
        </w:tc>
      </w:tr>
      <w:tr w14:paraId="29BC7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6" w:hRule="atLeast"/>
          <w:jc w:val="center"/>
        </w:trPr>
        <w:tc>
          <w:tcPr>
            <w:tcW w:w="1242" w:type="dxa"/>
            <w:vMerge w:val="continue"/>
            <w:tcBorders>
              <w:left w:val="single" w:color="auto" w:sz="4" w:space="0"/>
              <w:right w:val="single" w:color="auto" w:sz="4" w:space="0"/>
            </w:tcBorders>
            <w:vAlign w:val="center"/>
          </w:tcPr>
          <w:p w14:paraId="79E92E2F">
            <w:pPr>
              <w:rPr>
                <w:rFonts w:hint="eastAsia" w:ascii="宋体" w:hAnsi="宋体" w:eastAsia="宋体" w:cs="宋体"/>
                <w:b/>
                <w:color w:val="auto"/>
                <w:sz w:val="21"/>
                <w:szCs w:val="21"/>
                <w:highlight w:val="none"/>
              </w:rPr>
            </w:pPr>
          </w:p>
        </w:tc>
        <w:tc>
          <w:tcPr>
            <w:tcW w:w="452" w:type="dxa"/>
            <w:vMerge w:val="restart"/>
            <w:tcBorders>
              <w:top w:val="single" w:color="auto" w:sz="4" w:space="0"/>
              <w:left w:val="single" w:color="auto" w:sz="4" w:space="0"/>
              <w:right w:val="single" w:color="auto" w:sz="4" w:space="0"/>
            </w:tcBorders>
            <w:vAlign w:val="center"/>
          </w:tcPr>
          <w:p w14:paraId="03DA66C1">
            <w:p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颗粒污染物</w:t>
            </w:r>
          </w:p>
        </w:tc>
        <w:tc>
          <w:tcPr>
            <w:tcW w:w="4793" w:type="dxa"/>
            <w:tcBorders>
              <w:top w:val="single" w:color="auto" w:sz="4" w:space="0"/>
              <w:left w:val="single" w:color="auto" w:sz="4" w:space="0"/>
              <w:bottom w:val="single" w:color="auto" w:sz="4" w:space="0"/>
              <w:right w:val="single" w:color="auto" w:sz="4" w:space="0"/>
            </w:tcBorders>
            <w:vAlign w:val="center"/>
          </w:tcPr>
          <w:p w14:paraId="467C41AF">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w:t>
            </w:r>
          </w:p>
          <w:p w14:paraId="32FC6DA6">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设定流量：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L/min，仪器示值流量：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L/min，标准流量计测值：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w:t>
            </w:r>
          </w:p>
          <w:p w14:paraId="4F6C3202">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设定流量与实测流量相对误差：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12B4356A">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示值流量与实测流量相对误差：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5A1EB88F">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PM10校准膜检查</w:t>
            </w:r>
            <w:r>
              <w:rPr>
                <w:rFonts w:hint="eastAsia" w:ascii="宋体" w:hAnsi="宋体" w:eastAsia="宋体" w:cs="宋体"/>
                <w:bCs/>
                <w:color w:val="auto"/>
                <w:sz w:val="21"/>
                <w:szCs w:val="21"/>
                <w:highlight w:val="none"/>
              </w:rPr>
              <w:t xml:space="preserve"> (每季度)</w:t>
            </w:r>
            <w:r>
              <w:rPr>
                <w:rFonts w:hint="eastAsia" w:ascii="宋体" w:hAnsi="宋体" w:eastAsia="宋体" w:cs="宋体"/>
                <w:color w:val="auto"/>
                <w:spacing w:val="-4"/>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5692BC8E">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仪器参数与说明书一致；</w:t>
            </w:r>
          </w:p>
          <w:p w14:paraId="7D993F16">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气温：显示值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44557BF8">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气压：显示值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2AB3E925">
            <w:pPr>
              <w:numPr>
                <w:ilvl w:val="0"/>
                <w:numId w:val="20"/>
              </w:numPr>
              <w:jc w:val="left"/>
              <w:rPr>
                <w:rFonts w:hint="eastAsia" w:ascii="宋体" w:hAnsi="宋体" w:eastAsia="宋体" w:cs="宋体"/>
                <w:color w:val="auto"/>
                <w:spacing w:val="-4"/>
                <w:sz w:val="21"/>
                <w:szCs w:val="21"/>
                <w:highlight w:val="none"/>
              </w:rPr>
            </w:pPr>
            <w:r>
              <w:rPr>
                <w:rFonts w:hint="eastAsia" w:ascii="宋体" w:hAnsi="宋体" w:eastAsia="宋体" w:cs="宋体"/>
                <w:bCs/>
                <w:color w:val="auto"/>
                <w:sz w:val="21"/>
                <w:szCs w:val="21"/>
                <w:highlight w:val="none"/>
              </w:rPr>
              <w:t>气路检漏；</w:t>
            </w:r>
          </w:p>
        </w:tc>
        <w:tc>
          <w:tcPr>
            <w:tcW w:w="851" w:type="dxa"/>
            <w:tcBorders>
              <w:top w:val="single" w:color="auto" w:sz="4" w:space="0"/>
              <w:left w:val="single" w:color="auto" w:sz="4" w:space="0"/>
              <w:bottom w:val="single" w:color="auto" w:sz="4" w:space="0"/>
              <w:right w:val="single" w:color="auto" w:sz="4" w:space="0"/>
            </w:tcBorders>
            <w:vAlign w:val="center"/>
          </w:tcPr>
          <w:p w14:paraId="441F0AB1">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4A72AFDD">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 10设定</w:t>
            </w:r>
            <w:r>
              <w:rPr>
                <w:rFonts w:hint="eastAsia" w:ascii="宋体" w:hAnsi="宋体" w:eastAsia="宋体" w:cs="宋体"/>
                <w:color w:val="auto"/>
                <w:spacing w:val="-4"/>
                <w:sz w:val="21"/>
                <w:szCs w:val="21"/>
                <w:highlight w:val="none"/>
              </w:rPr>
              <w:t>流量与实测流量相对误差</w:t>
            </w:r>
            <w:r>
              <w:rPr>
                <w:rFonts w:hint="eastAsia" w:ascii="宋体" w:hAnsi="宋体" w:eastAsia="宋体" w:cs="宋体"/>
                <w:color w:val="auto"/>
                <w:sz w:val="21"/>
                <w:szCs w:val="21"/>
                <w:highlight w:val="none"/>
              </w:rPr>
              <w:t>超出 ±5% 或</w:t>
            </w:r>
            <w:r>
              <w:rPr>
                <w:rFonts w:hint="eastAsia" w:ascii="宋体" w:hAnsi="宋体" w:eastAsia="宋体" w:cs="宋体"/>
                <w:color w:val="auto"/>
                <w:spacing w:val="-4"/>
                <w:sz w:val="21"/>
                <w:szCs w:val="21"/>
                <w:highlight w:val="none"/>
              </w:rPr>
              <w:t>示值流量与实测流量相对误差</w:t>
            </w:r>
            <w:r>
              <w:rPr>
                <w:rFonts w:hint="eastAsia" w:ascii="宋体" w:hAnsi="宋体" w:eastAsia="宋体" w:cs="宋体"/>
                <w:color w:val="auto"/>
                <w:sz w:val="21"/>
                <w:szCs w:val="21"/>
                <w:highlight w:val="none"/>
              </w:rPr>
              <w:t>超出 ±5% 的，扣5分；</w:t>
            </w:r>
          </w:p>
          <w:p w14:paraId="1700CB83">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标准膜检查结果超出 ±2% ，扣5分；</w:t>
            </w:r>
          </w:p>
          <w:p w14:paraId="7B992DF0">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参数不符合要求，扣2分；</w:t>
            </w:r>
          </w:p>
          <w:p w14:paraId="2115050B">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仪器显示温度与实测温度误差超过 ±2℃ 扣2分；</w:t>
            </w:r>
          </w:p>
          <w:p w14:paraId="49FA74B4">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仪器显示气压与实测气压误差超过 ±1千帕的扣2分；</w:t>
            </w:r>
          </w:p>
          <w:p w14:paraId="7AB8B6E4">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检漏仪器示值大于1.0L/min，扣5分；</w:t>
            </w:r>
          </w:p>
          <w:p w14:paraId="360E47D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53C4D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A133866">
                  <w:pPr>
                    <w:jc w:val="center"/>
                    <w:rPr>
                      <w:rFonts w:hint="eastAsia" w:ascii="宋体" w:hAnsi="宋体" w:eastAsia="宋体" w:cs="宋体"/>
                      <w:color w:val="auto"/>
                      <w:sz w:val="21"/>
                      <w:szCs w:val="21"/>
                      <w:highlight w:val="none"/>
                    </w:rPr>
                  </w:pPr>
                </w:p>
              </w:tc>
              <w:tc>
                <w:tcPr>
                  <w:tcW w:w="813" w:type="dxa"/>
                  <w:vAlign w:val="center"/>
                </w:tcPr>
                <w:p w14:paraId="69276D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1DD3814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34EC2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536CF6F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1C096B34">
                  <w:pPr>
                    <w:jc w:val="center"/>
                    <w:rPr>
                      <w:rFonts w:hint="eastAsia" w:ascii="宋体" w:hAnsi="宋体" w:eastAsia="宋体" w:cs="宋体"/>
                      <w:color w:val="auto"/>
                      <w:sz w:val="21"/>
                      <w:szCs w:val="21"/>
                      <w:highlight w:val="none"/>
                    </w:rPr>
                  </w:pPr>
                </w:p>
              </w:tc>
              <w:tc>
                <w:tcPr>
                  <w:tcW w:w="813" w:type="dxa"/>
                  <w:vAlign w:val="center"/>
                </w:tcPr>
                <w:p w14:paraId="57274847">
                  <w:pPr>
                    <w:jc w:val="center"/>
                    <w:rPr>
                      <w:rFonts w:hint="eastAsia" w:ascii="宋体" w:hAnsi="宋体" w:eastAsia="宋体" w:cs="宋体"/>
                      <w:color w:val="auto"/>
                      <w:sz w:val="21"/>
                      <w:szCs w:val="21"/>
                      <w:highlight w:val="none"/>
                    </w:rPr>
                  </w:pPr>
                </w:p>
              </w:tc>
            </w:tr>
            <w:tr w14:paraId="27FDF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405D19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2B6EA121">
                  <w:pPr>
                    <w:jc w:val="center"/>
                    <w:rPr>
                      <w:rFonts w:hint="eastAsia" w:ascii="宋体" w:hAnsi="宋体" w:eastAsia="宋体" w:cs="宋体"/>
                      <w:color w:val="auto"/>
                      <w:sz w:val="21"/>
                      <w:szCs w:val="21"/>
                      <w:highlight w:val="none"/>
                    </w:rPr>
                  </w:pPr>
                </w:p>
              </w:tc>
              <w:tc>
                <w:tcPr>
                  <w:tcW w:w="813" w:type="dxa"/>
                  <w:vAlign w:val="center"/>
                </w:tcPr>
                <w:p w14:paraId="72D99CED">
                  <w:pPr>
                    <w:jc w:val="center"/>
                    <w:rPr>
                      <w:rFonts w:hint="eastAsia" w:ascii="宋体" w:hAnsi="宋体" w:eastAsia="宋体" w:cs="宋体"/>
                      <w:color w:val="auto"/>
                      <w:sz w:val="21"/>
                      <w:szCs w:val="21"/>
                      <w:highlight w:val="none"/>
                    </w:rPr>
                  </w:pPr>
                </w:p>
              </w:tc>
            </w:tr>
            <w:tr w14:paraId="2304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1F1BCC2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097B8FF7">
                  <w:pPr>
                    <w:jc w:val="center"/>
                    <w:rPr>
                      <w:rFonts w:hint="eastAsia" w:ascii="宋体" w:hAnsi="宋体" w:eastAsia="宋体" w:cs="宋体"/>
                      <w:color w:val="auto"/>
                      <w:sz w:val="21"/>
                      <w:szCs w:val="21"/>
                      <w:highlight w:val="none"/>
                    </w:rPr>
                  </w:pPr>
                </w:p>
              </w:tc>
              <w:tc>
                <w:tcPr>
                  <w:tcW w:w="813" w:type="dxa"/>
                  <w:vAlign w:val="center"/>
                </w:tcPr>
                <w:p w14:paraId="50FC1D18">
                  <w:pPr>
                    <w:jc w:val="center"/>
                    <w:rPr>
                      <w:rFonts w:hint="eastAsia" w:ascii="宋体" w:hAnsi="宋体" w:eastAsia="宋体" w:cs="宋体"/>
                      <w:color w:val="auto"/>
                      <w:sz w:val="21"/>
                      <w:szCs w:val="21"/>
                      <w:highlight w:val="none"/>
                    </w:rPr>
                  </w:pPr>
                </w:p>
              </w:tc>
            </w:tr>
          </w:tbl>
          <w:p w14:paraId="28C73F53">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1B6708DC">
            <w:pPr>
              <w:rPr>
                <w:rFonts w:hint="eastAsia" w:ascii="宋体" w:hAnsi="宋体" w:eastAsia="宋体" w:cs="宋体"/>
                <w:color w:val="auto"/>
                <w:sz w:val="21"/>
                <w:szCs w:val="21"/>
                <w:highlight w:val="none"/>
              </w:rPr>
            </w:pPr>
          </w:p>
        </w:tc>
      </w:tr>
      <w:tr w14:paraId="6B139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3" w:hRule="atLeast"/>
          <w:jc w:val="center"/>
        </w:trPr>
        <w:tc>
          <w:tcPr>
            <w:tcW w:w="1242" w:type="dxa"/>
            <w:vMerge w:val="continue"/>
            <w:tcBorders>
              <w:left w:val="single" w:color="auto" w:sz="4" w:space="0"/>
              <w:right w:val="single" w:color="auto" w:sz="4" w:space="0"/>
            </w:tcBorders>
            <w:vAlign w:val="center"/>
          </w:tcPr>
          <w:p w14:paraId="7FB8828D">
            <w:pPr>
              <w:rPr>
                <w:rFonts w:hint="eastAsia" w:ascii="宋体" w:hAnsi="宋体" w:eastAsia="宋体" w:cs="宋体"/>
                <w:b/>
                <w:color w:val="auto"/>
                <w:sz w:val="21"/>
                <w:szCs w:val="21"/>
                <w:highlight w:val="none"/>
              </w:rPr>
            </w:pPr>
          </w:p>
        </w:tc>
        <w:tc>
          <w:tcPr>
            <w:tcW w:w="452" w:type="dxa"/>
            <w:vMerge w:val="continue"/>
            <w:tcBorders>
              <w:left w:val="single" w:color="auto" w:sz="4" w:space="0"/>
              <w:bottom w:val="single" w:color="auto" w:sz="4" w:space="0"/>
              <w:right w:val="single" w:color="auto" w:sz="4" w:space="0"/>
            </w:tcBorders>
            <w:vAlign w:val="center"/>
          </w:tcPr>
          <w:p w14:paraId="3D264333">
            <w:pPr>
              <w:jc w:val="left"/>
              <w:rPr>
                <w:rFonts w:hint="eastAsia" w:ascii="宋体" w:hAnsi="宋体" w:eastAsia="宋体" w:cs="宋体"/>
                <w:color w:val="auto"/>
                <w:spacing w:val="-4"/>
                <w:sz w:val="21"/>
                <w:szCs w:val="21"/>
                <w:highlight w:val="none"/>
              </w:rPr>
            </w:pPr>
          </w:p>
        </w:tc>
        <w:tc>
          <w:tcPr>
            <w:tcW w:w="4793" w:type="dxa"/>
            <w:tcBorders>
              <w:top w:val="single" w:color="auto" w:sz="4" w:space="0"/>
              <w:left w:val="single" w:color="auto" w:sz="4" w:space="0"/>
              <w:bottom w:val="single" w:color="auto" w:sz="4" w:space="0"/>
              <w:right w:val="single" w:color="auto" w:sz="4" w:space="0"/>
            </w:tcBorders>
            <w:vAlign w:val="center"/>
          </w:tcPr>
          <w:p w14:paraId="6509E239">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PM2.5</w:t>
            </w:r>
          </w:p>
          <w:p w14:paraId="4E6D54E0">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设定流量：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L/min，仪器示值流量：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L/min，标准流量计测值：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w:t>
            </w:r>
          </w:p>
          <w:p w14:paraId="19FA03FE">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设定流量与实测流量相对误差：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7A85DA87">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示值流量与实测流量相对误差：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78978EFC">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PM2.5校准膜检查</w:t>
            </w:r>
            <w:r>
              <w:rPr>
                <w:rFonts w:hint="eastAsia" w:ascii="宋体" w:hAnsi="宋体" w:eastAsia="宋体" w:cs="宋体"/>
                <w:bCs/>
                <w:color w:val="auto"/>
                <w:sz w:val="21"/>
                <w:szCs w:val="21"/>
                <w:highlight w:val="none"/>
              </w:rPr>
              <w:t xml:space="preserve"> (每季度)</w:t>
            </w:r>
            <w:r>
              <w:rPr>
                <w:rFonts w:hint="eastAsia" w:ascii="宋体" w:hAnsi="宋体" w:eastAsia="宋体" w:cs="宋体"/>
                <w:color w:val="auto"/>
                <w:spacing w:val="-4"/>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0BEC9F2F">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仪器参数与说明书一致；</w:t>
            </w:r>
          </w:p>
          <w:p w14:paraId="0F695978">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气温：显示值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67A08AA4">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气压：显示值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1B0F17DF">
            <w:pPr>
              <w:numPr>
                <w:ilvl w:val="0"/>
                <w:numId w:val="22"/>
              </w:numPr>
              <w:jc w:val="left"/>
              <w:rPr>
                <w:rFonts w:hint="eastAsia" w:ascii="宋体" w:hAnsi="宋体" w:eastAsia="宋体" w:cs="宋体"/>
                <w:color w:val="auto"/>
                <w:spacing w:val="-4"/>
                <w:sz w:val="21"/>
                <w:szCs w:val="21"/>
                <w:highlight w:val="none"/>
              </w:rPr>
            </w:pPr>
            <w:r>
              <w:rPr>
                <w:rFonts w:hint="eastAsia" w:ascii="宋体" w:hAnsi="宋体" w:eastAsia="宋体" w:cs="宋体"/>
                <w:bCs/>
                <w:color w:val="auto"/>
                <w:sz w:val="21"/>
                <w:szCs w:val="21"/>
                <w:highlight w:val="none"/>
              </w:rPr>
              <w:t>气路检漏；</w:t>
            </w:r>
          </w:p>
        </w:tc>
        <w:tc>
          <w:tcPr>
            <w:tcW w:w="851" w:type="dxa"/>
            <w:tcBorders>
              <w:top w:val="single" w:color="auto" w:sz="4" w:space="0"/>
              <w:left w:val="single" w:color="auto" w:sz="4" w:space="0"/>
              <w:bottom w:val="single" w:color="auto" w:sz="4" w:space="0"/>
              <w:right w:val="single" w:color="auto" w:sz="4" w:space="0"/>
            </w:tcBorders>
            <w:vAlign w:val="center"/>
          </w:tcPr>
          <w:p w14:paraId="3631281F">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600A622B">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w:t>
            </w:r>
            <w:r>
              <w:rPr>
                <w:rFonts w:hint="eastAsia" w:ascii="宋体" w:hAnsi="宋体" w:eastAsia="宋体" w:cs="宋体"/>
                <w:color w:val="auto"/>
                <w:spacing w:val="-4"/>
                <w:sz w:val="21"/>
                <w:szCs w:val="21"/>
                <w:highlight w:val="none"/>
              </w:rPr>
              <w:t>2.5设定流量与实测流量相对误差</w:t>
            </w:r>
            <w:r>
              <w:rPr>
                <w:rFonts w:hint="eastAsia" w:ascii="宋体" w:hAnsi="宋体" w:eastAsia="宋体" w:cs="宋体"/>
                <w:color w:val="auto"/>
                <w:sz w:val="21"/>
                <w:szCs w:val="21"/>
                <w:highlight w:val="none"/>
              </w:rPr>
              <w:t>超出 ±5% 或</w:t>
            </w:r>
            <w:r>
              <w:rPr>
                <w:rFonts w:hint="eastAsia" w:ascii="宋体" w:hAnsi="宋体" w:eastAsia="宋体" w:cs="宋体"/>
                <w:color w:val="auto"/>
                <w:spacing w:val="-4"/>
                <w:sz w:val="21"/>
                <w:szCs w:val="21"/>
                <w:highlight w:val="none"/>
              </w:rPr>
              <w:t>示值流量与实测流量相对误差</w:t>
            </w:r>
            <w:r>
              <w:rPr>
                <w:rFonts w:hint="eastAsia" w:ascii="宋体" w:hAnsi="宋体" w:eastAsia="宋体" w:cs="宋体"/>
                <w:color w:val="auto"/>
                <w:sz w:val="21"/>
                <w:szCs w:val="21"/>
                <w:highlight w:val="none"/>
              </w:rPr>
              <w:t>超出 ±5% 的，扣 5分；</w:t>
            </w:r>
          </w:p>
          <w:p w14:paraId="20546714">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标准膜检查结果超出 ±2% ，扣5分；</w:t>
            </w:r>
          </w:p>
          <w:p w14:paraId="43F28EEF">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参数不符合要求，扣2分；</w:t>
            </w:r>
          </w:p>
          <w:p w14:paraId="49EE1EA9">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仪器显示温度与实测温度误差超过 ±2℃ 扣2分；</w:t>
            </w:r>
          </w:p>
          <w:p w14:paraId="30A83DE3">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仪器显示气压与实测气压误差超过 ±1千帕的扣2分；</w:t>
            </w:r>
          </w:p>
          <w:p w14:paraId="1B359ED0">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检漏仪器示值大于1.0L/min，扣5分；</w:t>
            </w:r>
          </w:p>
          <w:p w14:paraId="495CD98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0C077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1DA113E1">
                  <w:pPr>
                    <w:jc w:val="center"/>
                    <w:rPr>
                      <w:rFonts w:hint="eastAsia" w:ascii="宋体" w:hAnsi="宋体" w:eastAsia="宋体" w:cs="宋体"/>
                      <w:color w:val="auto"/>
                      <w:sz w:val="21"/>
                      <w:szCs w:val="21"/>
                      <w:highlight w:val="none"/>
                    </w:rPr>
                  </w:pPr>
                </w:p>
              </w:tc>
              <w:tc>
                <w:tcPr>
                  <w:tcW w:w="813" w:type="dxa"/>
                  <w:vAlign w:val="center"/>
                </w:tcPr>
                <w:p w14:paraId="4224DD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426A2B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1DE27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0031CC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7F025974">
                  <w:pPr>
                    <w:jc w:val="center"/>
                    <w:rPr>
                      <w:rFonts w:hint="eastAsia" w:ascii="宋体" w:hAnsi="宋体" w:eastAsia="宋体" w:cs="宋体"/>
                      <w:color w:val="auto"/>
                      <w:sz w:val="21"/>
                      <w:szCs w:val="21"/>
                      <w:highlight w:val="none"/>
                    </w:rPr>
                  </w:pPr>
                </w:p>
              </w:tc>
              <w:tc>
                <w:tcPr>
                  <w:tcW w:w="813" w:type="dxa"/>
                  <w:vAlign w:val="center"/>
                </w:tcPr>
                <w:p w14:paraId="51216204">
                  <w:pPr>
                    <w:jc w:val="center"/>
                    <w:rPr>
                      <w:rFonts w:hint="eastAsia" w:ascii="宋体" w:hAnsi="宋体" w:eastAsia="宋体" w:cs="宋体"/>
                      <w:color w:val="auto"/>
                      <w:sz w:val="21"/>
                      <w:szCs w:val="21"/>
                      <w:highlight w:val="none"/>
                    </w:rPr>
                  </w:pPr>
                </w:p>
              </w:tc>
            </w:tr>
            <w:tr w14:paraId="41B57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5A4080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22224E5A">
                  <w:pPr>
                    <w:jc w:val="center"/>
                    <w:rPr>
                      <w:rFonts w:hint="eastAsia" w:ascii="宋体" w:hAnsi="宋体" w:eastAsia="宋体" w:cs="宋体"/>
                      <w:color w:val="auto"/>
                      <w:sz w:val="21"/>
                      <w:szCs w:val="21"/>
                      <w:highlight w:val="none"/>
                    </w:rPr>
                  </w:pPr>
                </w:p>
              </w:tc>
              <w:tc>
                <w:tcPr>
                  <w:tcW w:w="813" w:type="dxa"/>
                  <w:vAlign w:val="center"/>
                </w:tcPr>
                <w:p w14:paraId="5119968B">
                  <w:pPr>
                    <w:jc w:val="center"/>
                    <w:rPr>
                      <w:rFonts w:hint="eastAsia" w:ascii="宋体" w:hAnsi="宋体" w:eastAsia="宋体" w:cs="宋体"/>
                      <w:color w:val="auto"/>
                      <w:sz w:val="21"/>
                      <w:szCs w:val="21"/>
                      <w:highlight w:val="none"/>
                    </w:rPr>
                  </w:pPr>
                </w:p>
              </w:tc>
            </w:tr>
            <w:tr w14:paraId="342DE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C13D1D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1C4278F9">
                  <w:pPr>
                    <w:jc w:val="center"/>
                    <w:rPr>
                      <w:rFonts w:hint="eastAsia" w:ascii="宋体" w:hAnsi="宋体" w:eastAsia="宋体" w:cs="宋体"/>
                      <w:color w:val="auto"/>
                      <w:sz w:val="21"/>
                      <w:szCs w:val="21"/>
                      <w:highlight w:val="none"/>
                    </w:rPr>
                  </w:pPr>
                </w:p>
              </w:tc>
              <w:tc>
                <w:tcPr>
                  <w:tcW w:w="813" w:type="dxa"/>
                  <w:vAlign w:val="center"/>
                </w:tcPr>
                <w:p w14:paraId="5204950B">
                  <w:pPr>
                    <w:jc w:val="center"/>
                    <w:rPr>
                      <w:rFonts w:hint="eastAsia" w:ascii="宋体" w:hAnsi="宋体" w:eastAsia="宋体" w:cs="宋体"/>
                      <w:color w:val="auto"/>
                      <w:sz w:val="21"/>
                      <w:szCs w:val="21"/>
                      <w:highlight w:val="none"/>
                    </w:rPr>
                  </w:pPr>
                </w:p>
              </w:tc>
            </w:tr>
          </w:tbl>
          <w:p w14:paraId="182ACF59">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090E50BA">
            <w:pPr>
              <w:rPr>
                <w:rFonts w:hint="eastAsia" w:ascii="宋体" w:hAnsi="宋体" w:eastAsia="宋体" w:cs="宋体"/>
                <w:color w:val="auto"/>
                <w:sz w:val="21"/>
                <w:szCs w:val="21"/>
                <w:highlight w:val="none"/>
              </w:rPr>
            </w:pPr>
          </w:p>
        </w:tc>
      </w:tr>
      <w:tr w14:paraId="4F86D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4AF1D4E2">
            <w:pPr>
              <w:widowControl/>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5266A4C3">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流量计有效期限：</w:t>
            </w:r>
          </w:p>
          <w:p w14:paraId="745247E3">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温湿度计有效期限：</w:t>
            </w:r>
          </w:p>
          <w:p w14:paraId="0CE7ADCC">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大气压计有效期限：</w:t>
            </w:r>
          </w:p>
          <w:p w14:paraId="3893E6D1">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标气NO有效期限：</w:t>
            </w:r>
          </w:p>
          <w:p w14:paraId="5E720DA5">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标气CO有效期限：</w:t>
            </w:r>
          </w:p>
          <w:p w14:paraId="69A99041">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标气SO</w:t>
            </w:r>
            <w:r>
              <w:rPr>
                <w:rFonts w:hint="eastAsia" w:ascii="宋体" w:hAnsi="宋体" w:eastAsia="宋体" w:cs="宋体"/>
                <w:color w:val="auto"/>
                <w:spacing w:val="-4"/>
                <w:sz w:val="21"/>
                <w:szCs w:val="21"/>
                <w:highlight w:val="none"/>
                <w:vertAlign w:val="subscript"/>
              </w:rPr>
              <w:t>2</w:t>
            </w:r>
            <w:r>
              <w:rPr>
                <w:rFonts w:hint="eastAsia" w:ascii="宋体" w:hAnsi="宋体" w:eastAsia="宋体" w:cs="宋体"/>
                <w:color w:val="auto"/>
                <w:spacing w:val="-4"/>
                <w:sz w:val="21"/>
                <w:szCs w:val="21"/>
                <w:highlight w:val="none"/>
              </w:rPr>
              <w:t>有效期限：</w:t>
            </w:r>
          </w:p>
        </w:tc>
        <w:tc>
          <w:tcPr>
            <w:tcW w:w="851" w:type="dxa"/>
            <w:tcBorders>
              <w:top w:val="single" w:color="auto" w:sz="4" w:space="0"/>
              <w:left w:val="single" w:color="auto" w:sz="4" w:space="0"/>
              <w:bottom w:val="single" w:color="auto" w:sz="4" w:space="0"/>
              <w:right w:val="single" w:color="auto" w:sz="4" w:space="0"/>
            </w:tcBorders>
            <w:vAlign w:val="center"/>
          </w:tcPr>
          <w:p w14:paraId="11961EB8">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3B56EB9A">
            <w:pPr>
              <w:numPr>
                <w:ilvl w:val="0"/>
                <w:numId w:val="2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用于校准的设备（流量计、温度计、大气压计）是否每年通过国家计量检定；</w:t>
            </w:r>
          </w:p>
          <w:p w14:paraId="09431F4A">
            <w:pPr>
              <w:numPr>
                <w:ilvl w:val="0"/>
                <w:numId w:val="2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标准气体是否在有效期内使用；</w:t>
            </w:r>
          </w:p>
          <w:p w14:paraId="15B065A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备注：A—F项任一项不合格扣2分，扣分上限为单项分值。</w:t>
            </w:r>
          </w:p>
        </w:tc>
        <w:tc>
          <w:tcPr>
            <w:tcW w:w="2212" w:type="dxa"/>
            <w:tcBorders>
              <w:top w:val="single" w:color="auto" w:sz="4" w:space="0"/>
              <w:left w:val="single" w:color="auto" w:sz="4" w:space="0"/>
              <w:bottom w:val="single" w:color="auto" w:sz="4" w:space="0"/>
              <w:right w:val="single" w:color="auto" w:sz="4" w:space="0"/>
            </w:tcBorders>
          </w:tcPr>
          <w:p w14:paraId="1B61BC7E">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78E74754">
            <w:pPr>
              <w:jc w:val="left"/>
              <w:rPr>
                <w:rFonts w:hint="eastAsia" w:ascii="宋体" w:hAnsi="宋体" w:eastAsia="宋体" w:cs="宋体"/>
                <w:color w:val="auto"/>
                <w:sz w:val="21"/>
                <w:szCs w:val="21"/>
                <w:highlight w:val="none"/>
              </w:rPr>
            </w:pPr>
          </w:p>
        </w:tc>
      </w:tr>
      <w:tr w14:paraId="2AE5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14:paraId="099B701A">
            <w:pPr>
              <w:numPr>
                <w:ilvl w:val="0"/>
                <w:numId w:val="26"/>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通讯系统维护效果（3分）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7F3496DE">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能否正常采集数据并上传智慧环保平台并发布数据</w:t>
            </w:r>
          </w:p>
        </w:tc>
        <w:tc>
          <w:tcPr>
            <w:tcW w:w="851" w:type="dxa"/>
            <w:tcBorders>
              <w:top w:val="single" w:color="auto" w:sz="4" w:space="0"/>
              <w:left w:val="single" w:color="auto" w:sz="4" w:space="0"/>
              <w:bottom w:val="single" w:color="auto" w:sz="4" w:space="0"/>
              <w:right w:val="single" w:color="auto" w:sz="4" w:space="0"/>
            </w:tcBorders>
            <w:vAlign w:val="center"/>
          </w:tcPr>
          <w:p w14:paraId="1AB9A4FF">
            <w:pPr>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4F8E55E4">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功能不满足扣3分。</w:t>
            </w:r>
          </w:p>
        </w:tc>
        <w:tc>
          <w:tcPr>
            <w:tcW w:w="2212" w:type="dxa"/>
            <w:tcBorders>
              <w:top w:val="single" w:color="auto" w:sz="4" w:space="0"/>
              <w:left w:val="single" w:color="auto" w:sz="4" w:space="0"/>
              <w:bottom w:val="single" w:color="auto" w:sz="4" w:space="0"/>
              <w:right w:val="single" w:color="auto" w:sz="4" w:space="0"/>
            </w:tcBorders>
            <w:vAlign w:val="center"/>
          </w:tcPr>
          <w:p w14:paraId="01EB74D3">
            <w:pPr>
              <w:jc w:val="center"/>
              <w:rPr>
                <w:rFonts w:hint="eastAsia" w:ascii="宋体" w:hAnsi="宋体" w:eastAsia="宋体" w:cs="宋体"/>
                <w:bCs/>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42F0E94B">
            <w:pPr>
              <w:jc w:val="left"/>
              <w:rPr>
                <w:rFonts w:hint="eastAsia" w:ascii="宋体" w:hAnsi="宋体" w:eastAsia="宋体" w:cs="宋体"/>
                <w:bCs/>
                <w:color w:val="auto"/>
                <w:sz w:val="21"/>
                <w:szCs w:val="21"/>
                <w:highlight w:val="none"/>
              </w:rPr>
            </w:pPr>
          </w:p>
        </w:tc>
      </w:tr>
      <w:tr w14:paraId="6470E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537A9308">
            <w:pPr>
              <w:numPr>
                <w:ilvl w:val="0"/>
                <w:numId w:val="26"/>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运维人员要求</w:t>
            </w:r>
          </w:p>
          <w:p w14:paraId="053D47E8">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1BF3BE55">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运维人员是否持证上岗（具备上岗相关资格证书）</w:t>
            </w:r>
          </w:p>
        </w:tc>
        <w:tc>
          <w:tcPr>
            <w:tcW w:w="851" w:type="dxa"/>
            <w:tcBorders>
              <w:top w:val="single" w:color="auto" w:sz="4" w:space="0"/>
              <w:left w:val="single" w:color="auto" w:sz="4" w:space="0"/>
              <w:bottom w:val="single" w:color="auto" w:sz="4" w:space="0"/>
              <w:right w:val="single" w:color="auto" w:sz="4" w:space="0"/>
            </w:tcBorders>
            <w:vAlign w:val="center"/>
          </w:tcPr>
          <w:p w14:paraId="10A8A742">
            <w:pPr>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670" w:type="dxa"/>
            <w:tcBorders>
              <w:top w:val="single" w:color="auto" w:sz="4" w:space="0"/>
              <w:left w:val="single" w:color="auto" w:sz="4" w:space="0"/>
              <w:bottom w:val="single" w:color="auto" w:sz="4" w:space="0"/>
              <w:right w:val="single" w:color="auto" w:sz="4" w:space="0"/>
            </w:tcBorders>
            <w:vAlign w:val="center"/>
          </w:tcPr>
          <w:p w14:paraId="439E961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运维人员未持有上岗证扣2分。</w:t>
            </w:r>
          </w:p>
        </w:tc>
        <w:tc>
          <w:tcPr>
            <w:tcW w:w="2212" w:type="dxa"/>
            <w:tcBorders>
              <w:top w:val="single" w:color="auto" w:sz="4" w:space="0"/>
              <w:left w:val="single" w:color="auto" w:sz="4" w:space="0"/>
              <w:bottom w:val="single" w:color="auto" w:sz="4" w:space="0"/>
              <w:right w:val="single" w:color="auto" w:sz="4" w:space="0"/>
            </w:tcBorders>
            <w:vAlign w:val="center"/>
          </w:tcPr>
          <w:p w14:paraId="3B652065">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7B35D643">
            <w:pPr>
              <w:jc w:val="left"/>
              <w:rPr>
                <w:rFonts w:hint="eastAsia" w:ascii="宋体" w:hAnsi="宋体" w:eastAsia="宋体" w:cs="宋体"/>
                <w:color w:val="auto"/>
                <w:sz w:val="21"/>
                <w:szCs w:val="21"/>
                <w:highlight w:val="none"/>
              </w:rPr>
            </w:pPr>
          </w:p>
        </w:tc>
      </w:tr>
      <w:tr w14:paraId="48417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70B4139D">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7.档案记录与运维工作完成情况（10分）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1FA2F682">
            <w:pPr>
              <w:numPr>
                <w:ilvl w:val="0"/>
                <w:numId w:val="27"/>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按照规范要求填写运维记录</w:t>
            </w:r>
          </w:p>
          <w:p w14:paraId="2AE63EFC">
            <w:pPr>
              <w:numPr>
                <w:ilvl w:val="0"/>
                <w:numId w:val="27"/>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按照运维要求完成运维工作</w:t>
            </w:r>
          </w:p>
        </w:tc>
        <w:tc>
          <w:tcPr>
            <w:tcW w:w="851" w:type="dxa"/>
            <w:tcBorders>
              <w:top w:val="single" w:color="auto" w:sz="4" w:space="0"/>
              <w:left w:val="single" w:color="auto" w:sz="4" w:space="0"/>
              <w:bottom w:val="single" w:color="auto" w:sz="4" w:space="0"/>
              <w:right w:val="single" w:color="auto" w:sz="4" w:space="0"/>
            </w:tcBorders>
            <w:vAlign w:val="center"/>
          </w:tcPr>
          <w:p w14:paraId="54C9175F">
            <w:pPr>
              <w:spacing w:line="300" w:lineRule="exact"/>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44B7BF1F">
            <w:pPr>
              <w:numPr>
                <w:ilvl w:val="0"/>
                <w:numId w:val="28"/>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现场填写档案记录规范齐全，若发现一项存在问题扣5分；</w:t>
            </w:r>
          </w:p>
          <w:p w14:paraId="010C9D15">
            <w:pPr>
              <w:numPr>
                <w:ilvl w:val="0"/>
                <w:numId w:val="28"/>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检查运维内容落实情况，一项不落实扣5分；</w:t>
            </w:r>
          </w:p>
          <w:p w14:paraId="302C42E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3EBED8A1">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03CC8835">
            <w:pPr>
              <w:jc w:val="left"/>
              <w:rPr>
                <w:rFonts w:hint="eastAsia" w:ascii="宋体" w:hAnsi="宋体" w:eastAsia="宋体" w:cs="宋体"/>
                <w:color w:val="auto"/>
                <w:sz w:val="21"/>
                <w:szCs w:val="21"/>
                <w:highlight w:val="none"/>
              </w:rPr>
            </w:pPr>
          </w:p>
        </w:tc>
      </w:tr>
      <w:tr w14:paraId="3AC92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3008" w:type="dxa"/>
            <w:gridSpan w:val="5"/>
            <w:tcBorders>
              <w:top w:val="single" w:color="auto" w:sz="4" w:space="0"/>
              <w:left w:val="single" w:color="auto" w:sz="4" w:space="0"/>
              <w:bottom w:val="single" w:color="auto" w:sz="4" w:space="0"/>
              <w:right w:val="single" w:color="auto" w:sz="4" w:space="0"/>
            </w:tcBorders>
            <w:vAlign w:val="center"/>
          </w:tcPr>
          <w:p w14:paraId="0995F017">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总分</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61979B42">
            <w:pPr>
              <w:jc w:val="left"/>
              <w:rPr>
                <w:rFonts w:hint="eastAsia" w:ascii="宋体" w:hAnsi="宋体" w:eastAsia="宋体" w:cs="宋体"/>
                <w:bCs/>
                <w:color w:val="auto"/>
                <w:sz w:val="21"/>
                <w:szCs w:val="21"/>
                <w:highlight w:val="none"/>
              </w:rPr>
            </w:pPr>
          </w:p>
        </w:tc>
      </w:tr>
    </w:tbl>
    <w:p w14:paraId="36D1A0C5">
      <w:pPr>
        <w:rPr>
          <w:rFonts w:hint="eastAsia" w:ascii="宋体" w:hAnsi="宋体" w:eastAsia="宋体" w:cs="宋体"/>
          <w:b/>
          <w:color w:val="auto"/>
          <w:sz w:val="22"/>
          <w:highlight w:val="none"/>
        </w:rPr>
      </w:pPr>
    </w:p>
    <w:tbl>
      <w:tblPr>
        <w:tblStyle w:val="7"/>
        <w:tblpPr w:leftFromText="180" w:rightFromText="180" w:vertAnchor="text" w:horzAnchor="page" w:tblpXSpec="center" w:tblpY="324"/>
        <w:tblOverlap w:val="never"/>
        <w:tblW w:w="1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13958"/>
      </w:tblGrid>
      <w:tr w14:paraId="699A0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859" w:type="dxa"/>
            <w:gridSpan w:val="2"/>
            <w:tcBorders>
              <w:top w:val="single" w:color="auto" w:sz="4" w:space="0"/>
              <w:left w:val="single" w:color="auto" w:sz="4" w:space="0"/>
              <w:bottom w:val="single" w:color="auto" w:sz="4" w:space="0"/>
              <w:right w:val="single" w:color="auto" w:sz="4" w:space="0"/>
            </w:tcBorders>
            <w:vAlign w:val="center"/>
          </w:tcPr>
          <w:p w14:paraId="3C63D95A">
            <w:pPr>
              <w:jc w:val="center"/>
              <w:rPr>
                <w:rFonts w:hint="eastAsia" w:ascii="宋体" w:hAnsi="宋体" w:eastAsia="宋体" w:cs="宋体"/>
                <w:color w:val="auto"/>
                <w:sz w:val="22"/>
                <w:highlight w:val="none"/>
              </w:rPr>
            </w:pPr>
            <w:r>
              <w:rPr>
                <w:rFonts w:hint="eastAsia" w:ascii="宋体" w:hAnsi="宋体" w:eastAsia="宋体" w:cs="宋体"/>
                <w:b/>
                <w:color w:val="auto"/>
                <w:sz w:val="22"/>
                <w:highlight w:val="none"/>
              </w:rPr>
              <w:t>其它需要特别记录的问题</w:t>
            </w:r>
          </w:p>
        </w:tc>
      </w:tr>
      <w:tr w14:paraId="52EC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jc w:val="center"/>
        </w:trPr>
        <w:tc>
          <w:tcPr>
            <w:tcW w:w="1901" w:type="dxa"/>
            <w:tcBorders>
              <w:top w:val="single" w:color="auto" w:sz="4" w:space="0"/>
              <w:left w:val="single" w:color="auto" w:sz="4" w:space="0"/>
              <w:right w:val="single" w:color="auto" w:sz="4" w:space="0"/>
            </w:tcBorders>
            <w:vAlign w:val="center"/>
          </w:tcPr>
          <w:p w14:paraId="17449CE7">
            <w:pPr>
              <w:jc w:val="center"/>
              <w:rPr>
                <w:rFonts w:hint="eastAsia" w:ascii="宋体" w:hAnsi="宋体" w:eastAsia="宋体" w:cs="宋体"/>
                <w:color w:val="auto"/>
                <w:sz w:val="22"/>
                <w:highlight w:val="none"/>
              </w:rPr>
            </w:pPr>
            <w:r>
              <w:rPr>
                <w:rFonts w:hint="eastAsia" w:ascii="宋体" w:hAnsi="宋体" w:eastAsia="宋体" w:cs="宋体"/>
                <w:b/>
                <w:color w:val="auto"/>
                <w:sz w:val="22"/>
                <w:highlight w:val="none"/>
              </w:rPr>
              <w:t>现场检查问题</w:t>
            </w:r>
          </w:p>
        </w:tc>
        <w:tc>
          <w:tcPr>
            <w:tcW w:w="13958" w:type="dxa"/>
            <w:tcBorders>
              <w:top w:val="single" w:color="auto" w:sz="4" w:space="0"/>
              <w:left w:val="single" w:color="auto" w:sz="4" w:space="0"/>
              <w:bottom w:val="single" w:color="auto" w:sz="4" w:space="0"/>
              <w:right w:val="single" w:color="auto" w:sz="4" w:space="0"/>
            </w:tcBorders>
          </w:tcPr>
          <w:p w14:paraId="2FA45E02">
            <w:pPr>
              <w:rPr>
                <w:rFonts w:hint="eastAsia" w:ascii="宋体" w:hAnsi="宋体" w:eastAsia="宋体" w:cs="宋体"/>
                <w:color w:val="auto"/>
                <w:sz w:val="22"/>
                <w:highlight w:val="none"/>
              </w:rPr>
            </w:pPr>
          </w:p>
        </w:tc>
      </w:tr>
    </w:tbl>
    <w:p w14:paraId="79EFE2F6">
      <w:pPr>
        <w:spacing w:line="360" w:lineRule="auto"/>
        <w:ind w:right="440"/>
        <w:jc w:val="center"/>
        <w:rPr>
          <w:rFonts w:hint="eastAsia" w:ascii="宋体" w:hAnsi="宋体" w:eastAsia="宋体" w:cs="宋体"/>
          <w:b/>
          <w:color w:val="auto"/>
          <w:sz w:val="22"/>
          <w:highlight w:val="none"/>
        </w:rPr>
      </w:pPr>
    </w:p>
    <w:p w14:paraId="5F1ED05A">
      <w:pPr>
        <w:spacing w:line="360" w:lineRule="auto"/>
        <w:ind w:right="440"/>
        <w:jc w:val="left"/>
        <w:rPr>
          <w:rFonts w:hint="eastAsia" w:ascii="宋体" w:hAnsi="宋体" w:eastAsia="宋体" w:cs="宋体"/>
          <w:b/>
          <w:color w:val="auto"/>
          <w:sz w:val="22"/>
          <w:highlight w:val="none"/>
        </w:rPr>
      </w:pPr>
    </w:p>
    <w:p w14:paraId="7C2DE210">
      <w:pPr>
        <w:spacing w:line="360" w:lineRule="auto"/>
        <w:ind w:right="440"/>
        <w:jc w:val="lef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检查单位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检查人员</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13B70CD8">
      <w:pPr>
        <w:jc w:val="left"/>
        <w:rPr>
          <w:rFonts w:hint="eastAsia" w:ascii="宋体" w:hAnsi="宋体" w:eastAsia="宋体" w:cs="宋体"/>
          <w:color w:val="auto"/>
          <w:sz w:val="24"/>
          <w:szCs w:val="24"/>
          <w:highlight w:val="none"/>
        </w:rPr>
        <w:sectPr>
          <w:headerReference r:id="rId4" w:type="default"/>
          <w:footerReference r:id="rId5" w:type="default"/>
          <w:pgSz w:w="16840" w:h="11907" w:orient="landscape"/>
          <w:pgMar w:top="1247" w:right="1247" w:bottom="1247" w:left="1213" w:header="851" w:footer="680" w:gutter="0"/>
          <w:pgNumType w:fmt="decimal"/>
          <w:cols w:space="720" w:num="1"/>
          <w:docGrid w:linePitch="312" w:charSpace="0"/>
        </w:sectPr>
      </w:pPr>
      <w:r>
        <w:rPr>
          <w:rFonts w:hint="eastAsia" w:ascii="宋体" w:hAnsi="宋体" w:eastAsia="宋体" w:cs="宋体"/>
          <w:b/>
          <w:color w:val="auto"/>
          <w:sz w:val="24"/>
          <w:szCs w:val="24"/>
          <w:highlight w:val="none"/>
        </w:rPr>
        <w:t>运维单位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运维人员</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2AB683FD">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（3）运维费核算方法：</w:t>
      </w:r>
    </w:p>
    <w:p w14:paraId="51AF1AC3">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考核总分低于70分的，不予支付该站点当期运维费；考核得分95（含）分以上的，支付该站点全额运维费；考核得分在70（含）-95分的，该站点当期运维费=（实际考核总分/100）×单站点当期全额运维费。</w:t>
      </w:r>
    </w:p>
    <w:p w14:paraId="0D45A95B">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若当月因客观因素导致站点某项或某几项监测参数有效监测天数不满足《环境空气质量标准》</w:t>
      </w:r>
      <w:r>
        <w:rPr>
          <w:rFonts w:hint="eastAsia" w:ascii="宋体" w:hAnsi="宋体" w:eastAsia="宋体" w:cs="宋体"/>
          <w:b w:val="0"/>
          <w:bCs w:val="0"/>
          <w:color w:val="auto"/>
          <w:sz w:val="24"/>
          <w:szCs w:val="24"/>
          <w:highlight w:val="none"/>
          <w:lang w:val="zh-CN" w:eastAsia="zh-CN"/>
        </w:rPr>
        <w:t>（GB 3095-2026）</w:t>
      </w:r>
      <w:r>
        <w:rPr>
          <w:rFonts w:hint="eastAsia" w:ascii="宋体" w:hAnsi="宋体" w:eastAsia="宋体" w:cs="宋体"/>
          <w:b w:val="0"/>
          <w:bCs w:val="0"/>
          <w:color w:val="auto"/>
          <w:sz w:val="24"/>
          <w:szCs w:val="24"/>
          <w:highlight w:val="none"/>
          <w:lang w:val="zh-CN" w:eastAsia="zh-CN"/>
        </w:rPr>
        <w:t>及相关技术规范要求的，运维单位可于次月5日前提交证明文件，经职能部门审批同意后，则该站点当期运维费=（该站点当期全额运维费÷该站点当期自然运维天数）×该站点各监测参数当期最小有效监测天数。</w:t>
      </w:r>
    </w:p>
    <w:p w14:paraId="091365EC">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6.2 其他规定</w:t>
      </w:r>
    </w:p>
    <w:p w14:paraId="2B62D3B1">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在月考核中出现10%站点未达到数据有效性要求的，给予警告；连续2次考核出现10%站点未达到，或者单次考核20%以上站点未达到数据有效性要求的，终止运维合同。同一站点连续两个月未达到数据有效性要求的，扣除该站点一个季度运维费；连续3个月未达到数据有效性要求的，扣除该站点半年年运维费。</w:t>
      </w:r>
    </w:p>
    <w:p w14:paraId="2770AC3E">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运维单位须在每季度考核周期结束后10个工作日内，将上一周期的绩效自核算结果及核算相关文件、资料提交至采购人。运维单位有下列情形之一的，将扣除相应站点当月运维费：</w:t>
      </w:r>
    </w:p>
    <w:p w14:paraId="28B724C5">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（1）迟报、漏报或不报审核数据的；</w:t>
      </w:r>
    </w:p>
    <w:p w14:paraId="7DD6F4B6">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（2）拖延、阻碍、拒绝质量控制监督检查的；</w:t>
      </w:r>
    </w:p>
    <w:p w14:paraId="4F4621ED">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（3）发现采样、分析、数据采集和传输等过程人为干扰，未按要求及时报告采购人的；</w:t>
      </w:r>
    </w:p>
    <w:p w14:paraId="49188DB5">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（4）因工作疏漏，未发现采样、分析、数据采集和传输等过程人为干扰的；</w:t>
      </w:r>
    </w:p>
    <w:p w14:paraId="41834593">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（5）其他不履行规定职责的情形。</w:t>
      </w:r>
    </w:p>
    <w:p w14:paraId="1C6F4F0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在质量控制监督检查中，发现运维单位未达到</w:t>
      </w:r>
      <w:r>
        <w:rPr>
          <w:rFonts w:hint="eastAsia" w:ascii="宋体" w:hAnsi="宋体" w:eastAsia="宋体" w:cs="宋体"/>
          <w:b w:val="0"/>
          <w:bCs w:val="0"/>
          <w:color w:val="auto"/>
          <w:sz w:val="24"/>
          <w:szCs w:val="24"/>
          <w:highlight w:val="none"/>
          <w:lang w:val="en-US" w:eastAsia="zh-CN"/>
        </w:rPr>
        <w:t>采购人</w:t>
      </w:r>
      <w:r>
        <w:rPr>
          <w:rFonts w:hint="eastAsia" w:ascii="宋体" w:hAnsi="宋体" w:eastAsia="宋体" w:cs="宋体"/>
          <w:b w:val="0"/>
          <w:bCs w:val="0"/>
          <w:color w:val="auto"/>
          <w:sz w:val="24"/>
          <w:szCs w:val="24"/>
          <w:highlight w:val="none"/>
          <w:lang w:val="zh-CN" w:eastAsia="zh-CN"/>
        </w:rPr>
        <w:t>运维质控要求时，根据对数据质量造成的影响程度，扣减相应站点当季度10%～100%的运维经费；如未及时整改，加倍扣款。</w:t>
      </w:r>
    </w:p>
    <w:p w14:paraId="2EC307E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en-US" w:eastAsia="zh-CN"/>
        </w:rPr>
        <w:t>采购人</w:t>
      </w:r>
      <w:r>
        <w:rPr>
          <w:rFonts w:hint="eastAsia" w:ascii="宋体" w:hAnsi="宋体" w:eastAsia="宋体" w:cs="宋体"/>
          <w:b w:val="0"/>
          <w:bCs w:val="0"/>
          <w:color w:val="auto"/>
          <w:sz w:val="24"/>
          <w:szCs w:val="24"/>
          <w:highlight w:val="none"/>
          <w:lang w:val="zh-CN" w:eastAsia="zh-CN"/>
        </w:rPr>
        <w:t>有权根据相关规定对扣除的运维费进行重新支配，用于开展其他与空气站运维管理相关的工作。</w:t>
      </w:r>
    </w:p>
    <w:p w14:paraId="76B0DBC1">
      <w:pP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bookmarkEnd w:id="1"/>
    <w:p w14:paraId="75115502">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sectPr>
          <w:headerReference r:id="rId6" w:type="default"/>
          <w:footerReference r:id="rId7" w:type="default"/>
          <w:pgSz w:w="11905" w:h="16838"/>
          <w:pgMar w:top="1247" w:right="1247" w:bottom="1213" w:left="1247" w:header="851" w:footer="680" w:gutter="0"/>
          <w:pgNumType w:fmt="decimal"/>
          <w:cols w:space="0" w:num="1"/>
          <w:rtlGutter w:val="0"/>
          <w:docGrid w:linePitch="312" w:charSpace="0"/>
        </w:sectPr>
      </w:pPr>
    </w:p>
    <w:p w14:paraId="65E9DC74">
      <w:pPr>
        <w:pStyle w:val="11"/>
        <w:spacing w:line="360" w:lineRule="auto"/>
        <w:ind w:firstLine="48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2.西安市重点区域环境空气颗粒物监测站运维服务</w:t>
      </w:r>
    </w:p>
    <w:p w14:paraId="31D3D36E">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（一）项目内容</w:t>
      </w:r>
    </w:p>
    <w:p w14:paraId="43948EB1">
      <w:pPr>
        <w:spacing w:line="360" w:lineRule="auto"/>
        <w:ind w:firstLine="480" w:firstLineChars="200"/>
        <w:rPr>
          <w:rFonts w:hint="eastAsia" w:ascii="宋体" w:hAnsi="宋体" w:eastAsia="宋体" w:cs="宋体"/>
          <w:b w:val="0"/>
          <w:bCs w:val="0"/>
          <w:color w:val="auto"/>
          <w:sz w:val="24"/>
          <w:szCs w:val="24"/>
          <w:highlight w:val="none"/>
          <w:lang w:val="zh-CN" w:eastAsia="en-US"/>
        </w:rPr>
      </w:pPr>
      <w:r>
        <w:rPr>
          <w:rFonts w:hint="eastAsia" w:ascii="宋体" w:hAnsi="宋体" w:eastAsia="宋体" w:cs="宋体"/>
          <w:b w:val="0"/>
          <w:bCs w:val="0"/>
          <w:color w:val="auto"/>
          <w:sz w:val="24"/>
          <w:szCs w:val="24"/>
          <w:highlight w:val="none"/>
          <w:lang w:val="zh-CN" w:eastAsia="zh-CN"/>
        </w:rPr>
        <w:t>西安市重点区域环境空气颗粒物监测站，运维服务内容为西安市建成的68套颗粒物监测系统。运维服务内容包含所有站点监测分析仪器及数据采集与传输设备、辅助设备、用电及网络保障、视频监控、护栏等辅助基础设施的日常维护、质量控制、故障维修、年度检修、预防性维护等工作，确保颗粒物监测仪器设备稳定运行并与智慧环保软件平台联网正常；颗粒物监测仪器10座（次）挪机、安装、调试、数据比对服务。接受采购人质控检查和考核。</w:t>
      </w:r>
      <w:bookmarkStart w:id="2" w:name="_Toc55201345"/>
    </w:p>
    <w:tbl>
      <w:tblPr>
        <w:tblStyle w:val="7"/>
        <w:tblW w:w="10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1650"/>
        <w:gridCol w:w="1295"/>
        <w:gridCol w:w="1585"/>
        <w:gridCol w:w="5030"/>
      </w:tblGrid>
      <w:tr w14:paraId="01AC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exact"/>
          <w:jc w:val="center"/>
        </w:trPr>
        <w:tc>
          <w:tcPr>
            <w:tcW w:w="10120" w:type="dxa"/>
            <w:gridSpan w:val="5"/>
            <w:tcBorders>
              <w:top w:val="single" w:color="auto" w:sz="4" w:space="0"/>
              <w:left w:val="nil"/>
              <w:bottom w:val="nil"/>
              <w:right w:val="nil"/>
            </w:tcBorders>
            <w:vAlign w:val="center"/>
          </w:tcPr>
          <w:p w14:paraId="306506F1">
            <w:pPr>
              <w:spacing w:line="360" w:lineRule="auto"/>
              <w:jc w:val="center"/>
              <w:rPr>
                <w:rFonts w:hint="eastAsia" w:ascii="宋体" w:hAnsi="宋体" w:eastAsia="宋体" w:cs="宋体"/>
                <w:b/>
                <w:color w:val="auto"/>
                <w:sz w:val="21"/>
                <w:szCs w:val="21"/>
                <w:highlight w:val="none"/>
                <w:lang w:bidi="en-US"/>
              </w:rPr>
            </w:pPr>
            <w:r>
              <w:rPr>
                <w:rFonts w:hint="eastAsia" w:ascii="宋体" w:hAnsi="宋体" w:eastAsia="宋体" w:cs="宋体"/>
                <w:b/>
                <w:color w:val="auto"/>
                <w:sz w:val="21"/>
                <w:szCs w:val="21"/>
                <w:highlight w:val="none"/>
                <w:lang w:eastAsia="en-US" w:bidi="en-US"/>
              </w:rPr>
              <w:t>68</w:t>
            </w:r>
            <w:r>
              <w:rPr>
                <w:rFonts w:hint="eastAsia" w:ascii="宋体" w:hAnsi="宋体" w:eastAsia="宋体" w:cs="宋体"/>
                <w:b/>
                <w:color w:val="auto"/>
                <w:sz w:val="21"/>
                <w:szCs w:val="21"/>
                <w:highlight w:val="none"/>
                <w:lang w:val="zh-CN" w:eastAsia="en-US" w:bidi="en-US"/>
              </w:rPr>
              <w:t>套设备清单</w:t>
            </w:r>
            <w:r>
              <w:rPr>
                <w:rFonts w:hint="eastAsia" w:ascii="宋体" w:hAnsi="宋体" w:eastAsia="宋体" w:cs="宋体"/>
                <w:b/>
                <w:color w:val="auto"/>
                <w:sz w:val="21"/>
                <w:szCs w:val="21"/>
                <w:highlight w:val="none"/>
                <w:lang w:bidi="en-US"/>
              </w:rPr>
              <w:t>登记表</w:t>
            </w:r>
          </w:p>
        </w:tc>
      </w:tr>
      <w:tr w14:paraId="70562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3593D">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序号</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9F3B5">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站点编号</w:t>
            </w:r>
          </w:p>
        </w:tc>
        <w:tc>
          <w:tcPr>
            <w:tcW w:w="12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E8DE4">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路段</w:t>
            </w:r>
          </w:p>
        </w:tc>
        <w:tc>
          <w:tcPr>
            <w:tcW w:w="158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FA27F">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区县</w:t>
            </w:r>
          </w:p>
        </w:tc>
        <w:tc>
          <w:tcPr>
            <w:tcW w:w="503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28920">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站点位置</w:t>
            </w:r>
          </w:p>
        </w:tc>
      </w:tr>
      <w:tr w14:paraId="780E7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jc w:val="center"/>
        </w:trPr>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0B3DE">
            <w:pPr>
              <w:spacing w:line="360" w:lineRule="auto"/>
              <w:jc w:val="center"/>
              <w:rPr>
                <w:rFonts w:hint="eastAsia" w:ascii="宋体" w:hAnsi="宋体" w:eastAsia="宋体" w:cs="宋体"/>
                <w:color w:val="auto"/>
                <w:sz w:val="21"/>
                <w:szCs w:val="21"/>
                <w:highlight w:val="none"/>
                <w:lang w:eastAsia="en-US" w:bidi="en-US"/>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F538C">
            <w:pPr>
              <w:spacing w:line="360" w:lineRule="auto"/>
              <w:jc w:val="center"/>
              <w:rPr>
                <w:rFonts w:hint="eastAsia" w:ascii="宋体" w:hAnsi="宋体" w:eastAsia="宋体" w:cs="宋体"/>
                <w:color w:val="auto"/>
                <w:sz w:val="21"/>
                <w:szCs w:val="21"/>
                <w:highlight w:val="none"/>
                <w:lang w:eastAsia="en-US" w:bidi="en-US"/>
              </w:rPr>
            </w:pPr>
          </w:p>
        </w:tc>
        <w:tc>
          <w:tcPr>
            <w:tcW w:w="12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DC694">
            <w:pPr>
              <w:spacing w:line="360" w:lineRule="auto"/>
              <w:jc w:val="center"/>
              <w:rPr>
                <w:rFonts w:hint="eastAsia" w:ascii="宋体" w:hAnsi="宋体" w:eastAsia="宋体" w:cs="宋体"/>
                <w:color w:val="auto"/>
                <w:sz w:val="21"/>
                <w:szCs w:val="21"/>
                <w:highlight w:val="none"/>
                <w:lang w:eastAsia="en-US" w:bidi="en-US"/>
              </w:rPr>
            </w:pPr>
          </w:p>
        </w:tc>
        <w:tc>
          <w:tcPr>
            <w:tcW w:w="158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F262A">
            <w:pPr>
              <w:spacing w:line="360" w:lineRule="auto"/>
              <w:jc w:val="center"/>
              <w:rPr>
                <w:rFonts w:hint="eastAsia" w:ascii="宋体" w:hAnsi="宋体" w:eastAsia="宋体" w:cs="宋体"/>
                <w:color w:val="auto"/>
                <w:sz w:val="21"/>
                <w:szCs w:val="21"/>
                <w:highlight w:val="none"/>
                <w:lang w:eastAsia="en-US" w:bidi="en-US"/>
              </w:rPr>
            </w:pPr>
          </w:p>
        </w:tc>
        <w:tc>
          <w:tcPr>
            <w:tcW w:w="50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5470E">
            <w:pPr>
              <w:spacing w:line="360" w:lineRule="auto"/>
              <w:jc w:val="center"/>
              <w:rPr>
                <w:rFonts w:hint="eastAsia" w:ascii="宋体" w:hAnsi="宋体" w:eastAsia="宋体" w:cs="宋体"/>
                <w:color w:val="auto"/>
                <w:sz w:val="21"/>
                <w:szCs w:val="21"/>
                <w:highlight w:val="none"/>
                <w:lang w:eastAsia="en-US" w:bidi="en-US"/>
              </w:rPr>
            </w:pPr>
          </w:p>
        </w:tc>
      </w:tr>
      <w:tr w14:paraId="7E0F8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039E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92B7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610100703</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9199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咸宁路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F1F9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1AD46">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咸宁东路与浐河东路十字西北角</w:t>
            </w:r>
          </w:p>
        </w:tc>
      </w:tr>
      <w:tr w14:paraId="39C62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9708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7D39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610100524</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7D7E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咸宁路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7478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碑林区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B2CF6">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咸宁西路与兴庆西路十字向东100米路北</w:t>
            </w:r>
          </w:p>
        </w:tc>
      </w:tr>
      <w:tr w14:paraId="70246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33C5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1BE4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610100525</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3ADF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长乐东路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98A4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20171">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长乐东路灞桥区松林家园</w:t>
            </w:r>
          </w:p>
        </w:tc>
      </w:tr>
      <w:tr w14:paraId="58F90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821F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AFEF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610100526</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A396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华清路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5E1A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新城区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8010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华清西路与二环东路西南角</w:t>
            </w:r>
          </w:p>
        </w:tc>
      </w:tr>
      <w:tr w14:paraId="043EA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CE6C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E27E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610100527</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20F2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华清路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3E29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新城区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57F1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西安供电分局城东分局站</w:t>
            </w:r>
          </w:p>
        </w:tc>
      </w:tr>
      <w:tr w14:paraId="5E879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B8A1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1A2F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4B6D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6484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临潼区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D48CC">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108国道临潼区新丰工业园（带屏幕）</w:t>
            </w:r>
          </w:p>
        </w:tc>
      </w:tr>
      <w:tr w14:paraId="7EBB1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4738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3565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610100529</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C537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AB99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临潼区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B8D4B">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 xml:space="preserve"> 108国道－闫新路向西400米路南</w:t>
            </w:r>
          </w:p>
        </w:tc>
      </w:tr>
      <w:tr w14:paraId="6C514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02DF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23DF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610100530</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1EA4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0110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临潼区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5319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108国道临潼区气象局</w:t>
            </w:r>
          </w:p>
        </w:tc>
      </w:tr>
      <w:tr w14:paraId="22911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7E15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809E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205D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481F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临潼区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A0B0F">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108国道临潼区-108国道-凤凰大道-延长加油站</w:t>
            </w:r>
          </w:p>
        </w:tc>
      </w:tr>
      <w:tr w14:paraId="19638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DD21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FF98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610100532</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AB07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8BC8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临潼区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03F54">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108国道临潼区-东城国际铝材门窗</w:t>
            </w:r>
          </w:p>
        </w:tc>
      </w:tr>
      <w:tr w14:paraId="71AA0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3114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6763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610100533</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E9C8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DF06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079A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108国道灞桥区官厅佳苑</w:t>
            </w:r>
          </w:p>
        </w:tc>
      </w:tr>
      <w:tr w14:paraId="7A0D3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EE38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68BE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610100534</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3A46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世博大道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5731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2242A">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浐灞国际港世博大道东振业泊岸西门公厕旁</w:t>
            </w:r>
          </w:p>
        </w:tc>
      </w:tr>
      <w:tr w14:paraId="28654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29B8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49A9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610100535</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0A76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浐河东路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D8BA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03448">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浐河东路与云淙巷丁字口东北角</w:t>
            </w:r>
          </w:p>
        </w:tc>
      </w:tr>
      <w:tr w14:paraId="20CDB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A2A5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AAF6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610100536</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5E44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东三环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3965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3A2C1">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东三环-世博中路十字东北角加油站附近</w:t>
            </w:r>
          </w:p>
        </w:tc>
      </w:tr>
      <w:tr w14:paraId="3E10F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75F3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9640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610100537</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4251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东三环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E036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55BC6">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东三环-通塬路十字西北角加油站附近</w:t>
            </w:r>
          </w:p>
        </w:tc>
      </w:tr>
      <w:tr w14:paraId="04F60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55E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0EF1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410A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东二环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7310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碑林区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B58B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二环东路-互助路丁字口立交转盘下</w:t>
            </w:r>
          </w:p>
        </w:tc>
      </w:tr>
      <w:tr w14:paraId="057D6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49EA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2E8F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610100539</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F6B2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太华北路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C7C1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FB8F9">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太华北路未央区奇星御园</w:t>
            </w:r>
          </w:p>
        </w:tc>
      </w:tr>
      <w:tr w14:paraId="16F76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2759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6AED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610100540</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EFA3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北辰大道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76BE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EB1A8">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未央区北辰路-浐灞一路（麦德龙商场）</w:t>
            </w:r>
          </w:p>
        </w:tc>
      </w:tr>
      <w:tr w14:paraId="0253C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A7C2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D215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9584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北辰大道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3A5F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12063">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未央区北辰路与启源一路十字东北角</w:t>
            </w:r>
          </w:p>
        </w:tc>
      </w:tr>
      <w:tr w14:paraId="73627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0734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5CA9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610100542</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6EDB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朱宏路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97C1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B8E7B">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北二环与朱宏路西北角150米公厕旁</w:t>
            </w:r>
          </w:p>
        </w:tc>
      </w:tr>
      <w:tr w14:paraId="68BC4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37D5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4ED4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610100543</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19B8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朱宏路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E098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C02BC">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未央区-朱宏路-北三环西北角中国石油加油站</w:t>
            </w:r>
          </w:p>
        </w:tc>
      </w:tr>
      <w:tr w14:paraId="5E4F7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1F94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622C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610100544</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AB9B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秦汉大道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D1E0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临潼区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CFAE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秦汉大道临潼区下朱村村委会</w:t>
            </w:r>
          </w:p>
        </w:tc>
      </w:tr>
      <w:tr w14:paraId="39A3D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06CA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816B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610100545</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D0B6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秦汉大道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B2EB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1908C">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欧亚大道与元朔大道十字东南角</w:t>
            </w:r>
          </w:p>
        </w:tc>
      </w:tr>
      <w:tr w14:paraId="0EF13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7DB4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AD55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610100546</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AEFC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秦汉大道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98AC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临潼区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9104F">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秦汉大道贾村村委会门口</w:t>
            </w:r>
          </w:p>
        </w:tc>
      </w:tr>
      <w:tr w14:paraId="71CDA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6337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15D5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610100547</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2AEB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秦汉大道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B19F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CB260">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秦汉大道保税区地铁站西北角</w:t>
            </w:r>
          </w:p>
        </w:tc>
      </w:tr>
      <w:tr w14:paraId="381AD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B77F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25DB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610100522</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69B5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西太路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0524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D22A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西太路与纬三十二路十字南100米路西</w:t>
            </w:r>
          </w:p>
        </w:tc>
      </w:tr>
      <w:tr w14:paraId="5489B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2956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CCEE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08C7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港务西路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73C2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15B63">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浐灞国际港务区地铁站B1出口向南400米</w:t>
            </w:r>
          </w:p>
        </w:tc>
      </w:tr>
      <w:tr w14:paraId="08C1D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9B15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8CD0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B2C5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西太路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635F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49613">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西太路与翠北路十字向南100米路东</w:t>
            </w:r>
          </w:p>
        </w:tc>
      </w:tr>
      <w:tr w14:paraId="79197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CB8B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46A7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610100549</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730B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港务西路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B078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46494">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浐灞国际港港务西路-港兴三路</w:t>
            </w:r>
          </w:p>
        </w:tc>
      </w:tr>
      <w:tr w14:paraId="54E66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41D3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9663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610100520</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6072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西太路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152A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F1936">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西太路与灵和路十字东北角路北</w:t>
            </w:r>
          </w:p>
        </w:tc>
      </w:tr>
      <w:tr w14:paraId="64FAB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E0C6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463B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610100519</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43F3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西太路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6B1C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4594A">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西太路庆镇村村口（带屏幕）</w:t>
            </w:r>
          </w:p>
        </w:tc>
      </w:tr>
      <w:tr w14:paraId="20238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998B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D2C1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9CA2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太白南路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B80E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65096">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太白南路与电子四路东南方向60米</w:t>
            </w:r>
          </w:p>
        </w:tc>
      </w:tr>
      <w:tr w14:paraId="7474C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6A2A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21D4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610100550</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6E24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草滩八路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0E8E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F8D59">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草滩八路-尚林路（带屏幕）</w:t>
            </w:r>
          </w:p>
        </w:tc>
      </w:tr>
      <w:tr w14:paraId="73595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C1DC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0A24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610100517</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6C4B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环山路(关中环线)</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916E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9F1D0">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环山路东石村公交站公厕旁路南（带屏幕）</w:t>
            </w:r>
          </w:p>
        </w:tc>
      </w:tr>
      <w:tr w14:paraId="32158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7B5F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E475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9386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草堂八路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0842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C8B68">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草滩八路-尚稷路向南300米路东</w:t>
            </w:r>
          </w:p>
        </w:tc>
      </w:tr>
      <w:tr w14:paraId="501F7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3359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EF57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610100516</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261F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环山路(关中环线)</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32C2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0099A">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环山路秦岭生态文化园</w:t>
            </w:r>
          </w:p>
        </w:tc>
      </w:tr>
      <w:tr w14:paraId="6AED8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1550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1D24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610100552</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60FD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草滩六路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109A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4DAA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草滩六路-尚稷路向西200米路北（西安博爱学校）</w:t>
            </w:r>
          </w:p>
        </w:tc>
      </w:tr>
      <w:tr w14:paraId="7F02F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3DF2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8047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610100515</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C86D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环山路(关中环线)</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E8EB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66EDA">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环山路中国石油西安长安团结加油站</w:t>
            </w:r>
          </w:p>
        </w:tc>
      </w:tr>
      <w:tr w14:paraId="6D8BE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2ADF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4313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610100553</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DD9A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草滩六路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EF4C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6595E">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草滩六路-尚林路丁字口</w:t>
            </w:r>
          </w:p>
        </w:tc>
      </w:tr>
      <w:tr w14:paraId="7B1DD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5EA1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1A8A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610100514</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D336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环山路(关中环线)</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65D4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81745">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环山路南五台壳牌加油站</w:t>
            </w:r>
          </w:p>
        </w:tc>
      </w:tr>
      <w:tr w14:paraId="6413B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906A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DD7C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610100554</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77AE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草滩五路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2AF1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2FBA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草滩五路-尚稷路十字西北角</w:t>
            </w:r>
          </w:p>
        </w:tc>
      </w:tr>
      <w:tr w14:paraId="0DEDA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12B7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8EE4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610100513</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114F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环山路(关中环线)</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C560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3092A">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环山路王莽街道长安区农家乐示范村</w:t>
            </w:r>
          </w:p>
        </w:tc>
      </w:tr>
      <w:tr w14:paraId="73B3A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D96F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E723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610100555</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48EC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草滩四路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D92D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F9BC5">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草滩四路-尚苑路（带屏幕）</w:t>
            </w:r>
          </w:p>
        </w:tc>
      </w:tr>
      <w:tr w14:paraId="7481C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7365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2CB1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610100512</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AA7C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环山路(关中环线)</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8C37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A124D">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环山路太乙驿(M智慧房车太乙官露营地西南)</w:t>
            </w:r>
          </w:p>
        </w:tc>
      </w:tr>
      <w:tr w14:paraId="53B3A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687A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6F8B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610100556</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04CE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北三环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1350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9AAC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北三环与明光路十字向西300米路北</w:t>
            </w:r>
          </w:p>
        </w:tc>
      </w:tr>
      <w:tr w14:paraId="4B3D0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0C8F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E927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5BCC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韦鸣路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F68A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航天基地</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E7D3C">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韦鸣路昆仑石油韦鸣路加油站</w:t>
            </w:r>
          </w:p>
        </w:tc>
      </w:tr>
      <w:tr w14:paraId="21EA1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EBC6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413D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610100557</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4E9F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北二环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0E69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8E4F8">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二环北路西段与锦宏路十字</w:t>
            </w:r>
          </w:p>
        </w:tc>
      </w:tr>
      <w:tr w14:paraId="1831D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BA73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BF7C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610100510</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E0D7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雁引路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2D0F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BCA4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雁引路昆仑石油引镇加油站</w:t>
            </w:r>
          </w:p>
        </w:tc>
      </w:tr>
      <w:tr w14:paraId="0248B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DBBC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7651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610100509</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5701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雁引路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7667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B99E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雁引路中国石化云龙加油站</w:t>
            </w:r>
          </w:p>
        </w:tc>
      </w:tr>
      <w:tr w14:paraId="32BE3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2E92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A657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4FBC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昆明路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A550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西咸新区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E296A">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昆明路石桥立交地铁站A口向西300米路北绿化带内</w:t>
            </w:r>
          </w:p>
        </w:tc>
      </w:tr>
      <w:tr w14:paraId="1DC6C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FFFE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B0DA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610100559</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7614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昆明路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BE05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1142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昆明路－团结南路向西250米路中间绿化带</w:t>
            </w:r>
          </w:p>
        </w:tc>
      </w:tr>
      <w:tr w14:paraId="42931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B1D8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B203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13C6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雁引路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0335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航天基地</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C9A70">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雁引路中国石油西安长安大兆加油站</w:t>
            </w:r>
          </w:p>
        </w:tc>
      </w:tr>
      <w:tr w14:paraId="5FB18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0604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923B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610100507</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0817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9F2E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3137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长鸣路公交首末站</w:t>
            </w:r>
          </w:p>
        </w:tc>
      </w:tr>
      <w:tr w14:paraId="2F7EB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3CEF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0276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610100560</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8633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昆明路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EC17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西咸新区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150FF">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昆明路－西三环立交桥西北角</w:t>
            </w:r>
          </w:p>
        </w:tc>
      </w:tr>
      <w:tr w14:paraId="2AB28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2DE4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6066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610100506</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4FBA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A2BA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50161">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长鸣路秦赵村村口</w:t>
            </w:r>
          </w:p>
        </w:tc>
      </w:tr>
      <w:tr w14:paraId="39B11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D3A1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ED98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610100505</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80BD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299F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F078C">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西沣路－环山路北500米路西</w:t>
            </w:r>
          </w:p>
        </w:tc>
      </w:tr>
      <w:tr w14:paraId="41952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0CD8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5CF9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B4E3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富鱼路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C252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西咸新区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FCDD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富鱼路与铁路高架桥向西200米路北工地门口</w:t>
            </w:r>
          </w:p>
        </w:tc>
      </w:tr>
      <w:tr w14:paraId="1F0C1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D310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21E6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610100504</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BE2E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818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15539">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西沣路跃进村村口向北250米路东</w:t>
            </w:r>
          </w:p>
        </w:tc>
      </w:tr>
      <w:tr w14:paraId="562CB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ADA0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E0B4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610100562</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8579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富鱼路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4C84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5DE7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富鱼路与富源三路十字向东40米处绿化带内</w:t>
            </w:r>
          </w:p>
        </w:tc>
      </w:tr>
      <w:tr w14:paraId="474C0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1AE2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EA51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610100503</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7B55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33E8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757E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西沣路洨河桥北450米路西，加油站对面</w:t>
            </w:r>
          </w:p>
        </w:tc>
      </w:tr>
      <w:tr w14:paraId="48215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7E6E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B31E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610100563</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49D3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富鱼路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6186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80999">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富鱼路西安外事学院北教学区门口</w:t>
            </w:r>
          </w:p>
        </w:tc>
      </w:tr>
      <w:tr w14:paraId="40D4A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8D19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2926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610100502</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760A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FBFB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6A15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西沣路与香积大街丁字口向北100米路西</w:t>
            </w:r>
          </w:p>
        </w:tc>
      </w:tr>
      <w:tr w14:paraId="39065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2EAB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3967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610100564</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F037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大庆路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F6CF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E5846">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大庆路与汉城路十字向东150米中间绿化带内</w:t>
            </w:r>
          </w:p>
        </w:tc>
      </w:tr>
      <w:tr w14:paraId="233C9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4443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53E3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610100565</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5D7A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大庆路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AF52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57E0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大庆路天朗城市公园</w:t>
            </w:r>
          </w:p>
        </w:tc>
      </w:tr>
      <w:tr w14:paraId="432DC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8B24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235C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3A01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1221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D2066">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西沣路云龙酒店向南130米路西</w:t>
            </w:r>
          </w:p>
        </w:tc>
      </w:tr>
      <w:tr w14:paraId="21D35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4B56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F784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610100566</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2606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阿房一路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0330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西咸新区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158B9">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阿房一路与富源一路向东100米</w:t>
            </w:r>
          </w:p>
        </w:tc>
      </w:tr>
      <w:tr w14:paraId="50B59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E29F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2E64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610100567</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9D3B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阿房一路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9CC2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西咸新区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DC9D4">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阿房一路海伦春天小区门口</w:t>
            </w:r>
          </w:p>
        </w:tc>
      </w:tr>
      <w:tr w14:paraId="167E0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BB8C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FE0C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B557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西二环路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5365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BECC1">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西二环路-西安高架快速干道立交桥十字东南角</w:t>
            </w:r>
          </w:p>
        </w:tc>
      </w:tr>
    </w:tbl>
    <w:p w14:paraId="10B186DC">
      <w:pPr>
        <w:spacing w:line="360" w:lineRule="auto"/>
        <w:ind w:firstLine="482" w:firstLineChars="200"/>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注：根据</w:t>
      </w:r>
      <w:r>
        <w:rPr>
          <w:rFonts w:hint="eastAsia" w:ascii="宋体" w:hAnsi="宋体" w:eastAsia="宋体" w:cs="宋体"/>
          <w:b/>
          <w:bCs/>
          <w:color w:val="auto"/>
          <w:sz w:val="24"/>
          <w:szCs w:val="24"/>
          <w:highlight w:val="none"/>
          <w:lang w:val="en-US" w:eastAsia="zh-CN"/>
        </w:rPr>
        <w:t>采购人</w:t>
      </w:r>
      <w:r>
        <w:rPr>
          <w:rFonts w:hint="eastAsia" w:ascii="宋体" w:hAnsi="宋体" w:eastAsia="宋体" w:cs="宋体"/>
          <w:b/>
          <w:bCs/>
          <w:color w:val="auto"/>
          <w:sz w:val="24"/>
          <w:szCs w:val="24"/>
          <w:highlight w:val="none"/>
          <w:lang w:val="zh-CN" w:eastAsia="zh-CN"/>
        </w:rPr>
        <w:t>的任务需求安排，可调整部分设备用于比对监测。</w:t>
      </w:r>
    </w:p>
    <w:p w14:paraId="34BCC88B">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（二）运维工作目标</w:t>
      </w:r>
    </w:p>
    <w:bookmarkEnd w:id="2"/>
    <w:p w14:paraId="61466AC2">
      <w:pPr>
        <w:spacing w:line="360" w:lineRule="auto"/>
        <w:ind w:firstLine="480" w:firstLineChars="200"/>
        <w:rPr>
          <w:rFonts w:hint="eastAsia" w:ascii="宋体" w:hAnsi="宋体" w:eastAsia="宋体" w:cs="宋体"/>
          <w:b w:val="0"/>
          <w:bCs w:val="0"/>
          <w:color w:val="auto"/>
          <w:sz w:val="24"/>
          <w:szCs w:val="24"/>
          <w:highlight w:val="none"/>
          <w:lang w:val="zh-CN" w:eastAsia="zh-CN"/>
        </w:rPr>
      </w:pPr>
      <w:bookmarkStart w:id="3" w:name="_Toc405479910"/>
      <w:r>
        <w:rPr>
          <w:rFonts w:hint="eastAsia" w:ascii="宋体" w:hAnsi="宋体" w:eastAsia="宋体" w:cs="宋体"/>
          <w:b w:val="0"/>
          <w:bCs w:val="0"/>
          <w:color w:val="auto"/>
          <w:sz w:val="24"/>
          <w:szCs w:val="24"/>
          <w:highlight w:val="none"/>
          <w:lang w:val="zh-CN" w:eastAsia="zh-CN"/>
        </w:rPr>
        <w:t>运行维护工作应按照安全生产有关规定，建立安全生产制度，切实消除安全隐患；运行维护工作必须确保提供及时、准确、有效的监测数据，站点运行质量应达到以下指标：</w:t>
      </w:r>
    </w:p>
    <w:p w14:paraId="0771643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（1）所获取的各项指标的有效监测数据必须满足《环境空气质量标准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lang w:val="zh-CN" w:eastAsia="zh-CN"/>
        </w:rPr>
        <w:t>中规定的污染物浓度数据有效性最低要求；</w:t>
      </w:r>
    </w:p>
    <w:p w14:paraId="4959C173">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（2）数据有效采集率达到90%（以小时值计）以上；</w:t>
      </w:r>
    </w:p>
    <w:p w14:paraId="16D291EB">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（3）数据质控合格率达到80%（以小时值计）以上；</w:t>
      </w:r>
    </w:p>
    <w:p w14:paraId="66042A36">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（4）运维任务完成率100%；</w:t>
      </w:r>
    </w:p>
    <w:p w14:paraId="321934A0">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（5）异常情况处理率100%；</w:t>
      </w:r>
      <w:bookmarkStart w:id="4" w:name="_Toc55201346"/>
    </w:p>
    <w:p w14:paraId="6C290079">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（三）运维工作内容</w:t>
      </w:r>
      <w:bookmarkEnd w:id="3"/>
      <w:bookmarkEnd w:id="4"/>
      <w:bookmarkStart w:id="5" w:name="OLE_LINK12"/>
    </w:p>
    <w:p w14:paraId="49246EAA">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运维过程中主要完成以下工作：</w:t>
      </w:r>
    </w:p>
    <w:p w14:paraId="1F865465">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（1）站点的日常运行维护，仪器备件耗材更换；</w:t>
      </w:r>
    </w:p>
    <w:p w14:paraId="06958E3A">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（2）站点设备的维护保养及维修；</w:t>
      </w:r>
    </w:p>
    <w:p w14:paraId="4A01E77E">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（3）当仪器出现故障不能及时修复时，应在48小时之内使用备机开展监测；</w:t>
      </w:r>
    </w:p>
    <w:p w14:paraId="5E575342">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（4）站点的内部质控措施； </w:t>
      </w:r>
    </w:p>
    <w:p w14:paraId="3B9F47DB">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（5）站点通讯及数据采集系统的维护及维修，保障颗粒物监测系统与西安市智慧环保指挥平台通讯正常；</w:t>
      </w:r>
    </w:p>
    <w:p w14:paraId="3CFF37BB">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（6）站点相关辅助设施的维护、保养、维修；</w:t>
      </w:r>
    </w:p>
    <w:p w14:paraId="1CAC7CE3">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（7）运维电费和通讯费用由运维单位承担；</w:t>
      </w:r>
    </w:p>
    <w:bookmarkEnd w:id="5"/>
    <w:p w14:paraId="15E25FED">
      <w:pPr>
        <w:pStyle w:val="11"/>
        <w:spacing w:line="360" w:lineRule="auto"/>
        <w:ind w:firstLine="480"/>
        <w:rPr>
          <w:rFonts w:hint="eastAsia" w:ascii="宋体" w:hAnsi="宋体" w:eastAsia="宋体" w:cs="宋体"/>
          <w:b w:val="0"/>
          <w:bCs w:val="0"/>
          <w:color w:val="auto"/>
          <w:sz w:val="24"/>
          <w:szCs w:val="24"/>
          <w:highlight w:val="none"/>
          <w:lang w:val="en-US" w:eastAsia="zh-CN"/>
        </w:rPr>
      </w:pPr>
      <w:bookmarkStart w:id="6" w:name="_Toc405479911"/>
      <w:r>
        <w:rPr>
          <w:rFonts w:hint="eastAsia" w:ascii="宋体" w:hAnsi="宋体" w:eastAsia="宋体" w:cs="宋体"/>
          <w:b w:val="0"/>
          <w:bCs w:val="0"/>
          <w:color w:val="auto"/>
          <w:sz w:val="24"/>
          <w:szCs w:val="24"/>
          <w:highlight w:val="none"/>
          <w:lang w:val="en-US" w:eastAsia="zh-CN"/>
        </w:rPr>
        <w:t>（8）运维过程中所产生的备机及耗材费用由运维单位承担；</w:t>
      </w:r>
    </w:p>
    <w:p w14:paraId="64B0C4E5">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（9）运维单位在运维期内须无条件配合</w:t>
      </w:r>
      <w:r>
        <w:rPr>
          <w:rFonts w:hint="eastAsia" w:ascii="宋体" w:hAnsi="宋体" w:eastAsia="宋体" w:cs="宋体"/>
          <w:b w:val="0"/>
          <w:bCs w:val="0"/>
          <w:color w:val="auto"/>
          <w:sz w:val="24"/>
          <w:szCs w:val="24"/>
          <w:highlight w:val="none"/>
          <w:lang w:val="en-US" w:eastAsia="zh-CN"/>
        </w:rPr>
        <w:t>采购人</w:t>
      </w:r>
      <w:r>
        <w:rPr>
          <w:rFonts w:hint="eastAsia" w:ascii="宋体" w:hAnsi="宋体" w:eastAsia="宋体" w:cs="宋体"/>
          <w:b w:val="0"/>
          <w:bCs w:val="0"/>
          <w:color w:val="auto"/>
          <w:sz w:val="24"/>
          <w:szCs w:val="24"/>
          <w:highlight w:val="none"/>
          <w:lang w:val="en-US" w:eastAsia="zh-CN"/>
        </w:rPr>
        <w:t>组织的相关设备补充、系统升级工作，并保障监测数据的完整性、准确性；</w:t>
      </w:r>
    </w:p>
    <w:p w14:paraId="589E0374">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委托运行维护及管理的全部资产（包括全部产权和建筑物、设备及配套设施）属采购人所有。未经采购人同意，运维单位不得以任何方式对各类财产进行出售、抵押或转移；同时，在委托运行及管理期间，运维单位有责任保证上述全部资产的完整、安全并处于良好状态，避免出现被盗、人为破坏等原因造成的资产损失。出现站点资产丢失、损坏等情况，一切责任由运维单位承担，并尽快恢复运行，所发生的费用全部由运维单位承担；</w:t>
      </w:r>
    </w:p>
    <w:p w14:paraId="0987AF2D">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（11）运维单位须为所有参与本项目运维的人员购买能覆盖此次运维周期的人身意外保险，制定并执行运维相关的安全措施，确保不发生意外，若发生运维安全事故，全部责任由运维单位承担。</w:t>
      </w:r>
    </w:p>
    <w:p w14:paraId="1FCA9FBD">
      <w:pPr>
        <w:pStyle w:val="11"/>
        <w:spacing w:line="360" w:lineRule="auto"/>
        <w:ind w:firstLine="480"/>
        <w:rPr>
          <w:rFonts w:hint="eastAsia" w:ascii="宋体" w:hAnsi="宋体" w:eastAsia="宋体" w:cs="宋体"/>
          <w:b/>
          <w:bCs/>
          <w:color w:val="auto"/>
          <w:sz w:val="24"/>
          <w:szCs w:val="24"/>
          <w:highlight w:val="none"/>
          <w:lang w:val="en-US" w:eastAsia="zh-CN"/>
        </w:rPr>
      </w:pPr>
      <w:bookmarkStart w:id="7" w:name="_Toc55201347"/>
      <w:r>
        <w:rPr>
          <w:rFonts w:hint="eastAsia" w:ascii="宋体" w:hAnsi="宋体" w:eastAsia="宋体" w:cs="宋体"/>
          <w:b/>
          <w:bCs/>
          <w:color w:val="auto"/>
          <w:sz w:val="24"/>
          <w:szCs w:val="24"/>
          <w:highlight w:val="none"/>
          <w:lang w:val="en-US" w:eastAsia="zh-CN"/>
        </w:rPr>
        <w:t>（四）运维工作具体要求</w:t>
      </w:r>
      <w:bookmarkEnd w:id="6"/>
      <w:bookmarkEnd w:id="7"/>
    </w:p>
    <w:p w14:paraId="5562544D">
      <w:pPr>
        <w:adjustRightInd w:val="0"/>
        <w:spacing w:line="360" w:lineRule="auto"/>
        <w:ind w:firstLine="480" w:firstLineChars="200"/>
        <w:textAlignment w:val="baseline"/>
        <w:rPr>
          <w:rFonts w:hint="eastAsia" w:ascii="宋体" w:hAnsi="宋体" w:eastAsia="宋体" w:cs="宋体"/>
          <w:color w:val="auto"/>
          <w:szCs w:val="24"/>
          <w:highlight w:val="none"/>
        </w:rPr>
      </w:pPr>
      <w:r>
        <w:rPr>
          <w:rFonts w:hint="eastAsia" w:ascii="宋体" w:hAnsi="宋体" w:eastAsia="宋体" w:cs="宋体"/>
          <w:b w:val="0"/>
          <w:bCs w:val="0"/>
          <w:color w:val="auto"/>
          <w:sz w:val="24"/>
          <w:szCs w:val="24"/>
          <w:highlight w:val="none"/>
          <w:lang w:val="en-US" w:eastAsia="zh-CN"/>
        </w:rPr>
        <w:t>运维单位应遵守关于站点管理的各项规定，严格按照国家相关标准要求开展运维工作。</w:t>
      </w:r>
    </w:p>
    <w:p w14:paraId="53213F01">
      <w:pPr>
        <w:pStyle w:val="11"/>
        <w:spacing w:line="360" w:lineRule="auto"/>
        <w:ind w:firstLine="480"/>
        <w:rPr>
          <w:rFonts w:hint="eastAsia" w:ascii="宋体" w:hAnsi="宋体" w:eastAsia="宋体" w:cs="宋体"/>
          <w:b/>
          <w:bCs/>
          <w:color w:val="auto"/>
          <w:sz w:val="24"/>
          <w:szCs w:val="24"/>
          <w:highlight w:val="none"/>
          <w:lang w:val="en-US" w:eastAsia="zh-CN"/>
        </w:rPr>
      </w:pPr>
      <w:bookmarkStart w:id="8" w:name="_Toc405479912"/>
      <w:bookmarkStart w:id="9" w:name="_Toc403547824"/>
      <w:bookmarkStart w:id="10" w:name="_Toc403547771"/>
      <w:r>
        <w:rPr>
          <w:rFonts w:hint="eastAsia" w:ascii="宋体" w:hAnsi="宋体" w:eastAsia="宋体" w:cs="宋体"/>
          <w:b/>
          <w:bCs/>
          <w:color w:val="auto"/>
          <w:sz w:val="24"/>
          <w:szCs w:val="24"/>
          <w:highlight w:val="none"/>
          <w:lang w:val="en-US" w:eastAsia="zh-CN"/>
        </w:rPr>
        <w:t>4.1一般维护要求</w:t>
      </w:r>
      <w:bookmarkEnd w:id="8"/>
      <w:bookmarkEnd w:id="9"/>
      <w:bookmarkEnd w:id="10"/>
    </w:p>
    <w:p w14:paraId="170F9FF0">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bookmarkStart w:id="11" w:name="_Toc405479913"/>
      <w:bookmarkStart w:id="12" w:name="_Toc403547825"/>
      <w:bookmarkStart w:id="13" w:name="_Toc403547772"/>
      <w:r>
        <w:rPr>
          <w:rFonts w:hint="eastAsia" w:ascii="宋体" w:hAnsi="宋体" w:eastAsia="宋体" w:cs="宋体"/>
          <w:b w:val="0"/>
          <w:bCs w:val="0"/>
          <w:color w:val="auto"/>
          <w:sz w:val="24"/>
          <w:szCs w:val="24"/>
          <w:highlight w:val="none"/>
          <w:lang w:val="en-US" w:eastAsia="zh-CN"/>
        </w:rPr>
        <w:t>（1）保持站点内部环境清洁，布置整齐，各仪器设备干净清洁，设备标识清楚；</w:t>
      </w:r>
    </w:p>
    <w:p w14:paraId="517B79F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（2）检查供电、网络通讯、气象设备、噪声设备、视频监控设</w:t>
      </w:r>
      <w:r>
        <w:rPr>
          <w:rFonts w:hint="eastAsia" w:ascii="宋体" w:hAnsi="宋体" w:eastAsia="宋体" w:cs="宋体"/>
          <w:b w:val="0"/>
          <w:bCs w:val="0"/>
          <w:color w:val="auto"/>
          <w:sz w:val="24"/>
          <w:szCs w:val="24"/>
          <w:highlight w:val="none"/>
          <w:lang w:val="en-US" w:eastAsia="zh-CN"/>
        </w:rPr>
        <w:t>备、显示屏的情况，保证系统的正常运行；</w:t>
      </w:r>
    </w:p>
    <w:p w14:paraId="1FB32E2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（3）保证空调正常工作，仪器运行温度保持在25℃左右，站房内温度日波动范围小于3℃，相对湿度保持在80%RH以下； </w:t>
      </w:r>
    </w:p>
    <w:p w14:paraId="6C31937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（4）指派专人维护，设备固定牢固，人走关门，非工作人员未经许可不得入内；</w:t>
      </w:r>
    </w:p>
    <w:p w14:paraId="2D9F36F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（5）每次维护后做好系统运行维护记录，所有记录表格参照国家站标准填写；</w:t>
      </w:r>
    </w:p>
    <w:p w14:paraId="313F46D0">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（6）进行维护时，应规范操作，注意安全，防止意外发生；</w:t>
      </w:r>
    </w:p>
    <w:p w14:paraId="44C935F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（7）挪点拆除、安装时，应按流程规范施工，保证土建、用电、人员安全，以及植被破坏赔偿，绿化恢复，确保站点各设备实施稳定运行。</w:t>
      </w:r>
    </w:p>
    <w:p w14:paraId="785B9C9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（8）配合</w:t>
      </w:r>
      <w:r>
        <w:rPr>
          <w:rFonts w:hint="eastAsia" w:ascii="宋体" w:hAnsi="宋体" w:eastAsia="宋体" w:cs="宋体"/>
          <w:b w:val="0"/>
          <w:bCs w:val="0"/>
          <w:color w:val="auto"/>
          <w:sz w:val="24"/>
          <w:szCs w:val="24"/>
          <w:highlight w:val="none"/>
          <w:lang w:val="en-US" w:eastAsia="zh-CN"/>
        </w:rPr>
        <w:t>采购人其</w:t>
      </w:r>
      <w:r>
        <w:rPr>
          <w:rFonts w:hint="eastAsia" w:ascii="宋体" w:hAnsi="宋体" w:eastAsia="宋体" w:cs="宋体"/>
          <w:b w:val="0"/>
          <w:bCs w:val="0"/>
          <w:color w:val="auto"/>
          <w:sz w:val="24"/>
          <w:szCs w:val="24"/>
          <w:highlight w:val="none"/>
          <w:lang w:val="en-US" w:eastAsia="zh-CN"/>
        </w:rPr>
        <w:t>他交办监测任务。</w:t>
      </w:r>
    </w:p>
    <w:p w14:paraId="6EFD4846">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4.1.1 每日维护要求</w:t>
      </w:r>
    </w:p>
    <w:p w14:paraId="50EAC9F6">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每日对站点运行情况进行远程诊断和运行管理，包括：</w:t>
      </w:r>
    </w:p>
    <w:p w14:paraId="7248873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（1）判断系统数据采集与传输情况；</w:t>
      </w:r>
    </w:p>
    <w:p w14:paraId="11C6E114">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（2）每日对噪声测试设备进行一次电校准；</w:t>
      </w:r>
    </w:p>
    <w:p w14:paraId="4121105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（3）每日检查数据是否及时上传至数据平台并正常发布，发现数据断网及时恢复；</w:t>
      </w:r>
    </w:p>
    <w:p w14:paraId="7205E182">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（4）根据数据分析结果、设备状态参数和仪器故障报警信号，判断仪器运行情况和现场状况； </w:t>
      </w:r>
    </w:p>
    <w:p w14:paraId="5460CBE5">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（5）发生重污染天气等特殊情况后，应在4小时内开展相应运维工作；</w:t>
      </w:r>
    </w:p>
    <w:p w14:paraId="7AF0E85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（6）发现监测数据异常，应立即通知采购人，在每日6时～23时出现的异常，应在4小时内解决；在每日23时～次日6时出现的异常，应在次日10时前解决（通信线路，电</w:t>
      </w:r>
      <w:r>
        <w:rPr>
          <w:rFonts w:hint="eastAsia" w:ascii="宋体" w:hAnsi="宋体" w:eastAsia="宋体" w:cs="宋体"/>
          <w:b w:val="0"/>
          <w:bCs w:val="0"/>
          <w:color w:val="auto"/>
          <w:sz w:val="24"/>
          <w:szCs w:val="24"/>
          <w:highlight w:val="none"/>
          <w:lang w:val="en-US" w:eastAsia="zh-CN"/>
        </w:rPr>
        <w:t>力线路故障除外，但应及时与相关部门联系解决）；</w:t>
      </w:r>
    </w:p>
    <w:p w14:paraId="0378688E">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4.1.2每周工作要求</w:t>
      </w:r>
    </w:p>
    <w:p w14:paraId="36A5C33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每周至少巡查站点1次，并做好巡查记录，巡检时需要完成的工作包括：</w:t>
      </w:r>
    </w:p>
    <w:p w14:paraId="66B64D35">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（1）查看站点设备是否齐备，有无丢失和损坏；检查接地线路是否可靠，排风排气装置工作是否正常；</w:t>
      </w:r>
    </w:p>
    <w:p w14:paraId="642C654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（2）检查采样和排气管路是否有漏气和堵塞现象，各监测仪器采样流量是否正常；</w:t>
      </w:r>
    </w:p>
    <w:p w14:paraId="4FC35D6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（3）检查各监测仪器运行状况和工作参数，判断是否正常，如有异常情况及时处理，保证仪器运行正常；</w:t>
      </w:r>
    </w:p>
    <w:p w14:paraId="1BF6A4E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（4）检查颗粒物检测仪动态加热装置及采样总管加热装置是否工作正常；</w:t>
      </w:r>
    </w:p>
    <w:p w14:paraId="7502D8D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（5）检查外部环境是否正常，有没有对测定结果或运行环境存在明显影响的污染源；</w:t>
      </w:r>
    </w:p>
    <w:p w14:paraId="28DE75C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（6）检查电路系统和通讯系统，保证系统供电正常，电压稳定；</w:t>
      </w:r>
    </w:p>
    <w:p w14:paraId="5BB531A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（7）检查站点通讯系统，保证与数据平台的连接正常，数据传输正常；确保无远程控制软件；</w:t>
      </w:r>
    </w:p>
    <w:p w14:paraId="48130D96">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（8）对仪器显示数据、时间与数据采集仪之间的一致性进行检查和校准；</w:t>
      </w:r>
    </w:p>
    <w:p w14:paraId="0C185314">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（9）应及时清除站点附近的杂草和积水，当周围树木生长超过规范规定时，应及时剪除对采样有影响的树枝；</w:t>
      </w:r>
    </w:p>
    <w:p w14:paraId="16508A6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（10）应经常检查机柜是否有漏雨现象，发现渗漏情况及时进行密封，机柜外围设备是否有损坏或被水淹，如遇到以上问题应及时处理，保证系统安全运行；</w:t>
      </w:r>
    </w:p>
    <w:p w14:paraId="7EC5C35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（11）检查站房的安全措施，做好防火防盗工作；</w:t>
      </w:r>
    </w:p>
    <w:p w14:paraId="35C55FC6">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（12）每周对颗粒物监测仪至少进行一次流量检查，流量误差超过±5%时应进行校准。同时对仪器的采样纸带进行检查，如纸带即将用尽及时进行更换；</w:t>
      </w:r>
    </w:p>
    <w:p w14:paraId="3FA3CED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（13）空气质量达到重度及以上时，应及时清洗采样管和切割器。在污染过程结束后清洗采样系统；</w:t>
      </w:r>
    </w:p>
    <w:p w14:paraId="7528BA1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（14）每周对机柜内外环境卫生进行检查，及时保洁；</w:t>
      </w:r>
    </w:p>
    <w:p w14:paraId="74CBBEF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（15）认真填写每周运行维护记录表。</w:t>
      </w:r>
    </w:p>
    <w:p w14:paraId="76DFA3A5">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4.1.3每月工作要求</w:t>
      </w:r>
    </w:p>
    <w:p w14:paraId="1B56A866">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（1）清洗颗粒物检测仪采样头，检查β射线法颗粒物监测仪仪器喷嘴、压环、密封圈等部件；</w:t>
      </w:r>
    </w:p>
    <w:p w14:paraId="194BCA7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 检查颗粒物检测仪流量，超过国家相关规范要求时进行校准，检查仪器是否泄漏；</w:t>
      </w:r>
    </w:p>
    <w:p w14:paraId="110D453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（3）每月开展颗粒物标准膜测试，流量误差超过±2%时应进行校准；</w:t>
      </w:r>
    </w:p>
    <w:p w14:paraId="6F6F824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（4）每月对气象五参数、噪声测试设备进行一次校准；</w:t>
      </w:r>
    </w:p>
    <w:p w14:paraId="79BA507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（5）每月清洗一次空调过滤网；</w:t>
      </w:r>
    </w:p>
    <w:p w14:paraId="05285E5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（6）每月对数据和运维记录进行备份；</w:t>
      </w:r>
    </w:p>
    <w:p w14:paraId="0F07B3E5">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（7）认真填写每月运行维护记录表。</w:t>
      </w:r>
    </w:p>
    <w:p w14:paraId="5DEB9A76">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4.1.4每季度工作要求</w:t>
      </w:r>
    </w:p>
    <w:p w14:paraId="631006E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（1）每季度进行一次监测仪器的精密度审核。颗粒物监测仪的精密度审核采用标准流量计测定监测仪器的工作流量来确定；</w:t>
      </w:r>
    </w:p>
    <w:p w14:paraId="4ACB487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（2）检查校准颗粒物检测仪相对湿度、温度传感器和压力传感器；</w:t>
      </w:r>
    </w:p>
    <w:p w14:paraId="25A33C5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（3）认真填写季度运行维护记录表。</w:t>
      </w:r>
    </w:p>
    <w:p w14:paraId="3BF8387B">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4.1.5每半年工作要求</w:t>
      </w:r>
    </w:p>
    <w:p w14:paraId="32FD79A4">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（1）对机柜、风绳（等电位联结体）等外部组件进行除锈处理；</w:t>
      </w:r>
    </w:p>
    <w:p w14:paraId="24F737E4">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（2）认真填写每半年运行维护记录表。</w:t>
      </w:r>
    </w:p>
    <w:p w14:paraId="2535926F">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4.1.6每年工作要求</w:t>
      </w:r>
    </w:p>
    <w:p w14:paraId="0C0CB14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（1）对所有的仪器进行预防性维护，按说明书要求更换备件；</w:t>
      </w:r>
    </w:p>
    <w:p w14:paraId="6B3DE19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（2）更换所有泵组件；</w:t>
      </w:r>
    </w:p>
    <w:p w14:paraId="1331E7A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（3）认真填写每年运行维护记录表。</w:t>
      </w:r>
    </w:p>
    <w:p w14:paraId="3105EB39">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4.1.7日常运行维护记录</w:t>
      </w:r>
    </w:p>
    <w:p w14:paraId="218747E2">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应建立站点维护档案，将站点的运行过程和运行事件进行详细记录，并进行归档管理。日常运维中使用运行管理相关记录至少应包括：</w:t>
      </w:r>
    </w:p>
    <w:p w14:paraId="38BA5F0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（1）站点运行维护记录；</w:t>
      </w:r>
    </w:p>
    <w:p w14:paraId="7F247CE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（2）颗粒物监测仪校准检查记录；</w:t>
      </w:r>
    </w:p>
    <w:p w14:paraId="798B50B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（3）颗粒物监测系统仪器设备维修记录；</w:t>
      </w:r>
    </w:p>
    <w:p w14:paraId="5C65905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（4）颗粒物监测系统备品备件管理记录；</w:t>
      </w:r>
    </w:p>
    <w:p w14:paraId="2992A010">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（5）站点主要消耗耗材使用记录；</w:t>
      </w:r>
    </w:p>
    <w:p w14:paraId="16B28FD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（6）标准物质使用记录；</w:t>
      </w:r>
    </w:p>
    <w:p w14:paraId="4A50680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（7）站点机柜内外环境检查记录；</w:t>
      </w:r>
    </w:p>
    <w:p w14:paraId="2050EDC5">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（8）颗粒物监测系统仪器资料保管清单；</w:t>
      </w:r>
    </w:p>
    <w:p w14:paraId="74BCB04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（9）挪点各设备拆除、安装管理记录；</w:t>
      </w:r>
    </w:p>
    <w:p w14:paraId="054DCE4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投标人须在投标文件中提供以上记录表格。</w:t>
      </w:r>
    </w:p>
    <w:p w14:paraId="20DCD23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4.1.8其他要求</w:t>
      </w:r>
    </w:p>
    <w:p w14:paraId="54019BC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（1）运维所使用耗材、备件要求为原厂耗材及备件；</w:t>
      </w:r>
    </w:p>
    <w:p w14:paraId="456EC696">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（2）应及时制定每月工作计划，并严格按计划执行，若有变更及时通知采购单位；</w:t>
      </w:r>
    </w:p>
    <w:p w14:paraId="4263F03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（3）运维单位需保证满足环保部门对</w:t>
      </w:r>
      <w:r>
        <w:rPr>
          <w:rFonts w:hint="eastAsia" w:ascii="宋体" w:hAnsi="宋体" w:eastAsia="宋体" w:cs="宋体"/>
          <w:b w:val="0"/>
          <w:bCs w:val="0"/>
          <w:color w:val="auto"/>
          <w:sz w:val="24"/>
          <w:szCs w:val="24"/>
          <w:highlight w:val="none"/>
          <w:lang w:val="en-US" w:eastAsia="zh-CN"/>
        </w:rPr>
        <w:t>仪器设备故障的响应时间的要求，当仪器设备每日6时～23时出现故障，</w:t>
      </w:r>
      <w:r>
        <w:rPr>
          <w:rFonts w:hint="eastAsia" w:ascii="宋体" w:hAnsi="宋体" w:eastAsia="宋体" w:cs="宋体"/>
          <w:b w:val="0"/>
          <w:bCs w:val="0"/>
          <w:color w:val="auto"/>
          <w:sz w:val="24"/>
          <w:szCs w:val="24"/>
          <w:highlight w:val="none"/>
          <w:lang w:val="en-US" w:eastAsia="zh-CN"/>
        </w:rPr>
        <w:t>应在1小时内响应，2小时内到达现场解决</w:t>
      </w:r>
      <w:r>
        <w:rPr>
          <w:rFonts w:hint="eastAsia" w:ascii="宋体" w:hAnsi="宋体" w:eastAsia="宋体" w:cs="宋体"/>
          <w:b w:val="0"/>
          <w:bCs w:val="0"/>
          <w:color w:val="auto"/>
          <w:sz w:val="24"/>
          <w:szCs w:val="24"/>
          <w:highlight w:val="none"/>
          <w:lang w:val="en-US" w:eastAsia="zh-CN"/>
        </w:rPr>
        <w:t>（通信线路、电力线路故障除外，但应及时与相关部门联系积极解决）。当仪器设备每日23时～次日6时出现故障，应在次日10时前到达现场解决（通信线路、电力线路故障除外，但应及时与相关部门联系积极解决）。若仪器故障无法排除，运维单位必须在48小时内提供并更换相应的备机，保证自动站正常运行；</w:t>
      </w:r>
    </w:p>
    <w:p w14:paraId="4B70E5C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（4）严禁擅自改变采样管路连接方式和更改仪器参数设置；</w:t>
      </w:r>
    </w:p>
    <w:p w14:paraId="38C76A9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（5）运维单位须每月5日前提交各站点上一月的运维记录纸质报表。</w:t>
      </w:r>
    </w:p>
    <w:p w14:paraId="5E01D63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  质量控制要求</w:t>
      </w:r>
      <w:bookmarkEnd w:id="11"/>
      <w:bookmarkEnd w:id="12"/>
      <w:bookmarkEnd w:id="13"/>
    </w:p>
    <w:p w14:paraId="39426B92">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中标人需认真落实质量管理制度，做好相应记录。</w:t>
      </w:r>
    </w:p>
    <w:p w14:paraId="6365F2CE">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4.2.1量值溯源要求</w:t>
      </w:r>
    </w:p>
    <w:p w14:paraId="1B086C1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运维单位应将运维所使用的流量计、温度计、气压计、湿度计、风速风向仪等标准质控器具溯源到标准设备，由市级及以上计量部门出具鉴定报告。</w:t>
      </w:r>
    </w:p>
    <w:p w14:paraId="6E8257E2">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4.2.2日常质量控制要求</w:t>
      </w:r>
    </w:p>
    <w:p w14:paraId="3893E8D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监测仪在以下情况下需进行校准：</w:t>
      </w:r>
    </w:p>
    <w:p w14:paraId="35770B7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（1）挪点移动时；</w:t>
      </w:r>
    </w:p>
    <w:p w14:paraId="13D34E5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（2）工地现场比对时；</w:t>
      </w:r>
    </w:p>
    <w:p w14:paraId="682F7B9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（3）进行可能影响校准结果的维修或维护后；</w:t>
      </w:r>
    </w:p>
    <w:p w14:paraId="2234881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（4）监测仪暂停工作一段时间后；</w:t>
      </w:r>
    </w:p>
    <w:p w14:paraId="108332B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（5）有迹象表明监测仪器工作不正常或校准结果出现变化。</w:t>
      </w:r>
    </w:p>
    <w:p w14:paraId="294CCA51">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4.2.3质量检查</w:t>
      </w:r>
    </w:p>
    <w:p w14:paraId="665DE6B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运维单位必须接受</w:t>
      </w:r>
      <w:r>
        <w:rPr>
          <w:rFonts w:hint="eastAsia" w:ascii="宋体" w:hAnsi="宋体" w:eastAsia="宋体" w:cs="宋体"/>
          <w:b w:val="0"/>
          <w:bCs w:val="0"/>
          <w:color w:val="auto"/>
          <w:sz w:val="24"/>
          <w:szCs w:val="24"/>
          <w:highlight w:val="none"/>
          <w:lang w:val="en-US" w:eastAsia="zh-CN"/>
        </w:rPr>
        <w:t>采购人及</w:t>
      </w:r>
      <w:r>
        <w:rPr>
          <w:rFonts w:hint="eastAsia" w:ascii="宋体" w:hAnsi="宋体" w:eastAsia="宋体" w:cs="宋体"/>
          <w:b w:val="0"/>
          <w:bCs w:val="0"/>
          <w:color w:val="auto"/>
          <w:sz w:val="24"/>
          <w:szCs w:val="24"/>
          <w:highlight w:val="none"/>
          <w:lang w:val="en-US" w:eastAsia="zh-CN"/>
        </w:rPr>
        <w:t>其委托单位和人员的质量检查。</w:t>
      </w:r>
    </w:p>
    <w:p w14:paraId="14F8757A">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4.2.4</w:t>
      </w:r>
      <w:bookmarkStart w:id="14" w:name="_Toc403547773"/>
      <w:bookmarkStart w:id="15" w:name="_Toc403547826"/>
      <w:bookmarkStart w:id="16" w:name="_Toc405479914"/>
      <w:r>
        <w:rPr>
          <w:rFonts w:hint="eastAsia" w:ascii="宋体" w:hAnsi="宋体" w:eastAsia="宋体" w:cs="宋体"/>
          <w:b/>
          <w:bCs/>
          <w:color w:val="auto"/>
          <w:sz w:val="24"/>
          <w:szCs w:val="24"/>
          <w:highlight w:val="none"/>
          <w:lang w:val="en-US" w:eastAsia="zh-CN"/>
        </w:rPr>
        <w:t>质量控制资料整理</w:t>
      </w:r>
    </w:p>
    <w:p w14:paraId="5F11A00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各种技术与质量文件均保持现行有效，可根据管理需要进行调整或修订。以纸质表格的形式，将巡检记录、维修维护记录、日常检查等质量保证与质量控制记录按要求及时进行填写。</w:t>
      </w:r>
    </w:p>
    <w:p w14:paraId="04227D0D">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4.2.5质量控制资料提交</w:t>
      </w:r>
    </w:p>
    <w:p w14:paraId="2C256B4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运维单位须每月5日前将各站点上一月的质控记录的纸质表格提交至采购单位。</w:t>
      </w:r>
    </w:p>
    <w:p w14:paraId="0FAC1713">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4.3 系统设备维修要求</w:t>
      </w:r>
      <w:bookmarkEnd w:id="14"/>
      <w:bookmarkEnd w:id="15"/>
      <w:bookmarkEnd w:id="16"/>
    </w:p>
    <w:p w14:paraId="0AA3BDB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4.3.1维修更换工作要求</w:t>
      </w:r>
    </w:p>
    <w:p w14:paraId="03439BF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运维单位负责系统所有设备和仪器的维护、维修和部件更换。</w:t>
      </w:r>
    </w:p>
    <w:p w14:paraId="1B733CEC">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4.3.2设备维修质量控制要求</w:t>
      </w:r>
    </w:p>
    <w:p w14:paraId="6A95E014">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监测仪器修复后，当其监测性能受到影响时，采用关键参数检查、颗粒物流量测定、标准膜测试或手工比对等方法进行测试。</w:t>
      </w:r>
    </w:p>
    <w:p w14:paraId="0902C04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仪器大修后，颗粒物监测设备应开展手工比对测试，测试应严格按照《环境空气颗粒物（PM10和PM2.5）连续自动监测系统运行和质控技术规范》（HJ 817-2018）中准确度审核要求实施，并遵守《环境空气中PM10和PM2.5的测定 重量法》（HJ618－2011）和《环境空气质量手工监测技术规范》（HJ 194-2017）等相关规范要求，同时提交相应报告。</w:t>
      </w:r>
    </w:p>
    <w:p w14:paraId="00886498">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4.4人员、车辆、设备配备、挪点及技术标准要求</w:t>
      </w:r>
    </w:p>
    <w:p w14:paraId="0D89C6FA">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4.4.1人员配</w:t>
      </w:r>
      <w:r>
        <w:rPr>
          <w:rFonts w:hint="eastAsia" w:ascii="宋体" w:hAnsi="宋体" w:eastAsia="宋体" w:cs="宋体"/>
          <w:b/>
          <w:bCs/>
          <w:color w:val="auto"/>
          <w:sz w:val="24"/>
          <w:szCs w:val="24"/>
          <w:highlight w:val="none"/>
          <w:lang w:val="en-US" w:eastAsia="zh-CN"/>
        </w:rPr>
        <w:t>备要求</w:t>
      </w:r>
    </w:p>
    <w:p w14:paraId="4A2DF57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68套颗粒物自动监测设备分布于西安市多个重点区域和重点道路，运维单位应保证配备的运维技术人员数量与其负责日常维护的站点数量比值不低于</w:t>
      </w:r>
      <w:r>
        <w:rPr>
          <w:rFonts w:hint="eastAsia" w:ascii="宋体" w:hAnsi="宋体" w:eastAsia="宋体" w:cs="宋体"/>
          <w:b w:val="0"/>
          <w:bCs w:val="0"/>
          <w:color w:val="auto"/>
          <w:sz w:val="24"/>
          <w:szCs w:val="24"/>
          <w:highlight w:val="none"/>
          <w:lang w:val="en-US" w:eastAsia="zh-CN"/>
        </w:rPr>
        <w:t>1/9。</w:t>
      </w:r>
      <w:r>
        <w:rPr>
          <w:rFonts w:hint="eastAsia" w:ascii="宋体" w:hAnsi="宋体" w:eastAsia="宋体" w:cs="宋体"/>
          <w:b w:val="0"/>
          <w:bCs w:val="0"/>
          <w:color w:val="auto"/>
          <w:sz w:val="24"/>
          <w:szCs w:val="24"/>
          <w:highlight w:val="none"/>
          <w:lang w:val="en-US" w:eastAsia="zh-CN"/>
        </w:rPr>
        <w:t>本项目需安排1名项目负责人进行项目管理，另至少安排1名人员进行站点质控管理，配合</w:t>
      </w:r>
      <w:r>
        <w:rPr>
          <w:rFonts w:hint="eastAsia" w:ascii="宋体" w:hAnsi="宋体" w:eastAsia="宋体" w:cs="宋体"/>
          <w:b w:val="0"/>
          <w:bCs w:val="0"/>
          <w:color w:val="auto"/>
          <w:sz w:val="24"/>
          <w:szCs w:val="24"/>
          <w:highlight w:val="none"/>
          <w:lang w:val="en-US" w:eastAsia="zh-CN"/>
        </w:rPr>
        <w:t>采购人进</w:t>
      </w:r>
      <w:r>
        <w:rPr>
          <w:rFonts w:hint="eastAsia" w:ascii="宋体" w:hAnsi="宋体" w:eastAsia="宋体" w:cs="宋体"/>
          <w:b w:val="0"/>
          <w:bCs w:val="0"/>
          <w:color w:val="auto"/>
          <w:sz w:val="24"/>
          <w:szCs w:val="24"/>
          <w:highlight w:val="none"/>
          <w:lang w:val="en-US" w:eastAsia="zh-CN"/>
        </w:rPr>
        <w:t>行检查考核。</w:t>
      </w:r>
    </w:p>
    <w:p w14:paraId="4557030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运行维护单位投入本项目运维的全部专业技术人员须取得省级及以上相关部门颁发的空气站自动监测培训上岗证。</w:t>
      </w:r>
    </w:p>
    <w:p w14:paraId="118C4B67">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4.4.2车辆配置要求</w:t>
      </w:r>
    </w:p>
    <w:p w14:paraId="10F2EBF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运维单位应保证配备的运维保障车辆数量不少于</w:t>
      </w:r>
      <w:r>
        <w:rPr>
          <w:rFonts w:hint="eastAsia" w:ascii="宋体" w:hAnsi="宋体" w:eastAsia="宋体" w:cs="宋体"/>
          <w:b w:val="0"/>
          <w:bCs w:val="0"/>
          <w:color w:val="auto"/>
          <w:sz w:val="24"/>
          <w:szCs w:val="24"/>
          <w:highlight w:val="none"/>
          <w:lang w:val="en-US" w:eastAsia="zh-CN"/>
        </w:rPr>
        <w:t>5辆</w:t>
      </w:r>
      <w:r>
        <w:rPr>
          <w:rFonts w:hint="eastAsia" w:ascii="宋体" w:hAnsi="宋体" w:eastAsia="宋体" w:cs="宋体"/>
          <w:b w:val="0"/>
          <w:bCs w:val="0"/>
          <w:color w:val="auto"/>
          <w:sz w:val="24"/>
          <w:szCs w:val="24"/>
          <w:highlight w:val="none"/>
          <w:lang w:val="en-US" w:eastAsia="zh-CN"/>
        </w:rPr>
        <w:t>，其中应包含：</w:t>
      </w:r>
    </w:p>
    <w:p w14:paraId="23820D2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运维巡检用车4辆：主要用于站点的日常巡查维护、备件耗材运输、工具运输；</w:t>
      </w:r>
    </w:p>
    <w:p w14:paraId="4953E70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应急用车1：主要用于各种计量器具、质控器具的检定运输，以及站点的应急故障处理和配合采购单位进行检查考核等。</w:t>
      </w:r>
    </w:p>
    <w:p w14:paraId="23545119">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4.4.3备机配置要求</w:t>
      </w:r>
    </w:p>
    <w:p w14:paraId="7ABAB35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（1）运维单位须配置不少于4台备机满足运维需求，包括颗粒物监测仪、气象单元、噪声单元、监控视频模块等，备机须使用同品牌型号设备。</w:t>
      </w:r>
    </w:p>
    <w:p w14:paraId="1A2B097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（2）运维单位需为本项目至少配备2台笔记本计算机，用于现场运维和质控工作。</w:t>
      </w:r>
    </w:p>
    <w:p w14:paraId="7D7E7B2F">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4.4.4备件配置需求</w:t>
      </w:r>
    </w:p>
    <w:p w14:paraId="7A0D618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运维单位应按不少于半年的使用量配置运维所需备件（原厂）。备件应做好出入库登记，在备件使用过程中，要遵循先备先用的原则。</w:t>
      </w:r>
    </w:p>
    <w:p w14:paraId="6E07B0A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本项目涉及备件包括但不限于以下内容：</w:t>
      </w:r>
    </w:p>
    <w:p w14:paraId="3A33D0A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（1）颗粒物监测仪器备件：计数器、流量控制器、流量电磁阀、温湿度传感器、颗粒物加热杆、采样泵、24V电源、开关电源、保险管等；</w:t>
      </w:r>
    </w:p>
    <w:p w14:paraId="073A7565">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（2）其他备品备件：LED显示屏、4g路由器、空调电机、空调主板、稳压器、温控仪、监控球机、电表、空开、电源适配器、插线板等。</w:t>
      </w:r>
    </w:p>
    <w:p w14:paraId="17E13527">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4.4.5耗材配置要求</w:t>
      </w:r>
    </w:p>
    <w:p w14:paraId="42F2E5E4">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运维单位应按不少于半年的消耗量配置运维所需耗材（原厂）。耗材应做好出入库登记，在耗材使用过程中，要遵循先备先用的原则。</w:t>
      </w:r>
    </w:p>
    <w:p w14:paraId="1109C35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本项目涉及耗材包括但不限于以下内容：</w:t>
      </w:r>
    </w:p>
    <w:p w14:paraId="0F8FE7F5">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（1）PM10监测仪：纸带、O型密封圈、软管、泵维护包等；</w:t>
      </w:r>
    </w:p>
    <w:p w14:paraId="7B2899F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（2）其他耗材：中性透明玻璃胶、不锈钢除锈剂、酒精湿巾、黄油等。</w:t>
      </w:r>
    </w:p>
    <w:p w14:paraId="1A3366A4">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4.4.6校准设配置要求</w:t>
      </w:r>
    </w:p>
    <w:p w14:paraId="6FFCFEF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运维单位需配备必要的质量校准设备：</w:t>
      </w:r>
    </w:p>
    <w:p w14:paraId="2B33B43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（1）至少每9个站点配备1套流量计、1台一级压力计、1台一级温湿度计；</w:t>
      </w:r>
    </w:p>
    <w:p w14:paraId="4E62042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（2）至少每9个子站配备一套标准膜片（用于颗粒物监测仪标准膜标定检查校准）；</w:t>
      </w:r>
    </w:p>
    <w:p w14:paraId="09962A7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（3）运维单位应将运维所使用的流量计、温度计、气压计、湿度计、风速风向仪等标准质控器具溯源到标准设备，由市级及以上计量部门出具鉴定报告。</w:t>
      </w:r>
    </w:p>
    <w:p w14:paraId="77BEA4F7">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bookmarkStart w:id="17" w:name="_Toc88119996"/>
      <w:bookmarkStart w:id="18" w:name="_Toc6767_WPSOffice_Level2"/>
      <w:bookmarkStart w:id="19" w:name="_Toc83659339"/>
      <w:bookmarkStart w:id="20" w:name="_Toc13054234"/>
      <w:bookmarkStart w:id="21" w:name="_Toc29897"/>
      <w:r>
        <w:rPr>
          <w:rFonts w:hint="eastAsia" w:ascii="宋体" w:hAnsi="宋体" w:eastAsia="宋体" w:cs="宋体"/>
          <w:b/>
          <w:bCs/>
          <w:color w:val="auto"/>
          <w:sz w:val="24"/>
          <w:szCs w:val="24"/>
          <w:highlight w:val="none"/>
          <w:lang w:val="en-US" w:eastAsia="zh-CN"/>
        </w:rPr>
        <w:t>4.4.7挪点设备拆除、安装、比对要求</w:t>
      </w:r>
    </w:p>
    <w:p w14:paraId="7CA5BFE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（1）拆除时，各设备按操作规范拆除、装箱、运输，完成旧站点垃圾清运、地面恢复等工作；</w:t>
      </w:r>
    </w:p>
    <w:p w14:paraId="7E7BF432">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（2）安装时，按流程规范施工，保证土建、人员、电力供应需求和安全，以及植被破坏赔偿，绿化恢复等，确保站点各设备实施稳定运行；</w:t>
      </w:r>
    </w:p>
    <w:p w14:paraId="2DF74B7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（3）按要求对工地、重点区域或重点方向开展管控性监测作业，依技术规范进行现场数据比对及抽检工作；</w:t>
      </w:r>
    </w:p>
    <w:p w14:paraId="21726F2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（4）认真填写挪点情况记录统计表。</w:t>
      </w:r>
    </w:p>
    <w:p w14:paraId="49EC395B">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4.4.8空气质量连续监测（AQMS）技术服务遵循的标准及规范</w:t>
      </w:r>
      <w:bookmarkEnd w:id="17"/>
      <w:bookmarkEnd w:id="18"/>
      <w:bookmarkEnd w:id="19"/>
      <w:bookmarkEnd w:id="20"/>
      <w:bookmarkEnd w:id="21"/>
    </w:p>
    <w:p w14:paraId="76EB61F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lang w:val="en-US" w:eastAsia="zh-CN"/>
        </w:rPr>
        <w:t>；</w:t>
      </w:r>
    </w:p>
    <w:p w14:paraId="36148C1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《环境监测质量管理技术导则》（HJ 630-2011）；</w:t>
      </w:r>
    </w:p>
    <w:p w14:paraId="184DBBF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《环境空气颗粒物（PM10和PM2.5）连续自动监测系统安装和验收技术规范》（HJ 655-2013）；</w:t>
      </w:r>
    </w:p>
    <w:p w14:paraId="3B731CC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《环境空气颗粒物（PM10和PM2.5）连续自动监测系统技术要求及检测方法》（HJ 653-2013）；</w:t>
      </w:r>
    </w:p>
    <w:p w14:paraId="4BF3756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《环境空气颗粒物（PM10和PM2.5）连续自动监测系统运行和质控技术规范》（HJ 817-2018）；</w:t>
      </w:r>
    </w:p>
    <w:p w14:paraId="3C35C1D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《环境空气质量手工监测技术规范》（HJ 194-2017）；</w:t>
      </w:r>
    </w:p>
    <w:p w14:paraId="4160AFD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《环境空气质量评价技术规范（试行）》（HJ 663-2013）；</w:t>
      </w:r>
    </w:p>
    <w:p w14:paraId="28B05F5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《环境空气质量指数（AQI）技术规定（试行）》（HJ 633-2012）；</w:t>
      </w:r>
    </w:p>
    <w:p w14:paraId="5C1FE0E0">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《环境空气PM10和PM2.5的测定 重量法》（HJ 618－2011）。</w:t>
      </w:r>
    </w:p>
    <w:p w14:paraId="2D4D8D26">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其他规范及要求：中华人民共和国环境保护行业标准中规定的涉及空气质量连续自动监测内容的要求；生态环境部印发《城市环境空气质量排名技术规定》；省、市级生态环境部门的管理要求和工作要求。</w:t>
      </w:r>
    </w:p>
    <w:p w14:paraId="41A4B8B7">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bookmarkStart w:id="22" w:name="_Toc405479915"/>
      <w:bookmarkStart w:id="23" w:name="_Toc55201348"/>
      <w:r>
        <w:rPr>
          <w:rFonts w:hint="eastAsia" w:ascii="宋体" w:hAnsi="宋体" w:eastAsia="宋体" w:cs="宋体"/>
          <w:b/>
          <w:bCs/>
          <w:color w:val="auto"/>
          <w:sz w:val="24"/>
          <w:szCs w:val="24"/>
          <w:highlight w:val="none"/>
          <w:lang w:val="en-US" w:eastAsia="zh-CN"/>
        </w:rPr>
        <w:t>（五）站点交接</w:t>
      </w:r>
      <w:bookmarkEnd w:id="22"/>
      <w:r>
        <w:rPr>
          <w:rFonts w:hint="eastAsia" w:ascii="宋体" w:hAnsi="宋体" w:eastAsia="宋体" w:cs="宋体"/>
          <w:b/>
          <w:bCs/>
          <w:color w:val="auto"/>
          <w:sz w:val="24"/>
          <w:szCs w:val="24"/>
          <w:highlight w:val="none"/>
          <w:lang w:val="en-US" w:eastAsia="zh-CN"/>
        </w:rPr>
        <w:t>内容</w:t>
      </w:r>
      <w:bookmarkEnd w:id="23"/>
    </w:p>
    <w:p w14:paraId="7390455D">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5.1勘查安装现场</w:t>
      </w:r>
    </w:p>
    <w:p w14:paraId="4A9D8C9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对所有设备安装现场进行勘察，了解各现场工作条件是否符合相关标准要求、自动监测设备是否正常运行、各项指标是否满足标准要求，总结各个监测设备安装现场情况、存在的问题，根据勘察结果提出整改的建议，并为各个监测设备建立档案。</w:t>
      </w:r>
    </w:p>
    <w:p w14:paraId="411F64E5">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5.2完善设备资料</w:t>
      </w:r>
    </w:p>
    <w:p w14:paraId="2DCD333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站点自动监测设备的现场资料，主要有：设备的中文说明书、维护手册、技术图纸、国家认证检测报告与合格证（复印件）、设备自带的软件备份、安装厂家的调试报告。</w:t>
      </w:r>
    </w:p>
    <w:p w14:paraId="4A29EFB1">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5.3设备检修调试</w:t>
      </w:r>
    </w:p>
    <w:p w14:paraId="2FD9ACC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根据国家相关标准，对已安装的自动监测设备进行调试，并对各个主要技术指标进行检测，检测结果必须符合国家相关标准要求。</w:t>
      </w:r>
    </w:p>
    <w:p w14:paraId="18530195">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5.4调取运行数据</w:t>
      </w:r>
    </w:p>
    <w:p w14:paraId="10F2563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运维单位在设备安装现场将调取设备运行前一个月连续的历史数据，分析并判断数据能否正确反映当地实际监测状况，从而判断设备是否工作正常。</w:t>
      </w:r>
    </w:p>
    <w:p w14:paraId="3D5160DF">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5.5接收运行设备</w:t>
      </w:r>
    </w:p>
    <w:p w14:paraId="574997D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运维单位在现场确认自动监测设备运行正常、测试结果符合要求，运维单位将正式接收自动监测设备。</w:t>
      </w:r>
    </w:p>
    <w:p w14:paraId="118A6CCC">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5.6建立设备档案</w:t>
      </w:r>
    </w:p>
    <w:p w14:paraId="6A264CF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根据勘察情况、设备测试数据和测试结果，运维单位将对每套自动监测设备建立一个单独的档案，将每次维护的表格都存在这个档案中。在运维移交时，将这些设备档案交给后续的运维单位。</w:t>
      </w:r>
      <w:bookmarkStart w:id="24" w:name="_Toc27350"/>
    </w:p>
    <w:bookmarkEnd w:id="24"/>
    <w:p w14:paraId="252951BB">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bookmarkStart w:id="25" w:name="_Toc55201349"/>
      <w:bookmarkStart w:id="26" w:name="_Toc405479916"/>
      <w:r>
        <w:rPr>
          <w:rFonts w:hint="eastAsia" w:ascii="宋体" w:hAnsi="宋体" w:eastAsia="宋体" w:cs="宋体"/>
          <w:b/>
          <w:bCs/>
          <w:color w:val="auto"/>
          <w:sz w:val="24"/>
          <w:szCs w:val="24"/>
          <w:highlight w:val="none"/>
          <w:lang w:val="en-US" w:eastAsia="zh-CN"/>
        </w:rPr>
        <w:t>（留）监督考核要求</w:t>
      </w:r>
      <w:bookmarkEnd w:id="25"/>
      <w:bookmarkEnd w:id="26"/>
    </w:p>
    <w:p w14:paraId="2DD21B8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每月对运维单位绩效考核一次，考核采取百分制、单站考核的方式，主要包括单个站点数据有效采集率、数据质控合格率（以下简称“两率”）以及运行维护的内容。</w:t>
      </w:r>
    </w:p>
    <w:p w14:paraId="55F797B0">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bookmarkStart w:id="27" w:name="_Toc20790"/>
      <w:bookmarkStart w:id="28" w:name="_Toc21388_WPSOffice_Level2"/>
      <w:bookmarkStart w:id="29" w:name="_Toc13054237"/>
      <w:r>
        <w:rPr>
          <w:rFonts w:hint="eastAsia" w:ascii="宋体" w:hAnsi="宋体" w:eastAsia="宋体" w:cs="宋体"/>
          <w:b/>
          <w:bCs/>
          <w:color w:val="auto"/>
          <w:sz w:val="24"/>
          <w:szCs w:val="24"/>
          <w:highlight w:val="none"/>
          <w:lang w:val="en-US" w:eastAsia="zh-CN"/>
        </w:rPr>
        <w:t>6.1 考核办法</w:t>
      </w:r>
      <w:bookmarkEnd w:id="27"/>
      <w:bookmarkEnd w:id="28"/>
      <w:bookmarkEnd w:id="29"/>
    </w:p>
    <w:p w14:paraId="27E868D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数据有效采集率指考核时段内各监测项目实际接收的小时值数量总和除以应获得的小时值数量总和。</w:t>
      </w:r>
    </w:p>
    <w:p w14:paraId="45407A4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数据质控合格率指考核时段内各监测项目实际获取的质控合格的小时值数量总和除以应获得的小时值数量总和。</w:t>
      </w:r>
    </w:p>
    <w:p w14:paraId="6B42695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每日各项目应获得小时值数量均按24个计，考核时段天数按考核时段内日历天数计。</w:t>
      </w:r>
    </w:p>
    <w:p w14:paraId="2BABF52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除固定点位监测设备外，参与市局等其他管理单位交办临时性监测任务（参与工地设备比对，驾校监测等）的站点，以实际监测数据计算。</w:t>
      </w:r>
    </w:p>
    <w:p w14:paraId="6DD97E24">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（1）数据有效性：</w:t>
      </w:r>
    </w:p>
    <w:p w14:paraId="6183DE65">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考核时段内单个站点任一监测项目有效数据量应满足《环境空气质量标准》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lang w:val="en-US" w:eastAsia="zh-CN"/>
        </w:rPr>
        <w:t>中规定的污染物浓度数据有效性的最低要求，否则考核总分为0分；</w:t>
      </w:r>
    </w:p>
    <w:p w14:paraId="2C10103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单站设备数据有效采集率必须高于90%（含），否则不予支付运维费用；单站设备数据质控合格率必须高于80%（含），否则不予支付运维费用。计算应获得的小时值数量总和，应剔除客观停电、设备遭受人为破坏未能正常运行等原因。</w:t>
      </w:r>
    </w:p>
    <w:p w14:paraId="00A981C8">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（2）两率及运行维护：</w:t>
      </w:r>
    </w:p>
    <w:p w14:paraId="4854EC9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bookmarkStart w:id="30" w:name="_Toc29642_WPSOffice_Level3"/>
      <w:r>
        <w:rPr>
          <w:rFonts w:hint="eastAsia" w:ascii="宋体" w:hAnsi="宋体" w:eastAsia="宋体" w:cs="宋体"/>
          <w:b w:val="0"/>
          <w:bCs w:val="0"/>
          <w:color w:val="auto"/>
          <w:sz w:val="24"/>
          <w:szCs w:val="24"/>
          <w:highlight w:val="none"/>
          <w:lang w:val="en-US" w:eastAsia="zh-CN"/>
        </w:rPr>
        <w:t>1）两率部分（60分）</w:t>
      </w:r>
      <w:bookmarkEnd w:id="30"/>
    </w:p>
    <w:p w14:paraId="26A9E112">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单站设备数据质控合格率高于90%（含）的，得60分；80%（含）-90%的，得分为60×（数据有效率/90%）。</w:t>
      </w:r>
      <w:bookmarkStart w:id="31" w:name="_Toc3611_WPSOffice_Level3"/>
    </w:p>
    <w:p w14:paraId="7534F75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2）运行维护部分（30分）</w:t>
      </w:r>
      <w:bookmarkEnd w:id="31"/>
    </w:p>
    <w:p w14:paraId="610ED9A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运行维护部分</w:t>
      </w:r>
      <w:r>
        <w:rPr>
          <w:rFonts w:hint="eastAsia" w:ascii="宋体" w:hAnsi="宋体" w:eastAsia="宋体" w:cs="宋体"/>
          <w:b w:val="0"/>
          <w:bCs w:val="0"/>
          <w:color w:val="auto"/>
          <w:sz w:val="24"/>
          <w:szCs w:val="24"/>
          <w:highlight w:val="none"/>
          <w:lang w:val="en-US" w:eastAsia="zh-CN"/>
        </w:rPr>
        <w:t>由采购人组织检查考核，每月抽10%至20%站点进行运行维护部分现场检查，以现场检查得分平均分计为所有站点本月运行维护部分得</w:t>
      </w:r>
      <w:r>
        <w:rPr>
          <w:rFonts w:hint="eastAsia" w:ascii="宋体" w:hAnsi="宋体" w:eastAsia="宋体" w:cs="宋体"/>
          <w:b w:val="0"/>
          <w:bCs w:val="0"/>
          <w:color w:val="auto"/>
          <w:sz w:val="24"/>
          <w:szCs w:val="24"/>
          <w:highlight w:val="none"/>
          <w:lang w:val="en-US" w:eastAsia="zh-CN"/>
        </w:rPr>
        <w:t>分。检查内容包括日常站点环境保障效果、采样系统维护效果、仪器日常维护效果、质量控制效果、通讯系统维护效果（数据上传发布情况）、人员与档案记录管理情况等。</w:t>
      </w:r>
    </w:p>
    <w:p w14:paraId="1AB97B2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检查满分100分，运维得分=检查得分×0.3分。</w:t>
      </w:r>
    </w:p>
    <w:p w14:paraId="5212197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3）运维任务完成及异常情况处理情况（10分）</w:t>
      </w:r>
    </w:p>
    <w:p w14:paraId="6739934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单站运维任务完成率100%，并且站点异常情况处理率达100%的，得10分；两项未达100%的，得分为10×（任务完成及异常情况处理率/100%）</w:t>
      </w:r>
    </w:p>
    <w:p w14:paraId="6AF36FA0">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4）考核总分（100分）</w:t>
      </w:r>
    </w:p>
    <w:p w14:paraId="2F2D6E6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考核总分=两率得分+运维得分+任务完成及异常情况处理得分。</w:t>
      </w:r>
    </w:p>
    <w:p w14:paraId="0F4C745C">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051EA09">
      <w:pPr>
        <w:jc w:val="center"/>
        <w:rPr>
          <w:rFonts w:hint="eastAsia" w:ascii="宋体" w:hAnsi="宋体" w:eastAsia="宋体" w:cs="宋体"/>
          <w:b/>
          <w:color w:val="auto"/>
          <w:sz w:val="28"/>
          <w:szCs w:val="28"/>
          <w:highlight w:val="none"/>
        </w:rPr>
        <w:sectPr>
          <w:pgSz w:w="11905" w:h="16838"/>
          <w:pgMar w:top="1247" w:right="1247" w:bottom="1213" w:left="1247" w:header="851" w:footer="680" w:gutter="0"/>
          <w:pgNumType w:fmt="decimal"/>
          <w:cols w:space="0" w:num="1"/>
          <w:rtlGutter w:val="0"/>
          <w:docGrid w:linePitch="312" w:charSpace="0"/>
        </w:sectPr>
      </w:pPr>
    </w:p>
    <w:p w14:paraId="269A5224">
      <w:pPr>
        <w:adjustRightInd w:val="0"/>
        <w:spacing w:line="360" w:lineRule="auto"/>
        <w:ind w:firstLine="482" w:firstLineChars="200"/>
        <w:jc w:val="center"/>
        <w:textAlignment w:val="baseline"/>
        <w:rPr>
          <w:rFonts w:hint="eastAsia" w:ascii="宋体" w:hAnsi="宋体" w:eastAsia="宋体" w:cs="宋体"/>
          <w:b/>
          <w:color w:val="auto"/>
          <w:sz w:val="28"/>
          <w:szCs w:val="28"/>
          <w:highlight w:val="none"/>
        </w:rPr>
      </w:pPr>
      <w:r>
        <w:rPr>
          <w:rFonts w:hint="eastAsia" w:ascii="宋体" w:hAnsi="宋体" w:eastAsia="宋体" w:cs="宋体"/>
          <w:b/>
          <w:bCs/>
          <w:color w:val="auto"/>
          <w:sz w:val="24"/>
          <w:szCs w:val="24"/>
          <w:highlight w:val="none"/>
          <w:lang w:val="en-US" w:eastAsia="zh-CN"/>
        </w:rPr>
        <w:t>重点区域道路扬尘自动监测站点运维现场检查评分表</w:t>
      </w:r>
    </w:p>
    <w:p w14:paraId="51D4682C">
      <w:pPr>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站点位置</w:t>
      </w: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rPr>
        <w:t>区（县/管委会）</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rPr>
        <w:t>街（路）</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监测站点名称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01E17B22">
      <w:pPr>
        <w:rPr>
          <w:rFonts w:hint="eastAsia" w:ascii="宋体" w:hAnsi="宋体" w:eastAsia="宋体" w:cs="宋体"/>
          <w:color w:val="auto"/>
          <w:sz w:val="24"/>
          <w:szCs w:val="24"/>
          <w:highlight w:val="none"/>
          <w:u w:val="single"/>
        </w:rPr>
      </w:pPr>
    </w:p>
    <w:p w14:paraId="1671CCA6">
      <w:pPr>
        <w:rPr>
          <w:rFonts w:hint="eastAsia" w:ascii="宋体" w:hAnsi="宋体" w:eastAsia="宋体" w:cs="宋体"/>
          <w:b/>
          <w:color w:val="auto"/>
          <w:sz w:val="22"/>
          <w:highlight w:val="none"/>
        </w:rPr>
      </w:pPr>
      <w:r>
        <w:rPr>
          <w:rFonts w:hint="eastAsia" w:ascii="宋体" w:hAnsi="宋体" w:eastAsia="宋体" w:cs="宋体"/>
          <w:b/>
          <w:color w:val="auto"/>
          <w:sz w:val="24"/>
          <w:szCs w:val="24"/>
          <w:highlight w:val="none"/>
        </w:rPr>
        <w:t>检查日期</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rPr>
        <w:t>检查人员：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运维企业及运维人员</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2"/>
          <w:highlight w:val="none"/>
        </w:rPr>
        <w:t xml:space="preserve">                                               </w:t>
      </w:r>
      <w:r>
        <w:rPr>
          <w:rFonts w:hint="eastAsia" w:ascii="宋体" w:hAnsi="宋体" w:eastAsia="宋体" w:cs="宋体"/>
          <w:b/>
          <w:color w:val="auto"/>
          <w:sz w:val="22"/>
          <w:highlight w:val="none"/>
        </w:rPr>
        <w:t xml:space="preserve"> </w:t>
      </w:r>
    </w:p>
    <w:tbl>
      <w:tblPr>
        <w:tblStyle w:val="7"/>
        <w:tblpPr w:leftFromText="180" w:rightFromText="180" w:vertAnchor="text" w:horzAnchor="page" w:tblpXSpec="center" w:tblpY="198"/>
        <w:tblOverlap w:val="never"/>
        <w:tblW w:w="15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52"/>
        <w:gridCol w:w="4331"/>
        <w:gridCol w:w="1485"/>
        <w:gridCol w:w="5498"/>
        <w:gridCol w:w="2122"/>
        <w:gridCol w:w="713"/>
      </w:tblGrid>
      <w:tr w14:paraId="177C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59F42692">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检查内容</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54DEC5E7">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检查要点</w:t>
            </w:r>
          </w:p>
        </w:tc>
        <w:tc>
          <w:tcPr>
            <w:tcW w:w="1485" w:type="dxa"/>
            <w:tcBorders>
              <w:top w:val="single" w:color="auto" w:sz="4" w:space="0"/>
              <w:left w:val="single" w:color="auto" w:sz="4" w:space="0"/>
              <w:bottom w:val="single" w:color="auto" w:sz="4" w:space="0"/>
              <w:right w:val="single" w:color="auto" w:sz="4" w:space="0"/>
            </w:tcBorders>
            <w:vAlign w:val="center"/>
          </w:tcPr>
          <w:p w14:paraId="7EB199FE">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单项分值</w:t>
            </w:r>
          </w:p>
        </w:tc>
        <w:tc>
          <w:tcPr>
            <w:tcW w:w="5498" w:type="dxa"/>
            <w:tcBorders>
              <w:top w:val="single" w:color="auto" w:sz="4" w:space="0"/>
              <w:left w:val="single" w:color="auto" w:sz="4" w:space="0"/>
              <w:bottom w:val="single" w:color="auto" w:sz="4" w:space="0"/>
              <w:right w:val="single" w:color="auto" w:sz="4" w:space="0"/>
            </w:tcBorders>
            <w:vAlign w:val="center"/>
          </w:tcPr>
          <w:p w14:paraId="556C181B">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评分标准</w:t>
            </w:r>
          </w:p>
        </w:tc>
        <w:tc>
          <w:tcPr>
            <w:tcW w:w="2122" w:type="dxa"/>
            <w:tcBorders>
              <w:top w:val="single" w:color="auto" w:sz="4" w:space="0"/>
              <w:left w:val="single" w:color="auto" w:sz="4" w:space="0"/>
              <w:bottom w:val="single" w:color="auto" w:sz="4" w:space="0"/>
              <w:right w:val="single" w:color="auto" w:sz="4" w:space="0"/>
            </w:tcBorders>
            <w:vAlign w:val="center"/>
          </w:tcPr>
          <w:p w14:paraId="0411A16D">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检查情况</w:t>
            </w:r>
          </w:p>
        </w:tc>
        <w:tc>
          <w:tcPr>
            <w:tcW w:w="713" w:type="dxa"/>
            <w:tcBorders>
              <w:top w:val="single" w:color="auto" w:sz="4" w:space="0"/>
              <w:left w:val="single" w:color="auto" w:sz="4" w:space="0"/>
              <w:bottom w:val="single" w:color="auto" w:sz="4" w:space="0"/>
              <w:right w:val="single" w:color="auto" w:sz="4" w:space="0"/>
            </w:tcBorders>
            <w:vAlign w:val="center"/>
          </w:tcPr>
          <w:p w14:paraId="13ACF54D">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得分</w:t>
            </w:r>
          </w:p>
        </w:tc>
      </w:tr>
      <w:tr w14:paraId="0349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5544E96D">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1.站点运行环境保障效果</w:t>
            </w:r>
          </w:p>
          <w:p w14:paraId="201252A5">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（10分）</w:t>
            </w:r>
          </w:p>
          <w:p w14:paraId="1C99FF6A">
            <w:pPr>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03296347">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站点内部是否清洁，是否符合要求</w:t>
            </w:r>
          </w:p>
        </w:tc>
        <w:tc>
          <w:tcPr>
            <w:tcW w:w="1485" w:type="dxa"/>
            <w:tcBorders>
              <w:top w:val="single" w:color="auto" w:sz="4" w:space="0"/>
              <w:left w:val="single" w:color="auto" w:sz="4" w:space="0"/>
              <w:bottom w:val="single" w:color="auto" w:sz="4" w:space="0"/>
              <w:right w:val="single" w:color="auto" w:sz="4" w:space="0"/>
            </w:tcBorders>
            <w:vAlign w:val="center"/>
          </w:tcPr>
          <w:p w14:paraId="40B5B1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498" w:type="dxa"/>
            <w:tcBorders>
              <w:top w:val="single" w:color="auto" w:sz="4" w:space="0"/>
              <w:left w:val="single" w:color="auto" w:sz="4" w:space="0"/>
              <w:bottom w:val="single" w:color="auto" w:sz="4" w:space="0"/>
              <w:right w:val="single" w:color="auto" w:sz="4" w:space="0"/>
            </w:tcBorders>
            <w:vAlign w:val="center"/>
          </w:tcPr>
          <w:p w14:paraId="5B3B5B6B">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 站点内部干净，无灰尘； </w:t>
            </w:r>
          </w:p>
          <w:p w14:paraId="1EBEFF26">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②站点物品摆放整齐；无明显异味； </w:t>
            </w:r>
          </w:p>
          <w:p w14:paraId="03791478">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③仪器电源线路、气体线路规整； </w:t>
            </w:r>
          </w:p>
          <w:p w14:paraId="7BB089DB">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④站点内部没有无关的设备及杂物。 </w:t>
            </w:r>
          </w:p>
          <w:p w14:paraId="3D3C5DCC">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⑤防护栏满足安全需求，无破损； </w:t>
            </w:r>
          </w:p>
          <w:p w14:paraId="485DBC38">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备注：若①③⑤任一项不满足扣 5 分；其他项不满足扣除 2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40DF929C">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06788E09">
            <w:pPr>
              <w:ind w:left="330"/>
              <w:jc w:val="left"/>
              <w:rPr>
                <w:rFonts w:hint="eastAsia" w:ascii="宋体" w:hAnsi="宋体" w:eastAsia="宋体" w:cs="宋体"/>
                <w:color w:val="auto"/>
                <w:sz w:val="21"/>
                <w:szCs w:val="21"/>
                <w:highlight w:val="none"/>
              </w:rPr>
            </w:pPr>
          </w:p>
        </w:tc>
      </w:tr>
      <w:tr w14:paraId="12365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7A323DB2">
            <w:pPr>
              <w:widowControl/>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4880D92D">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站点箱内温度是否控制在25±5℃，相对湿度控制在80%RH以下</w:t>
            </w:r>
          </w:p>
        </w:tc>
        <w:tc>
          <w:tcPr>
            <w:tcW w:w="1485" w:type="dxa"/>
            <w:tcBorders>
              <w:top w:val="single" w:color="auto" w:sz="4" w:space="0"/>
              <w:left w:val="single" w:color="auto" w:sz="4" w:space="0"/>
              <w:bottom w:val="single" w:color="auto" w:sz="4" w:space="0"/>
              <w:right w:val="single" w:color="auto" w:sz="4" w:space="0"/>
            </w:tcBorders>
            <w:vAlign w:val="center"/>
          </w:tcPr>
          <w:p w14:paraId="341D8BC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498" w:type="dxa"/>
            <w:tcBorders>
              <w:top w:val="single" w:color="auto" w:sz="4" w:space="0"/>
              <w:left w:val="single" w:color="auto" w:sz="4" w:space="0"/>
              <w:bottom w:val="single" w:color="auto" w:sz="4" w:space="0"/>
              <w:right w:val="single" w:color="auto" w:sz="4" w:space="0"/>
            </w:tcBorders>
            <w:vAlign w:val="center"/>
          </w:tcPr>
          <w:p w14:paraId="19664624">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①站点配有温湿度计； </w:t>
            </w:r>
          </w:p>
          <w:p w14:paraId="4CD6A191">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②箱内温满足 25±5℃； </w:t>
            </w:r>
          </w:p>
          <w:p w14:paraId="5EB336BE">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③箱内湿度满足≤80%。 </w:t>
            </w:r>
          </w:p>
          <w:p w14:paraId="020AF1E9">
            <w:pPr>
              <w:widowControl/>
              <w:jc w:val="lef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lang w:bidi="ar"/>
              </w:rPr>
              <w:t>备注：任一项不满足扣除 2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26404D82">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温 度 计： </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w:t>
            </w:r>
          </w:p>
          <w:p w14:paraId="3DEF6B4D">
            <w:pPr>
              <w:widowControl/>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bidi="ar"/>
              </w:rPr>
              <w:t xml:space="preserve">RH  </w:t>
            </w:r>
            <w:r>
              <w:rPr>
                <w:rFonts w:hint="eastAsia" w:ascii="宋体" w:hAnsi="宋体" w:eastAsia="宋体" w:cs="宋体"/>
                <w:color w:val="auto"/>
                <w:sz w:val="21"/>
                <w:szCs w:val="21"/>
                <w:highlight w:val="none"/>
                <w:u w:val="single"/>
                <w:lang w:bidi="ar"/>
              </w:rPr>
              <w:t xml:space="preserve">     </w:t>
            </w:r>
          </w:p>
          <w:p w14:paraId="53105C01">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空调： </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w:t>
            </w:r>
          </w:p>
          <w:p w14:paraId="65E08DB2">
            <w:pP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37D68737">
            <w:pPr>
              <w:ind w:left="-360" w:leftChars="-150"/>
              <w:jc w:val="left"/>
              <w:rPr>
                <w:rFonts w:hint="eastAsia" w:ascii="宋体" w:hAnsi="宋体" w:eastAsia="宋体" w:cs="宋体"/>
                <w:color w:val="auto"/>
                <w:spacing w:val="-2"/>
                <w:sz w:val="21"/>
                <w:szCs w:val="21"/>
                <w:highlight w:val="none"/>
              </w:rPr>
            </w:pPr>
          </w:p>
        </w:tc>
      </w:tr>
      <w:tr w14:paraId="14DBC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019F4E25">
            <w:pPr>
              <w:widowControl/>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55D67AFB">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防水、供电、监控是否满足运行要求，其他基础设施是否满足监测要求</w:t>
            </w:r>
          </w:p>
        </w:tc>
        <w:tc>
          <w:tcPr>
            <w:tcW w:w="1485" w:type="dxa"/>
            <w:tcBorders>
              <w:top w:val="single" w:color="auto" w:sz="4" w:space="0"/>
              <w:left w:val="single" w:color="auto" w:sz="4" w:space="0"/>
              <w:bottom w:val="single" w:color="auto" w:sz="4" w:space="0"/>
              <w:right w:val="single" w:color="auto" w:sz="4" w:space="0"/>
            </w:tcBorders>
            <w:vAlign w:val="center"/>
          </w:tcPr>
          <w:p w14:paraId="7F7C009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498" w:type="dxa"/>
            <w:tcBorders>
              <w:top w:val="single" w:color="auto" w:sz="4" w:space="0"/>
              <w:left w:val="single" w:color="auto" w:sz="4" w:space="0"/>
              <w:bottom w:val="single" w:color="auto" w:sz="4" w:space="0"/>
              <w:right w:val="single" w:color="auto" w:sz="4" w:space="0"/>
            </w:tcBorders>
            <w:vAlign w:val="center"/>
          </w:tcPr>
          <w:p w14:paraId="442C7653">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①防水满足要求，站点无漏水； </w:t>
            </w:r>
          </w:p>
          <w:p w14:paraId="01D684E3">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②仪器用电满足要求，站点无漏电； </w:t>
            </w:r>
          </w:p>
          <w:p w14:paraId="419F79D1">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③空调运行正常，滤芯及时清理（每季度）； </w:t>
            </w:r>
          </w:p>
          <w:p w14:paraId="0AECA094">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④视频监控摄像头预设点位合理、镜头清洁到位，系统正常运行，平台能查看现场监控。</w:t>
            </w:r>
          </w:p>
          <w:p w14:paraId="4789B7DE">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备注：一项不满足扣除 3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2B728D97">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3AE8E218">
            <w:pPr>
              <w:jc w:val="left"/>
              <w:rPr>
                <w:rFonts w:hint="eastAsia" w:ascii="宋体" w:hAnsi="宋体" w:eastAsia="宋体" w:cs="宋体"/>
                <w:color w:val="auto"/>
                <w:sz w:val="21"/>
                <w:szCs w:val="21"/>
                <w:highlight w:val="none"/>
              </w:rPr>
            </w:pPr>
          </w:p>
        </w:tc>
      </w:tr>
      <w:tr w14:paraId="1F68B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9"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4B1CE1C9">
            <w:pPr>
              <w:widowControl/>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2.采样系统维护 效果（10 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2EB7CBEA">
            <w:pPr>
              <w:jc w:val="left"/>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采样系统清洁程度：采样头、采样管道是否清洁，有无积灰、积水或障碍物，采样风机是否正常工作</w:t>
            </w:r>
          </w:p>
        </w:tc>
        <w:tc>
          <w:tcPr>
            <w:tcW w:w="1485" w:type="dxa"/>
            <w:tcBorders>
              <w:top w:val="single" w:color="auto" w:sz="4" w:space="0"/>
              <w:left w:val="single" w:color="auto" w:sz="4" w:space="0"/>
              <w:bottom w:val="single" w:color="auto" w:sz="4" w:space="0"/>
              <w:right w:val="single" w:color="auto" w:sz="4" w:space="0"/>
            </w:tcBorders>
            <w:vAlign w:val="center"/>
          </w:tcPr>
          <w:p w14:paraId="58016D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498" w:type="dxa"/>
            <w:tcBorders>
              <w:top w:val="single" w:color="auto" w:sz="4" w:space="0"/>
              <w:left w:val="single" w:color="auto" w:sz="4" w:space="0"/>
              <w:bottom w:val="single" w:color="auto" w:sz="4" w:space="0"/>
              <w:right w:val="single" w:color="auto" w:sz="4" w:space="0"/>
            </w:tcBorders>
            <w:vAlign w:val="center"/>
          </w:tcPr>
          <w:p w14:paraId="248373BD">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①颗粒物切割头无明显积灰/积水/障碍物，颗粒物采 </w:t>
            </w:r>
          </w:p>
          <w:p w14:paraId="3A079F33">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样管定期维护； </w:t>
            </w:r>
          </w:p>
          <w:p w14:paraId="28372C9C">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②采样风机正常工作；采样管路连接规范； </w:t>
            </w:r>
          </w:p>
          <w:p w14:paraId="762F0503">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③避免被空调直吹，是否采取措施避免影响； </w:t>
            </w:r>
          </w:p>
          <w:p w14:paraId="422BB4D7">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备注：任一项不满足扣除 4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7E29B105">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6963CF2E">
            <w:pPr>
              <w:spacing w:line="280" w:lineRule="exact"/>
              <w:jc w:val="left"/>
              <w:rPr>
                <w:rFonts w:hint="eastAsia" w:ascii="宋体" w:hAnsi="宋体" w:eastAsia="宋体" w:cs="宋体"/>
                <w:color w:val="auto"/>
                <w:sz w:val="21"/>
                <w:szCs w:val="21"/>
                <w:highlight w:val="none"/>
              </w:rPr>
            </w:pPr>
          </w:p>
        </w:tc>
      </w:tr>
      <w:tr w14:paraId="47FD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2B193433">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3.仪器日常维护效果（30分）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32B66774">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仪器工作状态是否正常，是否存在报警信息</w:t>
            </w:r>
          </w:p>
        </w:tc>
        <w:tc>
          <w:tcPr>
            <w:tcW w:w="1485" w:type="dxa"/>
            <w:tcBorders>
              <w:top w:val="single" w:color="auto" w:sz="4" w:space="0"/>
              <w:left w:val="single" w:color="auto" w:sz="4" w:space="0"/>
              <w:bottom w:val="single" w:color="auto" w:sz="4" w:space="0"/>
              <w:right w:val="single" w:color="auto" w:sz="4" w:space="0"/>
            </w:tcBorders>
            <w:vAlign w:val="center"/>
          </w:tcPr>
          <w:p w14:paraId="4DB939F4">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498" w:type="dxa"/>
            <w:tcBorders>
              <w:top w:val="single" w:color="auto" w:sz="4" w:space="0"/>
              <w:left w:val="single" w:color="auto" w:sz="4" w:space="0"/>
              <w:bottom w:val="single" w:color="auto" w:sz="4" w:space="0"/>
              <w:right w:val="single" w:color="auto" w:sz="4" w:space="0"/>
            </w:tcBorders>
            <w:vAlign w:val="center"/>
          </w:tcPr>
          <w:p w14:paraId="36DCA3A1">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①PM10、气象、噪声、显示屏等设备任一项不正常，扣 5分；</w:t>
            </w:r>
          </w:p>
          <w:p w14:paraId="17DFC996">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②每存在一条报警信息扣 5 分。</w:t>
            </w:r>
          </w:p>
          <w:p w14:paraId="3A43E392">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3E95A3E2">
            <w:pPr>
              <w:spacing w:line="280" w:lineRule="exact"/>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5DD9EC82">
            <w:pPr>
              <w:spacing w:line="280" w:lineRule="exact"/>
              <w:jc w:val="left"/>
              <w:rPr>
                <w:rFonts w:hint="eastAsia" w:ascii="宋体" w:hAnsi="宋体" w:eastAsia="宋体" w:cs="宋体"/>
                <w:color w:val="auto"/>
                <w:sz w:val="21"/>
                <w:szCs w:val="21"/>
                <w:highlight w:val="none"/>
              </w:rPr>
            </w:pPr>
          </w:p>
        </w:tc>
      </w:tr>
      <w:tr w14:paraId="44E32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727A2039">
            <w:pPr>
              <w:widowControl/>
              <w:rPr>
                <w:rFonts w:hint="eastAsia" w:ascii="宋体" w:hAnsi="宋体" w:eastAsia="宋体" w:cs="宋体"/>
                <w:b/>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3217D19B">
            <w:pPr>
              <w:numPr>
                <w:ilvl w:val="0"/>
                <w:numId w:val="29"/>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采样管加热装置是否工作正常</w:t>
            </w:r>
          </w:p>
        </w:tc>
        <w:tc>
          <w:tcPr>
            <w:tcW w:w="1485" w:type="dxa"/>
            <w:tcBorders>
              <w:top w:val="single" w:color="auto" w:sz="4" w:space="0"/>
              <w:left w:val="single" w:color="auto" w:sz="4" w:space="0"/>
              <w:bottom w:val="single" w:color="auto" w:sz="4" w:space="0"/>
              <w:right w:val="single" w:color="auto" w:sz="4" w:space="0"/>
            </w:tcBorders>
            <w:vAlign w:val="center"/>
          </w:tcPr>
          <w:p w14:paraId="7498F687">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5498" w:type="dxa"/>
            <w:tcBorders>
              <w:top w:val="single" w:color="auto" w:sz="4" w:space="0"/>
              <w:left w:val="single" w:color="auto" w:sz="4" w:space="0"/>
              <w:bottom w:val="single" w:color="auto" w:sz="4" w:space="0"/>
              <w:right w:val="single" w:color="auto" w:sz="4" w:space="0"/>
            </w:tcBorders>
            <w:vAlign w:val="center"/>
          </w:tcPr>
          <w:p w14:paraId="45607FA7">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①颗粒物采样管加热装置、参数设置是否正常工作，不正常扣 5分；</w:t>
            </w:r>
          </w:p>
          <w:p w14:paraId="42335F09">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②加热温度小于 30℃、大于 50℃，扣 5 分； </w:t>
            </w:r>
          </w:p>
          <w:p w14:paraId="3B95A4DE">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③仪器散热风扇工作正常，不正常扣5 分；</w:t>
            </w:r>
          </w:p>
          <w:p w14:paraId="2BFBBF17">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3BD365EE">
            <w:pPr>
              <w:spacing w:line="280" w:lineRule="exact"/>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55D2C90C">
            <w:pPr>
              <w:jc w:val="left"/>
              <w:rPr>
                <w:rFonts w:hint="eastAsia" w:ascii="宋体" w:hAnsi="宋体" w:eastAsia="宋体" w:cs="宋体"/>
                <w:color w:val="auto"/>
                <w:sz w:val="21"/>
                <w:szCs w:val="21"/>
                <w:highlight w:val="none"/>
              </w:rPr>
            </w:pPr>
          </w:p>
        </w:tc>
      </w:tr>
      <w:tr w14:paraId="7F1C8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56D4D107">
            <w:pPr>
              <w:widowControl/>
              <w:rPr>
                <w:rFonts w:hint="eastAsia" w:ascii="宋体" w:hAnsi="宋体" w:eastAsia="宋体" w:cs="宋体"/>
                <w:b/>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3C5D29A6">
            <w:pPr>
              <w:numPr>
                <w:ilvl w:val="0"/>
                <w:numId w:val="29"/>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采样纸带、O 型圈、采样泵等相关耗材及时更换</w:t>
            </w:r>
          </w:p>
        </w:tc>
        <w:tc>
          <w:tcPr>
            <w:tcW w:w="1485" w:type="dxa"/>
            <w:tcBorders>
              <w:top w:val="single" w:color="auto" w:sz="4" w:space="0"/>
              <w:left w:val="single" w:color="auto" w:sz="4" w:space="0"/>
              <w:bottom w:val="single" w:color="auto" w:sz="4" w:space="0"/>
              <w:right w:val="single" w:color="auto" w:sz="4" w:space="0"/>
            </w:tcBorders>
            <w:vAlign w:val="center"/>
          </w:tcPr>
          <w:p w14:paraId="25A02643">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498" w:type="dxa"/>
            <w:tcBorders>
              <w:top w:val="single" w:color="auto" w:sz="4" w:space="0"/>
              <w:left w:val="single" w:color="auto" w:sz="4" w:space="0"/>
              <w:bottom w:val="single" w:color="auto" w:sz="4" w:space="0"/>
              <w:right w:val="single" w:color="auto" w:sz="4" w:space="0"/>
            </w:tcBorders>
            <w:vAlign w:val="center"/>
          </w:tcPr>
          <w:p w14:paraId="30152E5A">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①及时更换纸带；</w:t>
            </w:r>
          </w:p>
          <w:p w14:paraId="6BE490AD">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②及时更换 O 型圈；</w:t>
            </w:r>
          </w:p>
          <w:p w14:paraId="186DBB6C">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③及时更换采样泵相关耗材；</w:t>
            </w:r>
          </w:p>
          <w:p w14:paraId="7E314A82">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备注：任一项不满足要求的扣 5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0FC34CEE">
            <w:pPr>
              <w:spacing w:line="280" w:lineRule="exact"/>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5A449765">
            <w:pPr>
              <w:spacing w:line="280" w:lineRule="exact"/>
              <w:jc w:val="left"/>
              <w:rPr>
                <w:rFonts w:hint="eastAsia" w:ascii="宋体" w:hAnsi="宋体" w:eastAsia="宋体" w:cs="宋体"/>
                <w:color w:val="auto"/>
                <w:sz w:val="21"/>
                <w:szCs w:val="21"/>
                <w:highlight w:val="none"/>
              </w:rPr>
            </w:pPr>
          </w:p>
        </w:tc>
      </w:tr>
      <w:tr w14:paraId="1CE71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4D266188">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4.质控控制效果</w:t>
            </w:r>
          </w:p>
          <w:p w14:paraId="330012FE">
            <w:pP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（32分）</w:t>
            </w:r>
          </w:p>
        </w:tc>
        <w:tc>
          <w:tcPr>
            <w:tcW w:w="452" w:type="dxa"/>
            <w:tcBorders>
              <w:top w:val="single" w:color="auto" w:sz="4" w:space="0"/>
              <w:left w:val="single" w:color="auto" w:sz="4" w:space="0"/>
              <w:right w:val="single" w:color="auto" w:sz="4" w:space="0"/>
            </w:tcBorders>
            <w:vAlign w:val="center"/>
          </w:tcPr>
          <w:p w14:paraId="65421E63">
            <w:p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颗粒污染物及噪音气象</w:t>
            </w:r>
          </w:p>
        </w:tc>
        <w:tc>
          <w:tcPr>
            <w:tcW w:w="4331" w:type="dxa"/>
            <w:tcBorders>
              <w:top w:val="single" w:color="auto" w:sz="4" w:space="0"/>
              <w:left w:val="single" w:color="auto" w:sz="4" w:space="0"/>
              <w:right w:val="single" w:color="auto" w:sz="4" w:space="0"/>
            </w:tcBorders>
            <w:vAlign w:val="center"/>
          </w:tcPr>
          <w:p w14:paraId="153151FD">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w:t>
            </w:r>
          </w:p>
          <w:p w14:paraId="35AFBF6B">
            <w:pPr>
              <w:numPr>
                <w:ilvl w:val="0"/>
                <w:numId w:val="3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设定流量：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L/min，仪器示值流量：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L/min，标准流量计测值：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w:t>
            </w:r>
          </w:p>
          <w:p w14:paraId="67AB3990">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设定流量与实测流量相对误差：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4144C651">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示值流量与实测流量相对误差：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06570830">
            <w:pPr>
              <w:numPr>
                <w:ilvl w:val="0"/>
                <w:numId w:val="3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PM10校准膜检查</w:t>
            </w:r>
            <w:r>
              <w:rPr>
                <w:rFonts w:hint="eastAsia" w:ascii="宋体" w:hAnsi="宋体" w:eastAsia="宋体" w:cs="宋体"/>
                <w:bCs/>
                <w:color w:val="auto"/>
                <w:sz w:val="21"/>
                <w:szCs w:val="21"/>
                <w:highlight w:val="none"/>
              </w:rPr>
              <w:t xml:space="preserve"> (每季度)</w:t>
            </w:r>
            <w:r>
              <w:rPr>
                <w:rFonts w:hint="eastAsia" w:ascii="宋体" w:hAnsi="宋体" w:eastAsia="宋体" w:cs="宋体"/>
                <w:color w:val="auto"/>
                <w:spacing w:val="-4"/>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750A4226">
            <w:pPr>
              <w:numPr>
                <w:ilvl w:val="0"/>
                <w:numId w:val="3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Um值（每季度）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52DA884F">
            <w:pPr>
              <w:numPr>
                <w:ilvl w:val="0"/>
                <w:numId w:val="3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仪器参数与说明书一致；</w:t>
            </w:r>
          </w:p>
          <w:p w14:paraId="4E20BD07">
            <w:pPr>
              <w:numPr>
                <w:ilvl w:val="0"/>
                <w:numId w:val="3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气温：显示值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5C536CBD">
            <w:pPr>
              <w:numPr>
                <w:ilvl w:val="0"/>
                <w:numId w:val="3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气压：显示值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2B5C84C2">
            <w:pPr>
              <w:numPr>
                <w:ilvl w:val="0"/>
                <w:numId w:val="30"/>
              </w:numPr>
              <w:spacing w:line="180" w:lineRule="atLeast"/>
              <w:jc w:val="left"/>
              <w:rPr>
                <w:rFonts w:hint="eastAsia" w:ascii="宋体" w:hAnsi="宋体" w:eastAsia="宋体" w:cs="宋体"/>
                <w:bCs/>
                <w:color w:val="auto"/>
                <w:sz w:val="21"/>
                <w:szCs w:val="21"/>
                <w:highlight w:val="none"/>
                <w:u w:val="single"/>
              </w:rPr>
            </w:pPr>
            <w:r>
              <w:rPr>
                <w:rFonts w:hint="eastAsia" w:ascii="宋体" w:hAnsi="宋体" w:eastAsia="宋体" w:cs="宋体"/>
                <w:color w:val="auto"/>
                <w:spacing w:val="-4"/>
                <w:sz w:val="21"/>
                <w:szCs w:val="21"/>
                <w:highlight w:val="none"/>
              </w:rPr>
              <w:t>湿度：显示值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 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1437BA10">
            <w:pPr>
              <w:numPr>
                <w:ilvl w:val="0"/>
                <w:numId w:val="3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lang w:bidi="ar"/>
              </w:rPr>
              <w:t>气象风速：</w:t>
            </w:r>
            <w:r>
              <w:rPr>
                <w:rFonts w:hint="eastAsia" w:ascii="宋体" w:hAnsi="宋体" w:eastAsia="宋体" w:cs="宋体"/>
                <w:color w:val="auto"/>
                <w:sz w:val="21"/>
                <w:szCs w:val="21"/>
                <w:highlight w:val="none"/>
              </w:rPr>
              <w:t>显示值：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z w:val="21"/>
                <w:szCs w:val="21"/>
                <w:highlight w:val="none"/>
                <w:lang w:bidi="ar"/>
              </w:rPr>
              <w:t xml:space="preserve">  </w:t>
            </w:r>
          </w:p>
          <w:p w14:paraId="02FB54D7">
            <w:pPr>
              <w:pStyle w:val="6"/>
              <w:ind w:firstLine="1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tc>
        <w:tc>
          <w:tcPr>
            <w:tcW w:w="1485" w:type="dxa"/>
            <w:tcBorders>
              <w:top w:val="single" w:color="auto" w:sz="4" w:space="0"/>
              <w:left w:val="single" w:color="auto" w:sz="4" w:space="0"/>
              <w:right w:val="single" w:color="auto" w:sz="4" w:space="0"/>
            </w:tcBorders>
            <w:vAlign w:val="center"/>
          </w:tcPr>
          <w:p w14:paraId="37F93E0B">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5498" w:type="dxa"/>
            <w:tcBorders>
              <w:top w:val="single" w:color="auto" w:sz="4" w:space="0"/>
              <w:left w:val="single" w:color="auto" w:sz="4" w:space="0"/>
              <w:right w:val="single" w:color="auto" w:sz="4" w:space="0"/>
            </w:tcBorders>
            <w:vAlign w:val="center"/>
          </w:tcPr>
          <w:p w14:paraId="28E71BCA">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 10</w:t>
            </w:r>
            <w:r>
              <w:rPr>
                <w:rFonts w:hint="eastAsia" w:ascii="宋体" w:hAnsi="宋体" w:eastAsia="宋体" w:cs="宋体"/>
                <w:color w:val="auto"/>
                <w:spacing w:val="-4"/>
                <w:sz w:val="21"/>
                <w:szCs w:val="21"/>
                <w:highlight w:val="none"/>
              </w:rPr>
              <w:t>设定流量与实测流量相对误差</w:t>
            </w:r>
            <w:r>
              <w:rPr>
                <w:rFonts w:hint="eastAsia" w:ascii="宋体" w:hAnsi="宋体" w:eastAsia="宋体" w:cs="宋体"/>
                <w:color w:val="auto"/>
                <w:sz w:val="21"/>
                <w:szCs w:val="21"/>
                <w:highlight w:val="none"/>
              </w:rPr>
              <w:t>超出 ±5% 或</w:t>
            </w:r>
            <w:r>
              <w:rPr>
                <w:rFonts w:hint="eastAsia" w:ascii="宋体" w:hAnsi="宋体" w:eastAsia="宋体" w:cs="宋体"/>
                <w:color w:val="auto"/>
                <w:spacing w:val="-4"/>
                <w:sz w:val="21"/>
                <w:szCs w:val="21"/>
                <w:highlight w:val="none"/>
              </w:rPr>
              <w:t>示值流量与实测流量相对误差</w:t>
            </w:r>
            <w:r>
              <w:rPr>
                <w:rFonts w:hint="eastAsia" w:ascii="宋体" w:hAnsi="宋体" w:eastAsia="宋体" w:cs="宋体"/>
                <w:color w:val="auto"/>
                <w:sz w:val="21"/>
                <w:szCs w:val="21"/>
                <w:highlight w:val="none"/>
              </w:rPr>
              <w:t>超出 ±5% 的（已设定值为16.67L/min，标准应在15.84-17.50L/min）， 扣5分；</w:t>
            </w:r>
          </w:p>
          <w:p w14:paraId="005459BE">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标准膜检查结果超出 ±2% ，扣5分；</w:t>
            </w:r>
          </w:p>
          <w:p w14:paraId="3B7FD381">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参数不符合要求，扣5分；</w:t>
            </w:r>
          </w:p>
          <w:p w14:paraId="7F37D017">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仪器显示温度与实测温度误差超过 ±1℃ 扣5分；</w:t>
            </w:r>
          </w:p>
          <w:p w14:paraId="7A6DD300">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仪器显示气压与实测气压误差超过 ±0.1千帕的扣3分；</w:t>
            </w:r>
          </w:p>
          <w:p w14:paraId="524B011C">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仪器显示湿度与实测湿度误差超过 ±10%；扣3分</w:t>
            </w:r>
          </w:p>
          <w:p w14:paraId="7510BE1C">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仪器显示风速与实测风速误差超过 ±1m/s；扣3分</w:t>
            </w:r>
          </w:p>
          <w:p w14:paraId="2F6D94EE">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仪器显示风向与实测风向误差超过  ±7°扣3分</w:t>
            </w:r>
          </w:p>
          <w:p w14:paraId="206B325A">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检漏仪器示值大于1.0L/min，扣5分；</w:t>
            </w:r>
          </w:p>
          <w:p w14:paraId="37B9D3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备注：扣分上限为单项分值，如未携带相关工具扣除全部分值。</w:t>
            </w:r>
          </w:p>
        </w:tc>
        <w:tc>
          <w:tcPr>
            <w:tcW w:w="2122" w:type="dxa"/>
            <w:tcBorders>
              <w:top w:val="single" w:color="auto" w:sz="4" w:space="0"/>
              <w:left w:val="single" w:color="auto" w:sz="4" w:space="0"/>
              <w:right w:val="single" w:color="auto" w:sz="4" w:space="0"/>
            </w:tcBorders>
          </w:tcPr>
          <w:tbl>
            <w:tblPr>
              <w:tblStyle w:val="8"/>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098FD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BF52F2D">
                  <w:pPr>
                    <w:jc w:val="center"/>
                    <w:rPr>
                      <w:rFonts w:hint="eastAsia" w:ascii="宋体" w:hAnsi="宋体" w:eastAsia="宋体" w:cs="宋体"/>
                      <w:color w:val="auto"/>
                      <w:sz w:val="21"/>
                      <w:szCs w:val="21"/>
                      <w:highlight w:val="none"/>
                    </w:rPr>
                  </w:pPr>
                </w:p>
              </w:tc>
              <w:tc>
                <w:tcPr>
                  <w:tcW w:w="813" w:type="dxa"/>
                  <w:vAlign w:val="center"/>
                </w:tcPr>
                <w:p w14:paraId="4D9A75F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7122EE1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41A7B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8C6A58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0A2E0A53">
                  <w:pPr>
                    <w:jc w:val="center"/>
                    <w:rPr>
                      <w:rFonts w:hint="eastAsia" w:ascii="宋体" w:hAnsi="宋体" w:eastAsia="宋体" w:cs="宋体"/>
                      <w:color w:val="auto"/>
                      <w:sz w:val="21"/>
                      <w:szCs w:val="21"/>
                      <w:highlight w:val="none"/>
                    </w:rPr>
                  </w:pPr>
                </w:p>
              </w:tc>
              <w:tc>
                <w:tcPr>
                  <w:tcW w:w="813" w:type="dxa"/>
                  <w:vAlign w:val="center"/>
                </w:tcPr>
                <w:p w14:paraId="78779F4A">
                  <w:pPr>
                    <w:jc w:val="center"/>
                    <w:rPr>
                      <w:rFonts w:hint="eastAsia" w:ascii="宋体" w:hAnsi="宋体" w:eastAsia="宋体" w:cs="宋体"/>
                      <w:color w:val="auto"/>
                      <w:sz w:val="21"/>
                      <w:szCs w:val="21"/>
                      <w:highlight w:val="none"/>
                    </w:rPr>
                  </w:pPr>
                </w:p>
              </w:tc>
            </w:tr>
            <w:tr w14:paraId="0BD8E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6E690A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55561D87">
                  <w:pPr>
                    <w:jc w:val="center"/>
                    <w:rPr>
                      <w:rFonts w:hint="eastAsia" w:ascii="宋体" w:hAnsi="宋体" w:eastAsia="宋体" w:cs="宋体"/>
                      <w:color w:val="auto"/>
                      <w:sz w:val="21"/>
                      <w:szCs w:val="21"/>
                      <w:highlight w:val="none"/>
                    </w:rPr>
                  </w:pPr>
                </w:p>
              </w:tc>
              <w:tc>
                <w:tcPr>
                  <w:tcW w:w="813" w:type="dxa"/>
                  <w:vAlign w:val="center"/>
                </w:tcPr>
                <w:p w14:paraId="2641DB52">
                  <w:pPr>
                    <w:jc w:val="center"/>
                    <w:rPr>
                      <w:rFonts w:hint="eastAsia" w:ascii="宋体" w:hAnsi="宋体" w:eastAsia="宋体" w:cs="宋体"/>
                      <w:color w:val="auto"/>
                      <w:sz w:val="21"/>
                      <w:szCs w:val="21"/>
                      <w:highlight w:val="none"/>
                    </w:rPr>
                  </w:pPr>
                </w:p>
              </w:tc>
            </w:tr>
            <w:tr w14:paraId="6DF8D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2B31AAD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20CC8DA8">
                  <w:pPr>
                    <w:jc w:val="center"/>
                    <w:rPr>
                      <w:rFonts w:hint="eastAsia" w:ascii="宋体" w:hAnsi="宋体" w:eastAsia="宋体" w:cs="宋体"/>
                      <w:color w:val="auto"/>
                      <w:sz w:val="21"/>
                      <w:szCs w:val="21"/>
                      <w:highlight w:val="none"/>
                    </w:rPr>
                  </w:pPr>
                </w:p>
              </w:tc>
              <w:tc>
                <w:tcPr>
                  <w:tcW w:w="813" w:type="dxa"/>
                  <w:vAlign w:val="center"/>
                </w:tcPr>
                <w:p w14:paraId="5CEDA016">
                  <w:pPr>
                    <w:jc w:val="center"/>
                    <w:rPr>
                      <w:rFonts w:hint="eastAsia" w:ascii="宋体" w:hAnsi="宋体" w:eastAsia="宋体" w:cs="宋体"/>
                      <w:color w:val="auto"/>
                      <w:sz w:val="21"/>
                      <w:szCs w:val="21"/>
                      <w:highlight w:val="none"/>
                    </w:rPr>
                  </w:pPr>
                </w:p>
              </w:tc>
            </w:tr>
            <w:tr w14:paraId="49F5B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109A34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813" w:type="dxa"/>
                  <w:vAlign w:val="center"/>
                </w:tcPr>
                <w:p w14:paraId="680EFB0D">
                  <w:pPr>
                    <w:jc w:val="center"/>
                    <w:rPr>
                      <w:rFonts w:hint="eastAsia" w:ascii="宋体" w:hAnsi="宋体" w:eastAsia="宋体" w:cs="宋体"/>
                      <w:color w:val="auto"/>
                      <w:sz w:val="21"/>
                      <w:szCs w:val="21"/>
                      <w:highlight w:val="none"/>
                    </w:rPr>
                  </w:pPr>
                </w:p>
              </w:tc>
              <w:tc>
                <w:tcPr>
                  <w:tcW w:w="813" w:type="dxa"/>
                  <w:vAlign w:val="center"/>
                </w:tcPr>
                <w:p w14:paraId="2585639A">
                  <w:pPr>
                    <w:jc w:val="center"/>
                    <w:rPr>
                      <w:rFonts w:hint="eastAsia" w:ascii="宋体" w:hAnsi="宋体" w:eastAsia="宋体" w:cs="宋体"/>
                      <w:color w:val="auto"/>
                      <w:sz w:val="21"/>
                      <w:szCs w:val="21"/>
                      <w:highlight w:val="none"/>
                    </w:rPr>
                  </w:pPr>
                </w:p>
              </w:tc>
            </w:tr>
            <w:tr w14:paraId="04506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293641A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813" w:type="dxa"/>
                  <w:vAlign w:val="center"/>
                </w:tcPr>
                <w:p w14:paraId="7E7CA525">
                  <w:pPr>
                    <w:jc w:val="center"/>
                    <w:rPr>
                      <w:rFonts w:hint="eastAsia" w:ascii="宋体" w:hAnsi="宋体" w:eastAsia="宋体" w:cs="宋体"/>
                      <w:color w:val="auto"/>
                      <w:sz w:val="21"/>
                      <w:szCs w:val="21"/>
                      <w:highlight w:val="none"/>
                    </w:rPr>
                  </w:pPr>
                </w:p>
              </w:tc>
              <w:tc>
                <w:tcPr>
                  <w:tcW w:w="813" w:type="dxa"/>
                  <w:vAlign w:val="center"/>
                </w:tcPr>
                <w:p w14:paraId="41641A90">
                  <w:pPr>
                    <w:jc w:val="center"/>
                    <w:rPr>
                      <w:rFonts w:hint="eastAsia" w:ascii="宋体" w:hAnsi="宋体" w:eastAsia="宋体" w:cs="宋体"/>
                      <w:color w:val="auto"/>
                      <w:sz w:val="21"/>
                      <w:szCs w:val="21"/>
                      <w:highlight w:val="none"/>
                    </w:rPr>
                  </w:pPr>
                </w:p>
              </w:tc>
            </w:tr>
            <w:tr w14:paraId="3F53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35513B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813" w:type="dxa"/>
                  <w:vAlign w:val="center"/>
                </w:tcPr>
                <w:p w14:paraId="08816A95">
                  <w:pPr>
                    <w:jc w:val="center"/>
                    <w:rPr>
                      <w:rFonts w:hint="eastAsia" w:ascii="宋体" w:hAnsi="宋体" w:eastAsia="宋体" w:cs="宋体"/>
                      <w:color w:val="auto"/>
                      <w:sz w:val="21"/>
                      <w:szCs w:val="21"/>
                      <w:highlight w:val="none"/>
                    </w:rPr>
                  </w:pPr>
                </w:p>
              </w:tc>
              <w:tc>
                <w:tcPr>
                  <w:tcW w:w="813" w:type="dxa"/>
                  <w:vAlign w:val="center"/>
                </w:tcPr>
                <w:p w14:paraId="1F315EF7">
                  <w:pPr>
                    <w:jc w:val="center"/>
                    <w:rPr>
                      <w:rFonts w:hint="eastAsia" w:ascii="宋体" w:hAnsi="宋体" w:eastAsia="宋体" w:cs="宋体"/>
                      <w:color w:val="auto"/>
                      <w:sz w:val="21"/>
                      <w:szCs w:val="21"/>
                      <w:highlight w:val="none"/>
                    </w:rPr>
                  </w:pPr>
                </w:p>
              </w:tc>
            </w:tr>
            <w:tr w14:paraId="6273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54B5E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813" w:type="dxa"/>
                  <w:vAlign w:val="center"/>
                </w:tcPr>
                <w:p w14:paraId="4EC1AE90">
                  <w:pPr>
                    <w:jc w:val="center"/>
                    <w:rPr>
                      <w:rFonts w:hint="eastAsia" w:ascii="宋体" w:hAnsi="宋体" w:eastAsia="宋体" w:cs="宋体"/>
                      <w:color w:val="auto"/>
                      <w:sz w:val="21"/>
                      <w:szCs w:val="21"/>
                      <w:highlight w:val="none"/>
                    </w:rPr>
                  </w:pPr>
                </w:p>
              </w:tc>
              <w:tc>
                <w:tcPr>
                  <w:tcW w:w="813" w:type="dxa"/>
                  <w:vAlign w:val="center"/>
                </w:tcPr>
                <w:p w14:paraId="6A70790A">
                  <w:pPr>
                    <w:jc w:val="center"/>
                    <w:rPr>
                      <w:rFonts w:hint="eastAsia" w:ascii="宋体" w:hAnsi="宋体" w:eastAsia="宋体" w:cs="宋体"/>
                      <w:color w:val="auto"/>
                      <w:sz w:val="21"/>
                      <w:szCs w:val="21"/>
                      <w:highlight w:val="none"/>
                    </w:rPr>
                  </w:pPr>
                </w:p>
              </w:tc>
            </w:tr>
            <w:tr w14:paraId="2DF20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9F41D1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813" w:type="dxa"/>
                  <w:vAlign w:val="center"/>
                </w:tcPr>
                <w:p w14:paraId="79B1E415">
                  <w:pPr>
                    <w:jc w:val="center"/>
                    <w:rPr>
                      <w:rFonts w:hint="eastAsia" w:ascii="宋体" w:hAnsi="宋体" w:eastAsia="宋体" w:cs="宋体"/>
                      <w:color w:val="auto"/>
                      <w:sz w:val="21"/>
                      <w:szCs w:val="21"/>
                      <w:highlight w:val="none"/>
                    </w:rPr>
                  </w:pPr>
                </w:p>
              </w:tc>
              <w:tc>
                <w:tcPr>
                  <w:tcW w:w="813" w:type="dxa"/>
                  <w:vAlign w:val="center"/>
                </w:tcPr>
                <w:p w14:paraId="6CC2F53A">
                  <w:pPr>
                    <w:jc w:val="center"/>
                    <w:rPr>
                      <w:rFonts w:hint="eastAsia" w:ascii="宋体" w:hAnsi="宋体" w:eastAsia="宋体" w:cs="宋体"/>
                      <w:color w:val="auto"/>
                      <w:sz w:val="21"/>
                      <w:szCs w:val="21"/>
                      <w:highlight w:val="none"/>
                    </w:rPr>
                  </w:pPr>
                </w:p>
              </w:tc>
            </w:tr>
            <w:tr w14:paraId="4093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0" w:type="dxa"/>
                  <w:vAlign w:val="center"/>
                </w:tcPr>
                <w:p w14:paraId="1B428C9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813" w:type="dxa"/>
                  <w:vAlign w:val="center"/>
                </w:tcPr>
                <w:p w14:paraId="7946C20E">
                  <w:pPr>
                    <w:jc w:val="center"/>
                    <w:rPr>
                      <w:rFonts w:hint="eastAsia" w:ascii="宋体" w:hAnsi="宋体" w:eastAsia="宋体" w:cs="宋体"/>
                      <w:color w:val="auto"/>
                      <w:sz w:val="21"/>
                      <w:szCs w:val="21"/>
                      <w:highlight w:val="none"/>
                    </w:rPr>
                  </w:pPr>
                </w:p>
              </w:tc>
              <w:tc>
                <w:tcPr>
                  <w:tcW w:w="813" w:type="dxa"/>
                  <w:vAlign w:val="center"/>
                </w:tcPr>
                <w:p w14:paraId="63297534">
                  <w:pPr>
                    <w:jc w:val="center"/>
                    <w:rPr>
                      <w:rFonts w:hint="eastAsia" w:ascii="宋体" w:hAnsi="宋体" w:eastAsia="宋体" w:cs="宋体"/>
                      <w:color w:val="auto"/>
                      <w:sz w:val="21"/>
                      <w:szCs w:val="21"/>
                      <w:highlight w:val="none"/>
                    </w:rPr>
                  </w:pPr>
                </w:p>
              </w:tc>
            </w:tr>
          </w:tbl>
          <w:p w14:paraId="6D333ED6">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7DFE25A0">
            <w:pPr>
              <w:rPr>
                <w:rFonts w:hint="eastAsia" w:ascii="宋体" w:hAnsi="宋体" w:eastAsia="宋体" w:cs="宋体"/>
                <w:color w:val="auto"/>
                <w:sz w:val="21"/>
                <w:szCs w:val="21"/>
                <w:highlight w:val="none"/>
              </w:rPr>
            </w:pPr>
          </w:p>
        </w:tc>
      </w:tr>
      <w:tr w14:paraId="5C361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537B097E">
            <w:pPr>
              <w:widowControl/>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049DCE19">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流量计有效期限：</w:t>
            </w:r>
          </w:p>
          <w:p w14:paraId="437B726D">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温湿度计有效期限：</w:t>
            </w:r>
          </w:p>
          <w:p w14:paraId="65AC6632">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大气压计有效期限：</w:t>
            </w:r>
          </w:p>
        </w:tc>
        <w:tc>
          <w:tcPr>
            <w:tcW w:w="1485" w:type="dxa"/>
            <w:tcBorders>
              <w:top w:val="single" w:color="auto" w:sz="4" w:space="0"/>
              <w:left w:val="single" w:color="auto" w:sz="4" w:space="0"/>
              <w:bottom w:val="single" w:color="auto" w:sz="4" w:space="0"/>
              <w:right w:val="single" w:color="auto" w:sz="4" w:space="0"/>
            </w:tcBorders>
            <w:vAlign w:val="center"/>
          </w:tcPr>
          <w:p w14:paraId="53980608">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498" w:type="dxa"/>
            <w:tcBorders>
              <w:top w:val="single" w:color="auto" w:sz="4" w:space="0"/>
              <w:left w:val="single" w:color="auto" w:sz="4" w:space="0"/>
              <w:bottom w:val="single" w:color="auto" w:sz="4" w:space="0"/>
              <w:right w:val="single" w:color="auto" w:sz="4" w:space="0"/>
            </w:tcBorders>
            <w:vAlign w:val="center"/>
          </w:tcPr>
          <w:p w14:paraId="4D9BD1C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用于校准的设备（流量计、温度计、大气压计）是否</w:t>
            </w:r>
          </w:p>
          <w:p w14:paraId="5AD6042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每年通过国家计量检定；任一项不合格扣 2 分。</w:t>
            </w:r>
          </w:p>
        </w:tc>
        <w:tc>
          <w:tcPr>
            <w:tcW w:w="2122" w:type="dxa"/>
            <w:tcBorders>
              <w:top w:val="single" w:color="auto" w:sz="4" w:space="0"/>
              <w:left w:val="single" w:color="auto" w:sz="4" w:space="0"/>
              <w:bottom w:val="single" w:color="auto" w:sz="4" w:space="0"/>
              <w:right w:val="single" w:color="auto" w:sz="4" w:space="0"/>
            </w:tcBorders>
          </w:tcPr>
          <w:p w14:paraId="30DE6350">
            <w:pP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6C2EC415">
            <w:pPr>
              <w:jc w:val="left"/>
              <w:rPr>
                <w:rFonts w:hint="eastAsia" w:ascii="宋体" w:hAnsi="宋体" w:eastAsia="宋体" w:cs="宋体"/>
                <w:color w:val="auto"/>
                <w:sz w:val="21"/>
                <w:szCs w:val="21"/>
                <w:highlight w:val="none"/>
              </w:rPr>
            </w:pPr>
          </w:p>
        </w:tc>
      </w:tr>
      <w:tr w14:paraId="2BA13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6E9255E7">
            <w:pPr>
              <w:numPr>
                <w:ilvl w:val="0"/>
                <w:numId w:val="32"/>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通讯系统维护效果（3分）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74AB7122">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能否正常采集数据并上传平台发布数据</w:t>
            </w:r>
          </w:p>
        </w:tc>
        <w:tc>
          <w:tcPr>
            <w:tcW w:w="1485" w:type="dxa"/>
            <w:tcBorders>
              <w:top w:val="single" w:color="auto" w:sz="4" w:space="0"/>
              <w:left w:val="single" w:color="auto" w:sz="4" w:space="0"/>
              <w:bottom w:val="single" w:color="auto" w:sz="4" w:space="0"/>
              <w:right w:val="single" w:color="auto" w:sz="4" w:space="0"/>
            </w:tcBorders>
            <w:vAlign w:val="center"/>
          </w:tcPr>
          <w:p w14:paraId="275BF56C">
            <w:pPr>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p>
        </w:tc>
        <w:tc>
          <w:tcPr>
            <w:tcW w:w="5498" w:type="dxa"/>
            <w:tcBorders>
              <w:top w:val="single" w:color="auto" w:sz="4" w:space="0"/>
              <w:left w:val="single" w:color="auto" w:sz="4" w:space="0"/>
              <w:bottom w:val="single" w:color="auto" w:sz="4" w:space="0"/>
              <w:right w:val="single" w:color="auto" w:sz="4" w:space="0"/>
            </w:tcBorders>
            <w:vAlign w:val="center"/>
          </w:tcPr>
          <w:p w14:paraId="5A0253D6">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功能不满足扣3分。</w:t>
            </w:r>
          </w:p>
        </w:tc>
        <w:tc>
          <w:tcPr>
            <w:tcW w:w="2122" w:type="dxa"/>
            <w:tcBorders>
              <w:top w:val="single" w:color="auto" w:sz="4" w:space="0"/>
              <w:left w:val="single" w:color="auto" w:sz="4" w:space="0"/>
              <w:bottom w:val="single" w:color="auto" w:sz="4" w:space="0"/>
              <w:right w:val="single" w:color="auto" w:sz="4" w:space="0"/>
            </w:tcBorders>
            <w:vAlign w:val="center"/>
          </w:tcPr>
          <w:p w14:paraId="270333C5">
            <w:pPr>
              <w:jc w:val="center"/>
              <w:rPr>
                <w:rFonts w:hint="eastAsia" w:ascii="宋体" w:hAnsi="宋体" w:eastAsia="宋体" w:cs="宋体"/>
                <w:bCs/>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1F5AA981">
            <w:pPr>
              <w:jc w:val="left"/>
              <w:rPr>
                <w:rFonts w:hint="eastAsia" w:ascii="宋体" w:hAnsi="宋体" w:eastAsia="宋体" w:cs="宋体"/>
                <w:bCs/>
                <w:color w:val="auto"/>
                <w:sz w:val="21"/>
                <w:szCs w:val="21"/>
                <w:highlight w:val="none"/>
              </w:rPr>
            </w:pPr>
          </w:p>
        </w:tc>
      </w:tr>
      <w:tr w14:paraId="1A87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519094EC">
            <w:pPr>
              <w:numPr>
                <w:ilvl w:val="0"/>
                <w:numId w:val="32"/>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人员要求（5分）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6DEA00EF">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运维人员是否持证上岗（具备上岗相关资格证书）</w:t>
            </w:r>
          </w:p>
          <w:p w14:paraId="00238143">
            <w:pPr>
              <w:tabs>
                <w:tab w:val="left" w:pos="1129"/>
              </w:tabs>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现场运维要配备斜梯等工具禁止踩踏站箱顶</w:t>
            </w:r>
          </w:p>
        </w:tc>
        <w:tc>
          <w:tcPr>
            <w:tcW w:w="1485" w:type="dxa"/>
            <w:tcBorders>
              <w:top w:val="single" w:color="auto" w:sz="4" w:space="0"/>
              <w:left w:val="single" w:color="auto" w:sz="4" w:space="0"/>
              <w:bottom w:val="single" w:color="auto" w:sz="4" w:space="0"/>
              <w:right w:val="single" w:color="auto" w:sz="4" w:space="0"/>
            </w:tcBorders>
            <w:vAlign w:val="center"/>
          </w:tcPr>
          <w:p w14:paraId="1B049AE5">
            <w:pPr>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498" w:type="dxa"/>
            <w:tcBorders>
              <w:top w:val="single" w:color="auto" w:sz="4" w:space="0"/>
              <w:left w:val="single" w:color="auto" w:sz="4" w:space="0"/>
              <w:bottom w:val="single" w:color="auto" w:sz="4" w:space="0"/>
              <w:right w:val="single" w:color="auto" w:sz="4" w:space="0"/>
            </w:tcBorders>
            <w:vAlign w:val="center"/>
          </w:tcPr>
          <w:p w14:paraId="1563A137">
            <w:pPr>
              <w:numPr>
                <w:ilvl w:val="0"/>
                <w:numId w:val="33"/>
              </w:numPr>
              <w:ind w:firstLine="4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运维人员未持有上岗证扣5分；</w:t>
            </w:r>
          </w:p>
          <w:p w14:paraId="6F1F047F">
            <w:pPr>
              <w:numPr>
                <w:ilvl w:val="0"/>
                <w:numId w:val="33"/>
              </w:numPr>
              <w:ind w:firstLine="4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运维人员未配备斜梯，踩踏站箱顶扣5分。</w:t>
            </w:r>
          </w:p>
          <w:p w14:paraId="2854954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备注：一项不满足扣除 5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51AEE8FD">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29120F8C">
            <w:pPr>
              <w:jc w:val="left"/>
              <w:rPr>
                <w:rFonts w:hint="eastAsia" w:ascii="宋体" w:hAnsi="宋体" w:eastAsia="宋体" w:cs="宋体"/>
                <w:color w:val="auto"/>
                <w:sz w:val="21"/>
                <w:szCs w:val="21"/>
                <w:highlight w:val="none"/>
              </w:rPr>
            </w:pPr>
          </w:p>
        </w:tc>
      </w:tr>
      <w:tr w14:paraId="7939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6A4799BB">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7.运维档案记录情况（10 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62E2A444">
            <w:pPr>
              <w:numPr>
                <w:ilvl w:val="0"/>
                <w:numId w:val="34"/>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按照规范要求填写运维记录</w:t>
            </w:r>
          </w:p>
          <w:p w14:paraId="40060550">
            <w:pPr>
              <w:numPr>
                <w:ilvl w:val="0"/>
                <w:numId w:val="34"/>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按照运维要求完成运维工作</w:t>
            </w:r>
          </w:p>
        </w:tc>
        <w:tc>
          <w:tcPr>
            <w:tcW w:w="1485" w:type="dxa"/>
            <w:tcBorders>
              <w:top w:val="single" w:color="auto" w:sz="4" w:space="0"/>
              <w:left w:val="single" w:color="auto" w:sz="4" w:space="0"/>
              <w:bottom w:val="single" w:color="auto" w:sz="4" w:space="0"/>
              <w:right w:val="single" w:color="auto" w:sz="4" w:space="0"/>
            </w:tcBorders>
            <w:vAlign w:val="center"/>
          </w:tcPr>
          <w:p w14:paraId="44052E50">
            <w:pPr>
              <w:spacing w:line="300" w:lineRule="exact"/>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10</w:t>
            </w:r>
          </w:p>
        </w:tc>
        <w:tc>
          <w:tcPr>
            <w:tcW w:w="5498" w:type="dxa"/>
            <w:tcBorders>
              <w:top w:val="single" w:color="auto" w:sz="4" w:space="0"/>
              <w:left w:val="single" w:color="auto" w:sz="4" w:space="0"/>
              <w:bottom w:val="single" w:color="auto" w:sz="4" w:space="0"/>
              <w:right w:val="single" w:color="auto" w:sz="4" w:space="0"/>
            </w:tcBorders>
            <w:vAlign w:val="center"/>
          </w:tcPr>
          <w:p w14:paraId="734C53F6">
            <w:pPr>
              <w:numPr>
                <w:ilvl w:val="0"/>
                <w:numId w:val="3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现场填写档案记录规范齐全，若发现一项存在问题扣1分；</w:t>
            </w:r>
          </w:p>
          <w:p w14:paraId="78EC252E">
            <w:pPr>
              <w:numPr>
                <w:ilvl w:val="0"/>
                <w:numId w:val="3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检查运维内容落实情况，一项不落实扣5分；</w:t>
            </w:r>
          </w:p>
          <w:p w14:paraId="0CF7F2A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02BFB77F">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0B63009D">
            <w:pPr>
              <w:jc w:val="left"/>
              <w:rPr>
                <w:rFonts w:hint="eastAsia" w:ascii="宋体" w:hAnsi="宋体" w:eastAsia="宋体" w:cs="宋体"/>
                <w:color w:val="auto"/>
                <w:sz w:val="21"/>
                <w:szCs w:val="21"/>
                <w:highlight w:val="none"/>
              </w:rPr>
            </w:pPr>
          </w:p>
        </w:tc>
      </w:tr>
      <w:tr w14:paraId="22230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3008" w:type="dxa"/>
            <w:gridSpan w:val="5"/>
            <w:tcBorders>
              <w:top w:val="single" w:color="auto" w:sz="4" w:space="0"/>
              <w:left w:val="single" w:color="auto" w:sz="4" w:space="0"/>
              <w:bottom w:val="single" w:color="auto" w:sz="4" w:space="0"/>
              <w:right w:val="single" w:color="auto" w:sz="4" w:space="0"/>
            </w:tcBorders>
            <w:vAlign w:val="center"/>
          </w:tcPr>
          <w:p w14:paraId="1B7694CE">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总分</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4D19ABDF">
            <w:pPr>
              <w:jc w:val="left"/>
              <w:rPr>
                <w:rFonts w:hint="eastAsia" w:ascii="宋体" w:hAnsi="宋体" w:eastAsia="宋体" w:cs="宋体"/>
                <w:bCs/>
                <w:color w:val="auto"/>
                <w:sz w:val="21"/>
                <w:szCs w:val="21"/>
                <w:highlight w:val="none"/>
              </w:rPr>
            </w:pPr>
          </w:p>
        </w:tc>
      </w:tr>
    </w:tbl>
    <w:p w14:paraId="1A53D36E">
      <w:pPr>
        <w:rPr>
          <w:rFonts w:hint="eastAsia" w:ascii="宋体" w:hAnsi="宋体" w:eastAsia="宋体" w:cs="宋体"/>
          <w:b/>
          <w:color w:val="auto"/>
          <w:sz w:val="21"/>
          <w:szCs w:val="21"/>
          <w:highlight w:val="none"/>
        </w:rPr>
      </w:pPr>
    </w:p>
    <w:tbl>
      <w:tblPr>
        <w:tblStyle w:val="7"/>
        <w:tblpPr w:leftFromText="180" w:rightFromText="180" w:vertAnchor="text" w:horzAnchor="page" w:tblpXSpec="center" w:tblpY="324"/>
        <w:tblOverlap w:val="never"/>
        <w:tblW w:w="1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13958"/>
      </w:tblGrid>
      <w:tr w14:paraId="4C9BA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5859" w:type="dxa"/>
            <w:gridSpan w:val="2"/>
            <w:tcBorders>
              <w:top w:val="single" w:color="auto" w:sz="4" w:space="0"/>
              <w:left w:val="single" w:color="auto" w:sz="4" w:space="0"/>
              <w:bottom w:val="single" w:color="auto" w:sz="4" w:space="0"/>
              <w:right w:val="single" w:color="auto" w:sz="4" w:space="0"/>
            </w:tcBorders>
            <w:vAlign w:val="center"/>
          </w:tcPr>
          <w:p w14:paraId="6E2E948E">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其它需要特别记录的问题</w:t>
            </w:r>
          </w:p>
        </w:tc>
      </w:tr>
      <w:tr w14:paraId="2A22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1901" w:type="dxa"/>
            <w:tcBorders>
              <w:top w:val="single" w:color="auto" w:sz="4" w:space="0"/>
              <w:left w:val="single" w:color="auto" w:sz="4" w:space="0"/>
              <w:right w:val="single" w:color="auto" w:sz="4" w:space="0"/>
            </w:tcBorders>
            <w:vAlign w:val="center"/>
          </w:tcPr>
          <w:p w14:paraId="05C23BA2">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现场检查问题</w:t>
            </w:r>
          </w:p>
        </w:tc>
        <w:tc>
          <w:tcPr>
            <w:tcW w:w="13958" w:type="dxa"/>
            <w:tcBorders>
              <w:top w:val="single" w:color="auto" w:sz="4" w:space="0"/>
              <w:left w:val="single" w:color="auto" w:sz="4" w:space="0"/>
              <w:bottom w:val="single" w:color="auto" w:sz="4" w:space="0"/>
              <w:right w:val="single" w:color="auto" w:sz="4" w:space="0"/>
            </w:tcBorders>
          </w:tcPr>
          <w:p w14:paraId="28ADE4CD">
            <w:pPr>
              <w:rPr>
                <w:rFonts w:hint="eastAsia" w:ascii="宋体" w:hAnsi="宋体" w:eastAsia="宋体" w:cs="宋体"/>
                <w:color w:val="auto"/>
                <w:sz w:val="21"/>
                <w:szCs w:val="21"/>
                <w:highlight w:val="none"/>
              </w:rPr>
            </w:pPr>
          </w:p>
        </w:tc>
      </w:tr>
    </w:tbl>
    <w:p w14:paraId="3A49E168">
      <w:pP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p>
    <w:p w14:paraId="3BD1A9CD">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sectPr>
          <w:pgSz w:w="16838" w:h="11905" w:orient="landscape"/>
          <w:pgMar w:top="1247" w:right="1247" w:bottom="1247" w:left="1213" w:header="851" w:footer="680" w:gutter="0"/>
          <w:pgNumType w:fmt="decimal"/>
          <w:cols w:space="0" w:num="1"/>
          <w:rtlGutter w:val="0"/>
          <w:docGrid w:linePitch="312" w:charSpace="0"/>
        </w:sectPr>
      </w:pPr>
    </w:p>
    <w:p w14:paraId="1B03BA39">
      <w:pPr>
        <w:adjustRightInd w:val="0"/>
        <w:spacing w:line="360" w:lineRule="auto"/>
        <w:ind w:firstLine="482" w:firstLineChars="200"/>
        <w:textAlignment w:val="baseline"/>
        <w:rPr>
          <w:rFonts w:hint="eastAsia" w:ascii="宋体" w:hAnsi="宋体" w:eastAsia="宋体" w:cs="宋体"/>
          <w:color w:val="auto"/>
          <w:sz w:val="24"/>
          <w:szCs w:val="24"/>
          <w:highlight w:val="none"/>
          <w:lang w:val="zh-CN" w:eastAsia="zh-CN"/>
        </w:rPr>
      </w:pPr>
      <w:r>
        <w:rPr>
          <w:rFonts w:hint="eastAsia"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val="zh-CN" w:eastAsia="zh-CN"/>
        </w:rPr>
        <w:t>服务要求</w:t>
      </w:r>
    </w:p>
    <w:p w14:paraId="4BE78B52">
      <w:pPr>
        <w:adjustRightInd w:val="0"/>
        <w:spacing w:line="360" w:lineRule="auto"/>
        <w:ind w:firstLine="480"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zh-CN" w:eastAsia="zh-CN"/>
        </w:rPr>
        <w:t>按采购人要求完成项目服务内容及项目交付，达到采购人验收要求，</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lang w:val="zh-CN" w:eastAsia="zh-CN"/>
        </w:rPr>
        <w:t>达到国家现行法律法规及行业要求合格标准。</w:t>
      </w:r>
    </w:p>
    <w:p w14:paraId="3CB31196">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lang w:val="en-US" w:eastAsia="zh-CN"/>
        </w:rPr>
        <w:t>人员配置要求</w:t>
      </w:r>
    </w:p>
    <w:p w14:paraId="5B9F098D">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按项目服务要求，组织项目实施与管理，实行项目负责人负责制，其他相关人员经过严格培训，能够胜任此项工作。</w:t>
      </w:r>
    </w:p>
    <w:p w14:paraId="1307E6B5">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val="en-US" w:eastAsia="zh-CN"/>
        </w:rPr>
        <w:t>设施设备配置要求</w:t>
      </w:r>
    </w:p>
    <w:p w14:paraId="44591452">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按项目服务要求，投入有利于本项目顺利实施的各类设施设备。</w:t>
      </w:r>
    </w:p>
    <w:p w14:paraId="467134CE">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Cs w:val="24"/>
          <w:highlight w:val="none"/>
          <w:lang w:val="en-US" w:eastAsia="zh-CN"/>
        </w:rPr>
        <w:t>七、</w:t>
      </w:r>
      <w:r>
        <w:rPr>
          <w:rFonts w:hint="eastAsia" w:ascii="宋体" w:hAnsi="宋体" w:eastAsia="宋体" w:cs="宋体"/>
          <w:b/>
          <w:bCs/>
          <w:color w:val="auto"/>
          <w:sz w:val="24"/>
          <w:szCs w:val="24"/>
          <w:highlight w:val="none"/>
          <w:lang w:val="en-US" w:eastAsia="zh-CN"/>
        </w:rPr>
        <w:t>其他要求</w:t>
      </w:r>
    </w:p>
    <w:p w14:paraId="5E9BA6CD">
      <w:pPr>
        <w:adjustRightInd w:val="0"/>
        <w:spacing w:line="360" w:lineRule="auto"/>
        <w:ind w:firstLine="480" w:firstLineChars="200"/>
        <w:textAlignment w:val="baseline"/>
        <w:rPr>
          <w:rFonts w:hint="eastAsia" w:hAnsi="宋体" w:cs="宋体"/>
          <w:color w:val="auto"/>
          <w:sz w:val="24"/>
          <w:szCs w:val="24"/>
          <w:highlight w:val="none"/>
          <w:lang w:val="en-US" w:eastAsia="zh-CN"/>
        </w:rPr>
      </w:pPr>
      <w:r>
        <w:rPr>
          <w:rFonts w:hint="eastAsia" w:hAnsi="宋体" w:cs="宋体"/>
          <w:color w:val="auto"/>
          <w:sz w:val="24"/>
          <w:szCs w:val="24"/>
          <w:highlight w:val="none"/>
          <w:lang w:val="en-US" w:eastAsia="zh-CN"/>
        </w:rPr>
        <w:t>无</w:t>
      </w:r>
    </w:p>
    <w:p w14:paraId="6DE2BF1F">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lang w:val="en-US" w:eastAsia="zh-CN"/>
        </w:rPr>
        <w:t>商务要求</w:t>
      </w:r>
    </w:p>
    <w:p w14:paraId="1C64CF64">
      <w:pPr>
        <w:adjustRightInd w:val="0"/>
        <w:spacing w:line="360" w:lineRule="auto"/>
        <w:ind w:firstLine="482" w:firstLineChars="200"/>
        <w:textAlignment w:val="baseline"/>
        <w:rPr>
          <w:rFonts w:hint="eastAsia" w:ascii="宋体" w:hAnsi="宋体" w:eastAsia="宋体" w:cs="宋体"/>
          <w:b w:val="0"/>
          <w:bCs w:val="0"/>
          <w:color w:val="auto"/>
          <w:sz w:val="24"/>
          <w:szCs w:val="24"/>
          <w:highlight w:val="none"/>
          <w:lang w:val="en-US" w:eastAsia="zh-CN"/>
        </w:rPr>
      </w:pPr>
      <w:r>
        <w:rPr>
          <w:rFonts w:hint="eastAsia" w:hAnsi="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val="en-US" w:eastAsia="zh-CN"/>
        </w:rPr>
        <w:t>服务期限</w:t>
      </w:r>
      <w:r>
        <w:rPr>
          <w:rFonts w:hint="eastAsia" w:hAnsi="宋体" w:cs="宋体"/>
          <w:b/>
          <w:bCs/>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自合同签订之日起</w:t>
      </w:r>
      <w:r>
        <w:rPr>
          <w:rFonts w:hint="eastAsia" w:hAnsi="宋体" w:cs="宋体"/>
          <w:b w:val="0"/>
          <w:bCs w:val="0"/>
          <w:color w:val="auto"/>
          <w:sz w:val="24"/>
          <w:szCs w:val="24"/>
          <w:highlight w:val="none"/>
          <w:lang w:val="en-US" w:eastAsia="zh-CN"/>
        </w:rPr>
        <w:t>一</w:t>
      </w:r>
      <w:r>
        <w:rPr>
          <w:rFonts w:hint="eastAsia" w:ascii="宋体" w:hAnsi="宋体" w:eastAsia="宋体" w:cs="宋体"/>
          <w:b w:val="0"/>
          <w:bCs w:val="0"/>
          <w:color w:val="auto"/>
          <w:sz w:val="24"/>
          <w:szCs w:val="24"/>
          <w:highlight w:val="none"/>
          <w:lang w:val="en-US" w:eastAsia="zh-CN"/>
        </w:rPr>
        <w:t>年</w:t>
      </w:r>
    </w:p>
    <w:p w14:paraId="7BDDA163">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val="en-US" w:eastAsia="zh-CN"/>
        </w:rPr>
        <w:t>服务地点</w:t>
      </w:r>
    </w:p>
    <w:p w14:paraId="4D42A44C">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采购人指定地点</w:t>
      </w:r>
    </w:p>
    <w:p w14:paraId="75C59607">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en-US" w:eastAsia="zh-CN"/>
        </w:rPr>
        <w:t>考核（验收）标准和方法</w:t>
      </w:r>
    </w:p>
    <w:p w14:paraId="588B8E9E">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按采购人要求完成项目服务内容及项目交付，并达到采购人验收要求，达到国家现行法律法规及行业要求合格标准。</w:t>
      </w:r>
    </w:p>
    <w:p w14:paraId="3E56630D">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val="en-US" w:eastAsia="zh-CN"/>
        </w:rPr>
        <w:t>支付方式</w:t>
      </w:r>
    </w:p>
    <w:p w14:paraId="624AA085">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分期付款</w:t>
      </w:r>
    </w:p>
    <w:p w14:paraId="227833F0">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lang w:val="en-US" w:eastAsia="zh-CN"/>
        </w:rPr>
        <w:t>支付约定</w:t>
      </w:r>
    </w:p>
    <w:p w14:paraId="5EB5300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本项目分三期支付，具体如下：</w:t>
      </w:r>
    </w:p>
    <w:p w14:paraId="611C19A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第一期（合同签订后）</w:t>
      </w:r>
      <w:r>
        <w:rPr>
          <w:rFonts w:hint="default" w:ascii="宋体" w:hAnsi="宋体" w:eastAsia="宋体" w:cs="宋体"/>
          <w:color w:val="auto"/>
          <w:szCs w:val="24"/>
          <w:highlight w:val="none"/>
        </w:rPr>
        <w:t>：合同签订之日起15个工作日内，甲方向乙方支付合同总价的45%</w:t>
      </w:r>
      <w:r>
        <w:rPr>
          <w:rFonts w:hint="eastAsia" w:ascii="宋体" w:hAnsi="宋体" w:eastAsia="宋体" w:cs="宋体"/>
          <w:color w:val="auto"/>
          <w:szCs w:val="24"/>
          <w:highlight w:val="none"/>
          <w:lang w:eastAsia="zh-CN"/>
        </w:rPr>
        <w:t>作为</w:t>
      </w:r>
      <w:r>
        <w:rPr>
          <w:rFonts w:hint="default" w:ascii="宋体" w:hAnsi="宋体" w:eastAsia="宋体" w:cs="宋体"/>
          <w:color w:val="auto"/>
          <w:szCs w:val="24"/>
          <w:highlight w:val="none"/>
        </w:rPr>
        <w:t>预付款。</w:t>
      </w:r>
    </w:p>
    <w:p w14:paraId="237C637B">
      <w:pPr>
        <w:spacing w:line="360" w:lineRule="auto"/>
        <w:ind w:firstLine="480" w:firstLineChars="200"/>
        <w:rPr>
          <w:rFonts w:hint="default" w:ascii="宋体" w:hAnsi="宋体" w:eastAsia="宋体" w:cs="宋体"/>
          <w:color w:val="auto"/>
          <w:szCs w:val="24"/>
          <w:highlight w:val="none"/>
        </w:rPr>
      </w:pPr>
      <w:r>
        <w:rPr>
          <w:rFonts w:hint="eastAsia" w:ascii="宋体" w:hAnsi="宋体" w:eastAsia="宋体" w:cs="宋体"/>
          <w:color w:val="auto"/>
          <w:szCs w:val="24"/>
          <w:highlight w:val="none"/>
        </w:rPr>
        <w:t>第二期（2027年4月）</w:t>
      </w:r>
      <w:r>
        <w:rPr>
          <w:rFonts w:hint="default" w:ascii="宋体" w:hAnsi="宋体" w:eastAsia="宋体" w:cs="宋体"/>
          <w:color w:val="auto"/>
          <w:szCs w:val="24"/>
          <w:highlight w:val="none"/>
        </w:rPr>
        <w:t>：2027年4月30日前，</w:t>
      </w:r>
      <w:r>
        <w:rPr>
          <w:rFonts w:hint="eastAsia" w:ascii="宋体" w:hAnsi="宋体" w:eastAsia="宋体" w:cs="宋体"/>
          <w:color w:val="auto"/>
          <w:szCs w:val="24"/>
          <w:highlight w:val="none"/>
          <w:lang w:eastAsia="zh-CN"/>
        </w:rPr>
        <w:t>甲乙双方通过工作量确认单对</w:t>
      </w:r>
      <w:r>
        <w:rPr>
          <w:rFonts w:hint="default" w:ascii="宋体" w:hAnsi="宋体" w:eastAsia="宋体" w:cs="宋体"/>
          <w:color w:val="auto"/>
          <w:szCs w:val="24"/>
          <w:highlight w:val="none"/>
        </w:rPr>
        <w:t>乙方自合同签订之日起至2027年3月</w:t>
      </w:r>
      <w:r>
        <w:rPr>
          <w:rFonts w:hint="eastAsia" w:ascii="宋体" w:hAnsi="宋体" w:eastAsia="宋体" w:cs="宋体"/>
          <w:color w:val="auto"/>
          <w:szCs w:val="24"/>
          <w:highlight w:val="none"/>
          <w:lang w:val="en-US" w:eastAsia="zh-CN"/>
        </w:rPr>
        <w:t>31日</w:t>
      </w:r>
      <w:r>
        <w:rPr>
          <w:rFonts w:hint="default" w:ascii="宋体" w:hAnsi="宋体" w:eastAsia="宋体" w:cs="宋体"/>
          <w:color w:val="auto"/>
          <w:szCs w:val="24"/>
          <w:highlight w:val="none"/>
        </w:rPr>
        <w:t>的运维工作完成情况</w:t>
      </w:r>
      <w:r>
        <w:rPr>
          <w:rFonts w:hint="eastAsia" w:ascii="宋体" w:hAnsi="宋体" w:eastAsia="宋体" w:cs="宋体"/>
          <w:color w:val="auto"/>
          <w:szCs w:val="24"/>
          <w:highlight w:val="none"/>
          <w:lang w:eastAsia="zh-CN"/>
        </w:rPr>
        <w:t>进行确认。甲方在书面确认后，按照该期间各季度的绩效考核成绩得分核算</w:t>
      </w:r>
      <w:r>
        <w:rPr>
          <w:rFonts w:hint="default" w:ascii="宋体" w:hAnsi="宋体" w:eastAsia="宋体" w:cs="宋体"/>
          <w:color w:val="auto"/>
          <w:szCs w:val="24"/>
          <w:highlight w:val="none"/>
        </w:rPr>
        <w:t>应付费用。本期支付上限为合同总价的30%。</w:t>
      </w:r>
    </w:p>
    <w:p w14:paraId="24F31F00">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第三期（合同到期后）</w:t>
      </w:r>
      <w:r>
        <w:rPr>
          <w:rFonts w:hint="default" w:ascii="宋体" w:hAnsi="宋体" w:eastAsia="宋体" w:cs="宋体"/>
          <w:color w:val="auto"/>
          <w:szCs w:val="24"/>
          <w:highlight w:val="none"/>
        </w:rPr>
        <w:t>：本项目服务期满（合同到期）后15个工作日内，</w:t>
      </w:r>
      <w:r>
        <w:rPr>
          <w:rFonts w:hint="eastAsia" w:ascii="宋体" w:hAnsi="宋体" w:eastAsia="宋体" w:cs="宋体"/>
          <w:color w:val="auto"/>
          <w:szCs w:val="24"/>
          <w:highlight w:val="none"/>
          <w:lang w:eastAsia="zh-CN"/>
        </w:rPr>
        <w:t>甲乙双方通过工作量确认单对</w:t>
      </w:r>
      <w:r>
        <w:rPr>
          <w:rFonts w:hint="default" w:ascii="宋体" w:hAnsi="宋体" w:eastAsia="宋体" w:cs="宋体"/>
          <w:color w:val="auto"/>
          <w:szCs w:val="24"/>
          <w:highlight w:val="none"/>
        </w:rPr>
        <w:t>乙方</w:t>
      </w:r>
      <w:r>
        <w:rPr>
          <w:rFonts w:hint="eastAsia" w:ascii="宋体" w:hAnsi="宋体" w:eastAsia="宋体" w:cs="宋体"/>
          <w:color w:val="auto"/>
          <w:szCs w:val="24"/>
          <w:highlight w:val="none"/>
          <w:lang w:eastAsia="zh-CN"/>
        </w:rPr>
        <w:t>全年</w:t>
      </w:r>
      <w:r>
        <w:rPr>
          <w:rFonts w:hint="default" w:ascii="宋体" w:hAnsi="宋体" w:eastAsia="宋体" w:cs="宋体"/>
          <w:color w:val="auto"/>
          <w:szCs w:val="24"/>
          <w:highlight w:val="none"/>
        </w:rPr>
        <w:t>运维工作完成情况</w:t>
      </w:r>
      <w:r>
        <w:rPr>
          <w:rFonts w:hint="eastAsia" w:ascii="宋体" w:hAnsi="宋体" w:eastAsia="宋体" w:cs="宋体"/>
          <w:color w:val="auto"/>
          <w:szCs w:val="24"/>
          <w:highlight w:val="none"/>
          <w:lang w:eastAsia="zh-CN"/>
        </w:rPr>
        <w:t>进行确认。甲方在书面确认后按照服务期内各季度的绩效考核成绩得分和全年增减项综合评价，核算合同尾款</w:t>
      </w:r>
      <w:r>
        <w:rPr>
          <w:rFonts w:hint="default" w:ascii="宋体" w:hAnsi="宋体" w:eastAsia="宋体" w:cs="宋体"/>
          <w:color w:val="auto"/>
          <w:szCs w:val="24"/>
          <w:highlight w:val="none"/>
        </w:rPr>
        <w:t>。</w:t>
      </w:r>
    </w:p>
    <w:p w14:paraId="2C5DA631">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val="en-US" w:eastAsia="zh-CN"/>
        </w:rPr>
        <w:t>违约责任与解决争议的方法</w:t>
      </w:r>
    </w:p>
    <w:p w14:paraId="5682B10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w:t>
      </w:r>
      <w:r>
        <w:rPr>
          <w:rFonts w:hint="eastAsia" w:hAnsi="宋体" w:cs="宋体"/>
          <w:color w:val="auto"/>
          <w:szCs w:val="24"/>
          <w:highlight w:val="none"/>
          <w:lang w:val="en-US" w:eastAsia="zh-CN"/>
        </w:rPr>
        <w:t>.</w:t>
      </w:r>
      <w:r>
        <w:rPr>
          <w:rFonts w:hint="eastAsia" w:ascii="宋体" w:hAnsi="宋体" w:eastAsia="宋体" w:cs="宋体"/>
          <w:color w:val="auto"/>
          <w:szCs w:val="24"/>
          <w:highlight w:val="none"/>
          <w:lang w:val="zh-CN"/>
        </w:rPr>
        <w:t>甲乙双方必须遵守合同并执行合同中的各项规定，保证合同的正常履行。2</w:t>
      </w:r>
      <w:r>
        <w:rPr>
          <w:rFonts w:hint="eastAsia" w:hAnsi="宋体" w:cs="宋体"/>
          <w:color w:val="auto"/>
          <w:szCs w:val="24"/>
          <w:highlight w:val="none"/>
          <w:lang w:val="en-US" w:eastAsia="zh-CN"/>
        </w:rPr>
        <w:t>.</w:t>
      </w:r>
      <w:r>
        <w:rPr>
          <w:rFonts w:hint="eastAsia" w:ascii="宋体" w:hAnsi="宋体" w:eastAsia="宋体" w:cs="宋体"/>
          <w:color w:val="auto"/>
          <w:szCs w:val="24"/>
          <w:highlight w:val="none"/>
          <w:lang w:val="zh-CN"/>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BCEB86B">
      <w:pPr>
        <w:pStyle w:val="11"/>
        <w:spacing w:line="360" w:lineRule="auto"/>
        <w:ind w:firstLine="480"/>
        <w:rPr>
          <w:rFonts w:hint="eastAsia" w:hAnsi="宋体" w:cs="宋体"/>
          <w:color w:val="auto"/>
          <w:szCs w:val="24"/>
          <w:highlight w:val="none"/>
          <w:lang w:val="en-US" w:eastAsia="zh-CN"/>
        </w:rPr>
      </w:pPr>
      <w:r>
        <w:rPr>
          <w:rFonts w:hint="eastAsia" w:ascii="宋体" w:hAnsi="宋体" w:eastAsia="宋体" w:cs="宋体"/>
          <w:b/>
          <w:bCs/>
          <w:color w:val="auto"/>
          <w:sz w:val="24"/>
          <w:szCs w:val="24"/>
          <w:highlight w:val="none"/>
          <w:lang w:val="en-US" w:eastAsia="zh-CN"/>
        </w:rPr>
        <w:t>九、其他事项</w:t>
      </w:r>
    </w:p>
    <w:p w14:paraId="3BB459EB">
      <w:pPr>
        <w:spacing w:line="360" w:lineRule="auto"/>
        <w:ind w:firstLine="480" w:firstLineChars="200"/>
        <w:rPr>
          <w:rFonts w:hint="eastAsia" w:ascii="宋体" w:hAnsi="宋体" w:eastAsia="宋体" w:cs="宋体"/>
          <w:color w:val="auto"/>
          <w:szCs w:val="24"/>
          <w:highlight w:val="none"/>
          <w:lang w:val="zh-CN"/>
        </w:rPr>
      </w:pPr>
      <w:r>
        <w:rPr>
          <w:rFonts w:hint="eastAsia" w:hAnsi="宋体" w:cs="宋体"/>
          <w:color w:val="auto"/>
          <w:szCs w:val="24"/>
          <w:highlight w:val="none"/>
          <w:lang w:val="en-US" w:eastAsia="zh-CN"/>
        </w:rPr>
        <w:t>（一）本项目投标人的采购包投标报价不得高于采购包采购预算及各分项预算。（二）</w:t>
      </w:r>
      <w:r>
        <w:rPr>
          <w:rFonts w:hint="eastAsia" w:ascii="宋体" w:hAnsi="宋体" w:eastAsia="宋体" w:cs="宋体"/>
          <w:color w:val="auto"/>
          <w:sz w:val="24"/>
          <w:szCs w:val="24"/>
          <w:highlight w:val="none"/>
          <w:lang w:val="en-US" w:eastAsia="zh-CN" w:bidi="ar-SA"/>
        </w:rPr>
        <w:t>标的名称</w:t>
      </w:r>
      <w:r>
        <w:rPr>
          <w:rFonts w:hint="eastAsia" w:hAnsi="宋体" w:cs="宋体"/>
          <w:color w:val="auto"/>
          <w:sz w:val="24"/>
          <w:szCs w:val="24"/>
          <w:highlight w:val="none"/>
          <w:lang w:val="en-US" w:eastAsia="zh-CN" w:bidi="ar-SA"/>
        </w:rPr>
        <w:t>：2026年西安市市级监测网运采购包2。（三）</w:t>
      </w:r>
      <w:r>
        <w:rPr>
          <w:rFonts w:hint="eastAsia" w:hAnsi="宋体" w:cs="宋体"/>
          <w:color w:val="auto"/>
          <w:szCs w:val="24"/>
          <w:highlight w:val="none"/>
          <w:lang w:val="en-US" w:eastAsia="zh-CN"/>
        </w:rPr>
        <w:t>本项目所属行业为：其他未列明行业，根据《工业和信息化部、国家统计局、国家发展和改革委员会、财政部关于印发中小企业划型标准规定的通知》《工信部联企(2011)300 号)规定的划分标准：其他未列明行业。从业人员300人以下的为中小微型企业。其中，从业人员100人及以上的为中型企业；从业人员10人及以上的为小型企业；从业人员10人以下的为微型企业。（四）</w:t>
      </w:r>
      <w:r>
        <w:rPr>
          <w:rFonts w:hint="eastAsia" w:ascii="宋体" w:hAnsi="宋体" w:eastAsia="宋体" w:cs="宋体"/>
          <w:color w:val="auto"/>
          <w:szCs w:val="24"/>
          <w:highlight w:val="none"/>
          <w:lang w:val="zh-CN"/>
        </w:rPr>
        <w:t>中标人在领取中标通知书时提供纸质版投标文件</w:t>
      </w:r>
      <w:r>
        <w:rPr>
          <w:rFonts w:hint="eastAsia" w:hAnsi="宋体" w:cs="宋体"/>
          <w:color w:val="auto"/>
          <w:szCs w:val="24"/>
          <w:highlight w:val="none"/>
          <w:lang w:val="en-US" w:eastAsia="zh-CN"/>
        </w:rPr>
        <w:t>3</w:t>
      </w:r>
      <w:r>
        <w:rPr>
          <w:rFonts w:hint="eastAsia" w:ascii="宋体" w:hAnsi="宋体" w:eastAsia="宋体" w:cs="宋体"/>
          <w:color w:val="auto"/>
          <w:szCs w:val="24"/>
          <w:highlight w:val="none"/>
          <w:lang w:val="zh-CN"/>
        </w:rPr>
        <w:t>套，应通过专用制作软件直接打印，确保与电子投标文件保持一致，不允许修改和补充。提交地点：西安市未央区未央路与凤城六路十字向西200米盛蕾科创园C座</w:t>
      </w:r>
      <w:r>
        <w:rPr>
          <w:rFonts w:hint="eastAsia" w:ascii="宋体" w:hAnsi="宋体" w:eastAsia="宋体" w:cs="宋体"/>
          <w:color w:val="auto"/>
          <w:szCs w:val="24"/>
          <w:highlight w:val="none"/>
        </w:rPr>
        <w:t>220</w:t>
      </w:r>
      <w:r>
        <w:rPr>
          <w:rFonts w:hint="eastAsia" w:ascii="宋体" w:hAnsi="宋体" w:eastAsia="宋体" w:cs="宋体"/>
          <w:color w:val="auto"/>
          <w:szCs w:val="24"/>
          <w:highlight w:val="none"/>
          <w:lang w:val="zh-CN"/>
        </w:rPr>
        <w:t>室。</w:t>
      </w:r>
      <w:r>
        <w:rPr>
          <w:rFonts w:hint="eastAsia" w:hAnsi="宋体" w:cs="宋体"/>
          <w:color w:val="auto"/>
          <w:szCs w:val="24"/>
          <w:highlight w:val="none"/>
          <w:lang w:val="zh-CN"/>
        </w:rPr>
        <w:t>（</w:t>
      </w:r>
      <w:r>
        <w:rPr>
          <w:rFonts w:hint="eastAsia" w:hAnsi="宋体" w:cs="宋体"/>
          <w:color w:val="auto"/>
          <w:szCs w:val="24"/>
          <w:highlight w:val="none"/>
          <w:lang w:val="en-US" w:eastAsia="zh-CN"/>
        </w:rPr>
        <w:t>五</w:t>
      </w:r>
      <w:r>
        <w:rPr>
          <w:rFonts w:hint="eastAsia" w:hAnsi="宋体" w:cs="宋体"/>
          <w:color w:val="auto"/>
          <w:szCs w:val="24"/>
          <w:highlight w:val="none"/>
          <w:lang w:val="zh-CN"/>
        </w:rPr>
        <w:t>）</w:t>
      </w:r>
      <w:r>
        <w:rPr>
          <w:rFonts w:hint="eastAsia" w:ascii="宋体" w:hAnsi="宋体" w:eastAsia="宋体" w:cs="宋体"/>
          <w:color w:val="auto"/>
          <w:szCs w:val="24"/>
          <w:highlight w:val="none"/>
          <w:lang w:val="zh-CN"/>
        </w:rPr>
        <w:t>投标人的投标报价包括投标人完成本项目所需直接费、间接费、利润、税金及其它相关的一切费用。</w:t>
      </w:r>
      <w:r>
        <w:rPr>
          <w:rFonts w:hint="eastAsia" w:hAnsi="宋体" w:cs="宋体"/>
          <w:color w:val="auto"/>
          <w:szCs w:val="24"/>
          <w:highlight w:val="none"/>
          <w:lang w:val="zh-CN"/>
        </w:rPr>
        <w:t>（</w:t>
      </w:r>
      <w:r>
        <w:rPr>
          <w:rFonts w:hint="eastAsia" w:hAnsi="宋体" w:cs="宋体"/>
          <w:color w:val="auto"/>
          <w:szCs w:val="24"/>
          <w:highlight w:val="none"/>
          <w:lang w:val="en-US" w:eastAsia="zh-CN"/>
        </w:rPr>
        <w:t>六</w:t>
      </w:r>
      <w:r>
        <w:rPr>
          <w:rFonts w:hint="eastAsia" w:hAnsi="宋体" w:cs="宋体"/>
          <w:color w:val="auto"/>
          <w:szCs w:val="24"/>
          <w:highlight w:val="none"/>
          <w:lang w:val="zh-CN"/>
        </w:rPr>
        <w:t>）</w:t>
      </w:r>
      <w:r>
        <w:rPr>
          <w:rFonts w:hint="eastAsia" w:ascii="宋体" w:hAnsi="宋体" w:eastAsia="宋体" w:cs="宋体"/>
          <w:color w:val="auto"/>
          <w:szCs w:val="24"/>
          <w:highlight w:val="none"/>
          <w:lang w:val="zh-CN"/>
        </w:rPr>
        <w:t>投标有效期：1.出现特殊情况需要延长投标有效期的，采购代理机构或采购人可于投标有效期满之前，以书面形式通知所有投标人延长投标有效期。投标人应予书面答复，同意延长的，应相应延长其投标保证金有效期，但不得要求或被允许修改其投标文件；投标人拒绝延长的，其投标文件失效，递交投标保证金的，投标人有权收回其投标保证金。2.在投标有效期内，投标人撤销投标文件的，应承担招标文件和法律规定的责任。3.中标人的投标有效期自动延长至合同终止为止。</w:t>
      </w:r>
      <w:r>
        <w:rPr>
          <w:rFonts w:hint="eastAsia" w:hAnsi="宋体" w:cs="宋体"/>
          <w:color w:val="auto"/>
          <w:szCs w:val="24"/>
          <w:highlight w:val="none"/>
          <w:lang w:val="zh-CN"/>
        </w:rPr>
        <w:t>（</w:t>
      </w:r>
      <w:r>
        <w:rPr>
          <w:rFonts w:hint="eastAsia" w:hAnsi="宋体" w:cs="宋体"/>
          <w:color w:val="auto"/>
          <w:szCs w:val="24"/>
          <w:highlight w:val="none"/>
          <w:lang w:val="en-US" w:eastAsia="zh-CN"/>
        </w:rPr>
        <w:t>七</w:t>
      </w:r>
      <w:r>
        <w:rPr>
          <w:rFonts w:hint="eastAsia" w:hAnsi="宋体" w:cs="宋体"/>
          <w:color w:val="auto"/>
          <w:szCs w:val="24"/>
          <w:highlight w:val="none"/>
          <w:lang w:val="zh-CN"/>
        </w:rPr>
        <w:t>）</w:t>
      </w:r>
      <w:r>
        <w:rPr>
          <w:rFonts w:hint="eastAsia" w:ascii="宋体" w:hAnsi="宋体" w:eastAsia="宋体" w:cs="宋体"/>
          <w:color w:val="auto"/>
          <w:szCs w:val="24"/>
          <w:highlight w:val="none"/>
          <w:lang w:val="zh-CN"/>
        </w:rPr>
        <w:t>合格投标少于3家的处理：评审过程中，合格投标人少于3家时，采购人应依法重新组织采购活动。</w:t>
      </w:r>
      <w:r>
        <w:rPr>
          <w:rFonts w:hint="eastAsia" w:hAnsi="宋体" w:cs="宋体"/>
          <w:color w:val="auto"/>
          <w:szCs w:val="24"/>
          <w:highlight w:val="none"/>
          <w:lang w:val="zh-CN"/>
        </w:rPr>
        <w:t>（</w:t>
      </w:r>
      <w:r>
        <w:rPr>
          <w:rFonts w:hint="eastAsia" w:hAnsi="宋体" w:cs="宋体"/>
          <w:color w:val="auto"/>
          <w:szCs w:val="24"/>
          <w:highlight w:val="none"/>
          <w:lang w:val="en-US" w:eastAsia="zh-CN"/>
        </w:rPr>
        <w:t>八</w:t>
      </w:r>
      <w:r>
        <w:rPr>
          <w:rFonts w:hint="eastAsia" w:hAnsi="宋体" w:cs="宋体"/>
          <w:color w:val="auto"/>
          <w:szCs w:val="24"/>
          <w:highlight w:val="none"/>
          <w:lang w:val="zh-CN"/>
        </w:rPr>
        <w:t>）</w:t>
      </w:r>
      <w:r>
        <w:rPr>
          <w:rFonts w:hint="eastAsia" w:ascii="宋体" w:hAnsi="宋体" w:eastAsia="宋体" w:cs="宋体"/>
          <w:color w:val="auto"/>
          <w:szCs w:val="24"/>
          <w:highlight w:val="none"/>
          <w:lang w:val="zh-CN"/>
        </w:rPr>
        <w:t>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w:t>
      </w:r>
      <w:r>
        <w:rPr>
          <w:rFonts w:hint="eastAsia" w:hAnsi="宋体" w:cs="宋体"/>
          <w:color w:val="auto"/>
          <w:szCs w:val="24"/>
          <w:highlight w:val="none"/>
          <w:lang w:val="zh-CN"/>
        </w:rPr>
        <w:t>（</w:t>
      </w:r>
      <w:r>
        <w:rPr>
          <w:rFonts w:hint="eastAsia" w:hAnsi="宋体" w:cs="宋体"/>
          <w:color w:val="auto"/>
          <w:szCs w:val="24"/>
          <w:highlight w:val="none"/>
          <w:lang w:val="en-US" w:eastAsia="zh-CN"/>
        </w:rPr>
        <w:t>九</w:t>
      </w:r>
      <w:r>
        <w:rPr>
          <w:rFonts w:hint="eastAsia" w:hAnsi="宋体" w:cs="宋体"/>
          <w:color w:val="auto"/>
          <w:szCs w:val="24"/>
          <w:highlight w:val="none"/>
          <w:lang w:val="zh-CN"/>
        </w:rPr>
        <w:t>）</w:t>
      </w:r>
      <w:r>
        <w:rPr>
          <w:rFonts w:hint="eastAsia" w:ascii="宋体" w:hAnsi="宋体" w:eastAsia="宋体" w:cs="宋体"/>
          <w:color w:val="auto"/>
          <w:szCs w:val="24"/>
          <w:highlight w:val="none"/>
          <w:lang w:val="zh-CN"/>
        </w:rPr>
        <w:t>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w:t>
      </w:r>
      <w:r>
        <w:rPr>
          <w:rFonts w:hint="eastAsia" w:hAnsi="宋体" w:cs="宋体"/>
          <w:color w:val="auto"/>
          <w:szCs w:val="24"/>
          <w:highlight w:val="none"/>
          <w:lang w:val="zh-CN"/>
        </w:rPr>
        <w:t>（</w:t>
      </w:r>
      <w:r>
        <w:rPr>
          <w:rFonts w:hint="eastAsia" w:hAnsi="宋体" w:cs="宋体"/>
          <w:color w:val="auto"/>
          <w:szCs w:val="24"/>
          <w:highlight w:val="none"/>
          <w:lang w:val="en-US" w:eastAsia="zh-CN"/>
        </w:rPr>
        <w:t>十</w:t>
      </w:r>
      <w:r>
        <w:rPr>
          <w:rFonts w:hint="eastAsia" w:hAnsi="宋体" w:cs="宋体"/>
          <w:color w:val="auto"/>
          <w:szCs w:val="24"/>
          <w:highlight w:val="none"/>
          <w:lang w:val="zh-CN"/>
        </w:rPr>
        <w:t>）</w:t>
      </w:r>
      <w:r>
        <w:rPr>
          <w:rFonts w:hint="eastAsia" w:ascii="宋体" w:hAnsi="宋体" w:eastAsia="宋体" w:cs="宋体"/>
          <w:color w:val="auto"/>
          <w:szCs w:val="24"/>
          <w:highlight w:val="none"/>
          <w:lang w:val="zh-CN"/>
        </w:rPr>
        <w:t>签名是指手写签名或者加盖签名章(含电子)，盖章是指加盖单位印章。</w:t>
      </w:r>
      <w:r>
        <w:rPr>
          <w:rFonts w:hint="eastAsia" w:hAnsi="宋体" w:cs="宋体"/>
          <w:color w:val="auto"/>
          <w:szCs w:val="24"/>
          <w:highlight w:val="none"/>
          <w:lang w:val="zh-CN" w:eastAsia="zh-CN"/>
        </w:rPr>
        <w:t>（</w:t>
      </w:r>
      <w:r>
        <w:rPr>
          <w:rFonts w:hint="eastAsia" w:hAnsi="宋体" w:cs="宋体"/>
          <w:color w:val="auto"/>
          <w:szCs w:val="24"/>
          <w:highlight w:val="none"/>
          <w:lang w:val="en-US" w:eastAsia="zh-CN"/>
        </w:rPr>
        <w:t>十一</w:t>
      </w:r>
      <w:r>
        <w:rPr>
          <w:rFonts w:hint="eastAsia" w:hAnsi="宋体" w:cs="宋体"/>
          <w:color w:val="auto"/>
          <w:szCs w:val="24"/>
          <w:highlight w:val="none"/>
          <w:lang w:val="zh-CN" w:eastAsia="zh-CN"/>
        </w:rPr>
        <w:t>）</w:t>
      </w:r>
      <w:r>
        <w:rPr>
          <w:rFonts w:ascii="宋体" w:hAnsi="宋体" w:eastAsia="宋体" w:cs="宋体"/>
          <w:b w:val="0"/>
          <w:bCs w:val="0"/>
          <w:color w:val="auto"/>
          <w:sz w:val="24"/>
          <w:szCs w:val="24"/>
          <w:highlight w:val="none"/>
        </w:rPr>
        <w:t>本项目实行</w:t>
      </w:r>
      <w:r>
        <w:rPr>
          <w:rStyle w:val="10"/>
          <w:rFonts w:ascii="宋体" w:hAnsi="宋体" w:eastAsia="宋体" w:cs="宋体"/>
          <w:b w:val="0"/>
          <w:bCs w:val="0"/>
          <w:color w:val="auto"/>
          <w:sz w:val="24"/>
          <w:szCs w:val="24"/>
          <w:highlight w:val="none"/>
        </w:rPr>
        <w:t>兼投不兼中</w:t>
      </w:r>
      <w:r>
        <w:rPr>
          <w:rFonts w:ascii="宋体" w:hAnsi="宋体" w:eastAsia="宋体" w:cs="宋体"/>
          <w:b w:val="0"/>
          <w:bCs w:val="0"/>
          <w:color w:val="auto"/>
          <w:sz w:val="24"/>
          <w:szCs w:val="24"/>
          <w:highlight w:val="none"/>
        </w:rPr>
        <w:t>规则，同一投标人可同时参与本项目多个标包投标，但仅限中标一个标包。评标工作按照</w:t>
      </w:r>
      <w:r>
        <w:rPr>
          <w:rFonts w:hint="eastAsia" w:hAnsi="宋体" w:cs="宋体"/>
          <w:b w:val="0"/>
          <w:bCs w:val="0"/>
          <w:color w:val="auto"/>
          <w:sz w:val="24"/>
          <w:szCs w:val="24"/>
          <w:highlight w:val="none"/>
          <w:lang w:val="en-US" w:eastAsia="zh-CN"/>
        </w:rPr>
        <w:t>采购包1、采购包2、采购包3、采购包4、采购包5</w:t>
      </w:r>
      <w:r>
        <w:rPr>
          <w:rFonts w:ascii="宋体" w:hAnsi="宋体" w:eastAsia="宋体" w:cs="宋体"/>
          <w:b w:val="0"/>
          <w:bCs w:val="0"/>
          <w:color w:val="auto"/>
          <w:sz w:val="24"/>
          <w:szCs w:val="24"/>
          <w:highlight w:val="none"/>
        </w:rPr>
        <w:t>顺序依次进行评审，投标人已被确定为第一中标候选人的，可继续参与后续标包评审活动，但其不再列入后续</w:t>
      </w:r>
      <w:r>
        <w:rPr>
          <w:rFonts w:hint="eastAsia" w:hAnsi="宋体" w:cs="宋体"/>
          <w:b w:val="0"/>
          <w:bCs w:val="0"/>
          <w:color w:val="auto"/>
          <w:sz w:val="24"/>
          <w:szCs w:val="24"/>
          <w:highlight w:val="none"/>
          <w:lang w:val="en-US" w:eastAsia="zh-CN"/>
        </w:rPr>
        <w:t>采购包</w:t>
      </w:r>
      <w:r>
        <w:rPr>
          <w:rFonts w:ascii="宋体" w:hAnsi="宋体" w:eastAsia="宋体" w:cs="宋体"/>
          <w:b w:val="0"/>
          <w:bCs w:val="0"/>
          <w:color w:val="auto"/>
          <w:sz w:val="24"/>
          <w:szCs w:val="24"/>
          <w:highlight w:val="none"/>
        </w:rPr>
        <w:t>中标候选人推荐名单。</w:t>
      </w:r>
    </w:p>
    <w:p w14:paraId="1510DA2D">
      <w:pPr>
        <w:pStyle w:val="2"/>
        <w:rPr>
          <w:rFonts w:hint="eastAsia"/>
          <w:color w:val="auto"/>
          <w:highlight w:val="none"/>
          <w:lang w:val="zh-CN"/>
        </w:rPr>
      </w:pPr>
    </w:p>
    <w:p w14:paraId="32385BED">
      <w:pPr>
        <w:rPr>
          <w:color w:val="auto"/>
          <w:highlight w:val="none"/>
        </w:rPr>
      </w:pPr>
    </w:p>
    <w:bookmarkEnd w:id="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53A17">
    <w:pPr>
      <w:pStyle w:val="4"/>
      <w:rPr>
        <w:rFonts w:ascii="宋体" w:hAnsi="宋体"/>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8666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8666C">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宋体" w:hAnsi="宋体" w:cs="楷体"/>
        <w:sz w:val="20"/>
        <w:szCs w:val="20"/>
      </w:rPr>
      <w:t xml:space="preserve">                     </w:t>
    </w:r>
    <w:r>
      <w:rPr>
        <w:rFonts w:ascii="宋体" w:hAnsi="宋体" w:cs="楷体"/>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10419">
    <w:pPr>
      <w:pStyle w:val="4"/>
      <w:rPr>
        <w:rFonts w:ascii="宋体" w:hAns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73DCE4">
                          <w:pPr>
                            <w:pStyle w:val="4"/>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273DCE4">
                    <w:pPr>
                      <w:pStyle w:val="4"/>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E277A">
    <w:pPr>
      <w:pStyle w:val="4"/>
      <w:rPr>
        <w:rFonts w:ascii="宋体" w:hAnsi="宋体"/>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162A70">
                          <w:pPr>
                            <w:pStyle w:val="4"/>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8162A70">
                    <w:pPr>
                      <w:pStyle w:val="4"/>
                    </w:pPr>
                    <w:r>
                      <w:fldChar w:fldCharType="begin"/>
                    </w:r>
                    <w:r>
                      <w:instrText xml:space="preserve"> PAGE  \* MERGEFORMAT </w:instrText>
                    </w:r>
                    <w:r>
                      <w:fldChar w:fldCharType="separate"/>
                    </w:r>
                    <w:r>
                      <w:t>43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54458">
    <w:pPr>
      <w:pStyle w:val="5"/>
      <w:pBdr>
        <w:bottom w:val="none" w:color="auto" w:sz="0" w:space="1"/>
      </w:pBdr>
      <w:ind w:firstLine="360" w:firstLineChars="200"/>
      <w:jc w:val="left"/>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B209B">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2AE54"/>
    <w:multiLevelType w:val="singleLevel"/>
    <w:tmpl w:val="A422AE54"/>
    <w:lvl w:ilvl="0" w:tentative="0">
      <w:start w:val="1"/>
      <w:numFmt w:val="upperLetter"/>
      <w:suff w:val="space"/>
      <w:lvlText w:val="%1)"/>
      <w:lvlJc w:val="left"/>
      <w:pPr>
        <w:ind w:left="0" w:firstLine="0"/>
      </w:pPr>
    </w:lvl>
  </w:abstractNum>
  <w:abstractNum w:abstractNumId="1">
    <w:nsid w:val="AB817738"/>
    <w:multiLevelType w:val="singleLevel"/>
    <w:tmpl w:val="AB817738"/>
    <w:lvl w:ilvl="0" w:tentative="0">
      <w:start w:val="2"/>
      <w:numFmt w:val="upperLetter"/>
      <w:suff w:val="space"/>
      <w:lvlText w:val="%1)"/>
      <w:lvlJc w:val="left"/>
      <w:pPr>
        <w:ind w:left="0" w:firstLine="0"/>
      </w:pPr>
    </w:lvl>
  </w:abstractNum>
  <w:abstractNum w:abstractNumId="2">
    <w:nsid w:val="B1B3B315"/>
    <w:multiLevelType w:val="singleLevel"/>
    <w:tmpl w:val="B1B3B315"/>
    <w:lvl w:ilvl="0" w:tentative="0">
      <w:start w:val="1"/>
      <w:numFmt w:val="decimalEnclosedCircleChinese"/>
      <w:suff w:val="space"/>
      <w:lvlText w:val="%1"/>
      <w:lvlJc w:val="left"/>
      <w:pPr>
        <w:ind w:left="0" w:firstLine="0"/>
      </w:pPr>
    </w:lvl>
  </w:abstractNum>
  <w:abstractNum w:abstractNumId="3">
    <w:nsid w:val="B1F68149"/>
    <w:multiLevelType w:val="singleLevel"/>
    <w:tmpl w:val="B1F68149"/>
    <w:lvl w:ilvl="0" w:tentative="0">
      <w:start w:val="1"/>
      <w:numFmt w:val="decimalEnclosedCircleChinese"/>
      <w:suff w:val="space"/>
      <w:lvlText w:val="%1"/>
      <w:lvlJc w:val="left"/>
      <w:pPr>
        <w:ind w:left="0" w:firstLine="0"/>
      </w:pPr>
    </w:lvl>
  </w:abstractNum>
  <w:abstractNum w:abstractNumId="4">
    <w:nsid w:val="B6B4892C"/>
    <w:multiLevelType w:val="singleLevel"/>
    <w:tmpl w:val="B6B4892C"/>
    <w:lvl w:ilvl="0" w:tentative="0">
      <w:start w:val="1"/>
      <w:numFmt w:val="decimalEnclosedCircleChinese"/>
      <w:suff w:val="space"/>
      <w:lvlText w:val="%1"/>
      <w:lvlJc w:val="left"/>
      <w:pPr>
        <w:ind w:left="0" w:firstLine="0"/>
      </w:pPr>
    </w:lvl>
  </w:abstractNum>
  <w:abstractNum w:abstractNumId="5">
    <w:nsid w:val="B9C25C33"/>
    <w:multiLevelType w:val="singleLevel"/>
    <w:tmpl w:val="B9C25C33"/>
    <w:lvl w:ilvl="0" w:tentative="0">
      <w:start w:val="1"/>
      <w:numFmt w:val="decimalEnclosedCircleChinese"/>
      <w:suff w:val="nothing"/>
      <w:lvlText w:val="%1　"/>
      <w:lvlJc w:val="left"/>
      <w:pPr>
        <w:ind w:left="-420" w:firstLine="400"/>
      </w:pPr>
      <w:rPr>
        <w:rFonts w:hint="eastAsia"/>
      </w:rPr>
    </w:lvl>
  </w:abstractNum>
  <w:abstractNum w:abstractNumId="6">
    <w:nsid w:val="C7EAE9EF"/>
    <w:multiLevelType w:val="singleLevel"/>
    <w:tmpl w:val="C7EAE9EF"/>
    <w:lvl w:ilvl="0" w:tentative="0">
      <w:start w:val="1"/>
      <w:numFmt w:val="decimalEnclosedCircleChinese"/>
      <w:suff w:val="space"/>
      <w:lvlText w:val="%1"/>
      <w:lvlJc w:val="left"/>
      <w:pPr>
        <w:ind w:left="0" w:firstLine="0"/>
      </w:pPr>
    </w:lvl>
  </w:abstractNum>
  <w:abstractNum w:abstractNumId="7">
    <w:nsid w:val="D3F638DD"/>
    <w:multiLevelType w:val="singleLevel"/>
    <w:tmpl w:val="D3F638DD"/>
    <w:lvl w:ilvl="0" w:tentative="0">
      <w:start w:val="1"/>
      <w:numFmt w:val="decimalEnclosedCircleChinese"/>
      <w:suff w:val="space"/>
      <w:lvlText w:val="%1"/>
      <w:lvlJc w:val="left"/>
      <w:pPr>
        <w:ind w:left="0" w:firstLine="0"/>
      </w:pPr>
    </w:lvl>
  </w:abstractNum>
  <w:abstractNum w:abstractNumId="8">
    <w:nsid w:val="DCF210D5"/>
    <w:multiLevelType w:val="multilevel"/>
    <w:tmpl w:val="DCF210D5"/>
    <w:lvl w:ilvl="0" w:tentative="0">
      <w:start w:val="1"/>
      <w:numFmt w:val="decimal"/>
      <w:suff w:val="space"/>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9">
    <w:nsid w:val="EE99886A"/>
    <w:multiLevelType w:val="singleLevel"/>
    <w:tmpl w:val="EE99886A"/>
    <w:lvl w:ilvl="0" w:tentative="0">
      <w:start w:val="1"/>
      <w:numFmt w:val="decimalEnclosedCircleChinese"/>
      <w:suff w:val="space"/>
      <w:lvlText w:val="%1"/>
      <w:lvlJc w:val="left"/>
      <w:pPr>
        <w:ind w:left="0" w:firstLine="0"/>
      </w:pPr>
    </w:lvl>
  </w:abstractNum>
  <w:abstractNum w:abstractNumId="10">
    <w:nsid w:val="F7D3F9CE"/>
    <w:multiLevelType w:val="multilevel"/>
    <w:tmpl w:val="F7D3F9CE"/>
    <w:lvl w:ilvl="0" w:tentative="0">
      <w:start w:val="1"/>
      <w:numFmt w:val="upperLetter"/>
      <w:suff w:val="space"/>
      <w:lvlText w:val="%1)"/>
      <w:lvlJc w:val="left"/>
      <w:pPr>
        <w:ind w:left="0" w:firstLine="0"/>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1">
    <w:nsid w:val="F88D51B7"/>
    <w:multiLevelType w:val="singleLevel"/>
    <w:tmpl w:val="F88D51B7"/>
    <w:lvl w:ilvl="0" w:tentative="0">
      <w:start w:val="1"/>
      <w:numFmt w:val="decimalEnclosedCircleChinese"/>
      <w:suff w:val="space"/>
      <w:lvlText w:val="%1"/>
      <w:lvlJc w:val="left"/>
      <w:pPr>
        <w:ind w:left="0" w:firstLine="0"/>
      </w:pPr>
    </w:lvl>
  </w:abstractNum>
  <w:abstractNum w:abstractNumId="12">
    <w:nsid w:val="FFE08C88"/>
    <w:multiLevelType w:val="multilevel"/>
    <w:tmpl w:val="FFE08C88"/>
    <w:lvl w:ilvl="0" w:tentative="0">
      <w:start w:val="1"/>
      <w:numFmt w:val="decimalEnclosedCircleChinese"/>
      <w:suff w:val="space"/>
      <w:lvlText w:val="%1"/>
      <w:lvlJc w:val="left"/>
      <w:rPr>
        <w:rFonts w:hint="eastAsia"/>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3">
    <w:nsid w:val="0F20DFB3"/>
    <w:multiLevelType w:val="multilevel"/>
    <w:tmpl w:val="0F20DFB3"/>
    <w:lvl w:ilvl="0" w:tentative="0">
      <w:start w:val="1"/>
      <w:numFmt w:val="upperLetter"/>
      <w:suff w:val="space"/>
      <w:lvlText w:val="%1)"/>
      <w:lvlJc w:val="left"/>
      <w:pPr>
        <w:ind w:left="0" w:firstLine="0"/>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4">
    <w:nsid w:val="1201CA94"/>
    <w:multiLevelType w:val="singleLevel"/>
    <w:tmpl w:val="1201CA94"/>
    <w:lvl w:ilvl="0" w:tentative="0">
      <w:start w:val="1"/>
      <w:numFmt w:val="upperLetter"/>
      <w:suff w:val="space"/>
      <w:lvlText w:val="%1)"/>
      <w:lvlJc w:val="left"/>
      <w:pPr>
        <w:ind w:left="0" w:firstLine="0"/>
      </w:pPr>
    </w:lvl>
  </w:abstractNum>
  <w:abstractNum w:abstractNumId="15">
    <w:nsid w:val="30291BA8"/>
    <w:multiLevelType w:val="singleLevel"/>
    <w:tmpl w:val="30291BA8"/>
    <w:lvl w:ilvl="0" w:tentative="0">
      <w:start w:val="1"/>
      <w:numFmt w:val="decimalEnclosedCircleChinese"/>
      <w:suff w:val="space"/>
      <w:lvlText w:val="%1"/>
      <w:lvlJc w:val="left"/>
      <w:pPr>
        <w:ind w:left="0" w:firstLine="0"/>
      </w:pPr>
    </w:lvl>
  </w:abstractNum>
  <w:abstractNum w:abstractNumId="16">
    <w:nsid w:val="33D721E8"/>
    <w:multiLevelType w:val="singleLevel"/>
    <w:tmpl w:val="33D721E8"/>
    <w:lvl w:ilvl="0" w:tentative="0">
      <w:start w:val="1"/>
      <w:numFmt w:val="decimalEnclosedCircleChinese"/>
      <w:suff w:val="space"/>
      <w:lvlText w:val="%1"/>
      <w:lvlJc w:val="left"/>
      <w:pPr>
        <w:ind w:left="0" w:firstLine="0"/>
      </w:pPr>
    </w:lvl>
  </w:abstractNum>
  <w:abstractNum w:abstractNumId="17">
    <w:nsid w:val="3C839884"/>
    <w:multiLevelType w:val="singleLevel"/>
    <w:tmpl w:val="3C839884"/>
    <w:lvl w:ilvl="0" w:tentative="0">
      <w:start w:val="1"/>
      <w:numFmt w:val="decimalEnclosedCircleChinese"/>
      <w:suff w:val="space"/>
      <w:lvlText w:val="%1"/>
      <w:lvlJc w:val="left"/>
      <w:pPr>
        <w:ind w:left="0" w:firstLine="0"/>
      </w:pPr>
    </w:lvl>
  </w:abstractNum>
  <w:abstractNum w:abstractNumId="18">
    <w:nsid w:val="3E329FD3"/>
    <w:multiLevelType w:val="multilevel"/>
    <w:tmpl w:val="3E329FD3"/>
    <w:lvl w:ilvl="0" w:tentative="0">
      <w:start w:val="1"/>
      <w:numFmt w:val="decimalEnclosedCircleChinese"/>
      <w:suff w:val="space"/>
      <w:lvlText w:val="%1"/>
      <w:lvlJc w:val="left"/>
      <w:pPr>
        <w:ind w:left="0" w:firstLine="0"/>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9">
    <w:nsid w:val="494B14EE"/>
    <w:multiLevelType w:val="multilevel"/>
    <w:tmpl w:val="494B14EE"/>
    <w:lvl w:ilvl="0" w:tentative="0">
      <w:start w:val="1"/>
      <w:numFmt w:val="upperLetter"/>
      <w:suff w:val="space"/>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20">
    <w:nsid w:val="55AE0BAC"/>
    <w:multiLevelType w:val="multilevel"/>
    <w:tmpl w:val="55AE0BAC"/>
    <w:lvl w:ilvl="0" w:tentative="0">
      <w:start w:val="1"/>
      <w:numFmt w:val="upperLetter"/>
      <w:suff w:val="space"/>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21">
    <w:nsid w:val="5931270D"/>
    <w:multiLevelType w:val="singleLevel"/>
    <w:tmpl w:val="5931270D"/>
    <w:lvl w:ilvl="0" w:tentative="0">
      <w:start w:val="5"/>
      <w:numFmt w:val="decimal"/>
      <w:suff w:val="nothing"/>
      <w:lvlText w:val="%1."/>
      <w:lvlJc w:val="left"/>
      <w:pPr>
        <w:ind w:left="0" w:firstLine="0"/>
      </w:pPr>
    </w:lvl>
  </w:abstractNum>
  <w:abstractNum w:abstractNumId="22">
    <w:nsid w:val="5B077A6E"/>
    <w:multiLevelType w:val="singleLevel"/>
    <w:tmpl w:val="5B077A6E"/>
    <w:lvl w:ilvl="0" w:tentative="0">
      <w:start w:val="1"/>
      <w:numFmt w:val="upperLetter"/>
      <w:suff w:val="space"/>
      <w:lvlText w:val="%1)"/>
      <w:lvlJc w:val="left"/>
      <w:pPr>
        <w:ind w:left="0" w:firstLine="0"/>
      </w:pPr>
    </w:lvl>
  </w:abstractNum>
  <w:abstractNum w:abstractNumId="23">
    <w:nsid w:val="5B787954"/>
    <w:multiLevelType w:val="singleLevel"/>
    <w:tmpl w:val="5B787954"/>
    <w:lvl w:ilvl="0" w:tentative="0">
      <w:start w:val="1"/>
      <w:numFmt w:val="decimalEnclosedCircleChinese"/>
      <w:suff w:val="space"/>
      <w:lvlText w:val="%1"/>
      <w:lvlJc w:val="left"/>
      <w:pPr>
        <w:ind w:left="0" w:firstLine="0"/>
      </w:pPr>
    </w:lvl>
  </w:abstractNum>
  <w:abstractNum w:abstractNumId="24">
    <w:nsid w:val="5F00AE7D"/>
    <w:multiLevelType w:val="singleLevel"/>
    <w:tmpl w:val="5F00AE7D"/>
    <w:lvl w:ilvl="0" w:tentative="0">
      <w:start w:val="1"/>
      <w:numFmt w:val="upperLetter"/>
      <w:suff w:val="space"/>
      <w:lvlText w:val="%1)"/>
      <w:lvlJc w:val="left"/>
      <w:pPr>
        <w:ind w:left="0" w:firstLine="0"/>
      </w:pPr>
    </w:lvl>
  </w:abstractNum>
  <w:abstractNum w:abstractNumId="25">
    <w:nsid w:val="6CA172B0"/>
    <w:multiLevelType w:val="singleLevel"/>
    <w:tmpl w:val="6CA172B0"/>
    <w:lvl w:ilvl="0" w:tentative="0">
      <w:start w:val="1"/>
      <w:numFmt w:val="decimalEnclosedCircleChinese"/>
      <w:suff w:val="space"/>
      <w:lvlText w:val="%1"/>
      <w:lvlJc w:val="left"/>
      <w:pPr>
        <w:ind w:left="0" w:firstLine="0"/>
      </w:pPr>
    </w:lvl>
  </w:abstractNum>
  <w:abstractNum w:abstractNumId="26">
    <w:nsid w:val="71243A74"/>
    <w:multiLevelType w:val="singleLevel"/>
    <w:tmpl w:val="71243A74"/>
    <w:lvl w:ilvl="0" w:tentative="0">
      <w:start w:val="1"/>
      <w:numFmt w:val="decimalEnclosedCircleChinese"/>
      <w:suff w:val="space"/>
      <w:lvlText w:val="%1"/>
      <w:lvlJc w:val="left"/>
      <w:pPr>
        <w:ind w:left="0" w:firstLine="0"/>
      </w:pPr>
    </w:lvl>
  </w:abstractNum>
  <w:abstractNum w:abstractNumId="27">
    <w:nsid w:val="7217632B"/>
    <w:multiLevelType w:val="singleLevel"/>
    <w:tmpl w:val="7217632B"/>
    <w:lvl w:ilvl="0" w:tentative="0">
      <w:start w:val="2"/>
      <w:numFmt w:val="upperLetter"/>
      <w:suff w:val="space"/>
      <w:lvlText w:val="%1)"/>
      <w:lvlJc w:val="left"/>
      <w:pPr>
        <w:ind w:left="0" w:firstLine="0"/>
      </w:pPr>
    </w:lvl>
  </w:abstractNum>
  <w:abstractNum w:abstractNumId="28">
    <w:nsid w:val="7CA7541A"/>
    <w:multiLevelType w:val="singleLevel"/>
    <w:tmpl w:val="7CA7541A"/>
    <w:lvl w:ilvl="0" w:tentative="0">
      <w:start w:val="1"/>
      <w:numFmt w:val="decimalEnclosedCircleChinese"/>
      <w:suff w:val="space"/>
      <w:lvlText w:val="%1"/>
      <w:lvlJc w:val="left"/>
      <w:pPr>
        <w:ind w:left="0" w:firstLine="0"/>
      </w:pPr>
    </w:lvl>
  </w:abstractNum>
  <w:num w:numId="1">
    <w:abstractNumId w:val="22"/>
    <w:lvlOverride w:ilvl="0">
      <w:startOverride w:val="1"/>
    </w:lvlOverride>
  </w:num>
  <w:num w:numId="2">
    <w:abstractNumId w:val="25"/>
    <w:lvlOverride w:ilvl="0">
      <w:startOverride w:val="1"/>
    </w:lvlOverride>
  </w:num>
  <w:num w:numId="3">
    <w:abstractNumId w:val="17"/>
    <w:lvlOverride w:ilvl="0">
      <w:startOverride w:val="1"/>
    </w:lvlOverride>
  </w:num>
  <w:num w:numId="4">
    <w:abstractNumId w:val="9"/>
    <w:lvlOverride w:ilvl="0">
      <w:startOverride w:val="1"/>
    </w:lvlOverride>
  </w:num>
  <w:num w:numId="5">
    <w:abstractNumId w:val="16"/>
    <w:lvlOverride w:ilvl="0">
      <w:startOverride w:val="1"/>
    </w:lvlOverride>
  </w:num>
  <w:num w:numId="6">
    <w:abstractNumId w:val="27"/>
    <w:lvlOverride w:ilvl="0">
      <w:startOverride w:val="2"/>
    </w:lvlOverride>
  </w:num>
  <w:num w:numId="7">
    <w:abstractNumId w:val="6"/>
    <w:lvlOverride w:ilvl="0">
      <w:startOverride w:val="1"/>
    </w:lvlOverride>
  </w:num>
  <w:num w:numId="8">
    <w:abstractNumId w:val="26"/>
    <w:lvlOverride w:ilvl="0">
      <w:startOverride w:val="1"/>
    </w:lvlOverride>
  </w:num>
  <w:num w:numId="9">
    <w:abstractNumId w:val="28"/>
    <w:lvlOverride w:ilvl="0">
      <w:startOverride w:val="1"/>
    </w:lvlOverride>
  </w:num>
  <w:num w:numId="10">
    <w:abstractNumId w:val="1"/>
    <w:lvlOverride w:ilvl="0">
      <w:startOverride w:val="2"/>
    </w:lvlOverride>
  </w:num>
  <w:num w:numId="11">
    <w:abstractNumId w:val="15"/>
    <w:lvlOverride w:ilvl="0">
      <w:startOverride w:val="1"/>
    </w:lvlOverride>
  </w:num>
  <w:num w:numId="12">
    <w:abstractNumId w:val="2"/>
    <w:lvlOverride w:ilvl="0">
      <w:startOverride w:val="1"/>
    </w:lvlOverride>
  </w:num>
  <w:num w:numId="13">
    <w:abstractNumId w:val="7"/>
    <w:lvlOverride w:ilvl="0">
      <w:startOverride w:val="1"/>
    </w:lvlOverride>
  </w:num>
  <w:num w:numId="14">
    <w:abstractNumId w:val="8"/>
  </w:num>
  <w:num w:numId="15">
    <w:abstractNumId w:val="19"/>
  </w:num>
  <w:num w:numId="16">
    <w:abstractNumId w:val="24"/>
    <w:lvlOverride w:ilvl="0">
      <w:startOverride w:val="1"/>
    </w:lvlOverride>
  </w:num>
  <w:num w:numId="17">
    <w:abstractNumId w:val="23"/>
    <w:lvlOverride w:ilvl="0">
      <w:startOverride w:val="1"/>
    </w:lvlOverride>
  </w:num>
  <w:num w:numId="18">
    <w:abstractNumId w:val="10"/>
  </w:num>
  <w:num w:numId="19">
    <w:abstractNumId w:val="18"/>
  </w:num>
  <w:num w:numId="20">
    <w:abstractNumId w:val="14"/>
    <w:lvlOverride w:ilvl="0">
      <w:startOverride w:val="1"/>
    </w:lvlOverride>
  </w:num>
  <w:num w:numId="21">
    <w:abstractNumId w:val="4"/>
    <w:lvlOverride w:ilvl="0">
      <w:startOverride w:val="1"/>
    </w:lvlOverride>
  </w:num>
  <w:num w:numId="22">
    <w:abstractNumId w:val="13"/>
  </w:num>
  <w:num w:numId="23">
    <w:abstractNumId w:val="3"/>
    <w:lvlOverride w:ilvl="0">
      <w:startOverride w:val="1"/>
    </w:lvlOverride>
  </w:num>
  <w:num w:numId="24">
    <w:abstractNumId w:val="20"/>
  </w:num>
  <w:num w:numId="25">
    <w:abstractNumId w:val="12"/>
  </w:num>
  <w:num w:numId="26">
    <w:abstractNumId w:val="21"/>
    <w:lvlOverride w:ilvl="0">
      <w:startOverride w:val="5"/>
    </w:lvlOverride>
  </w:num>
  <w:num w:numId="27">
    <w:abstractNumId w:val="0"/>
    <w:lvlOverride w:ilvl="0">
      <w:startOverride w:val="1"/>
    </w:lvlOverride>
  </w:num>
  <w:num w:numId="28">
    <w:abstractNumId w:val="11"/>
    <w:lvlOverride w:ilvl="0">
      <w:startOverride w:val="1"/>
    </w:lvlOverride>
  </w:num>
  <w:num w:numId="29">
    <w:abstractNumId w:val="1"/>
    <w:lvlOverride w:ilvl="0">
      <w:startOverride w:val="2"/>
    </w:lvlOverride>
  </w:num>
  <w:num w:numId="30">
    <w:abstractNumId w:val="14"/>
    <w:lvlOverride w:ilvl="0">
      <w:startOverride w:val="1"/>
    </w:lvlOverride>
  </w:num>
  <w:num w:numId="31">
    <w:abstractNumId w:val="4"/>
    <w:lvlOverride w:ilvl="0">
      <w:startOverride w:val="1"/>
    </w:lvlOverride>
  </w:num>
  <w:num w:numId="32">
    <w:abstractNumId w:val="21"/>
    <w:lvlOverride w:ilvl="0">
      <w:startOverride w:val="5"/>
    </w:lvlOverride>
  </w:num>
  <w:num w:numId="33">
    <w:abstractNumId w:val="5"/>
  </w:num>
  <w:num w:numId="34">
    <w:abstractNumId w:val="0"/>
    <w:lvlOverride w:ilvl="0">
      <w:startOverride w:val="1"/>
    </w:lvlOverride>
  </w:num>
  <w:num w:numId="35">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86CD9"/>
    <w:rsid w:val="099F35A3"/>
    <w:rsid w:val="0C871385"/>
    <w:rsid w:val="0E3B7ACA"/>
    <w:rsid w:val="307F5D4C"/>
    <w:rsid w:val="359C73A0"/>
    <w:rsid w:val="4D7A61BE"/>
    <w:rsid w:val="51383FC9"/>
    <w:rsid w:val="5E030783"/>
    <w:rsid w:val="639E415F"/>
    <w:rsid w:val="66DA5FEA"/>
    <w:rsid w:val="6D096729"/>
    <w:rsid w:val="72312642"/>
    <w:rsid w:val="7B9A6495"/>
    <w:rsid w:val="7C520E5C"/>
    <w:rsid w:val="7EDB1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next w:val="3"/>
    <w:qFormat/>
    <w:uiPriority w:val="0"/>
    <w:pPr>
      <w:tabs>
        <w:tab w:val="center" w:pos="4153"/>
        <w:tab w:val="right" w:pos="8306"/>
      </w:tabs>
      <w:snapToGrid w:val="0"/>
      <w:jc w:val="left"/>
    </w:pPr>
    <w:rPr>
      <w:rFonts w:ascii="Times New Roman"/>
      <w:kern w:val="2"/>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paragraph" w:styleId="6">
    <w:name w:val="Body Text First Indent"/>
    <w:basedOn w:val="3"/>
    <w:unhideWhenUsed/>
    <w:qFormat/>
    <w:uiPriority w:val="99"/>
    <w:pPr>
      <w:ind w:firstLine="420" w:firstLineChars="100"/>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23686</Words>
  <Characters>25940</Characters>
  <Lines>0</Lines>
  <Paragraphs>0</Paragraphs>
  <TotalTime>0</TotalTime>
  <ScaleCrop>false</ScaleCrop>
  <LinksUpToDate>false</LinksUpToDate>
  <CharactersWithSpaces>27045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2026-06-09T11:12:00Z</dcterms:created>
  <dc:creator>Administrator</dc:creator>
  <cp:lastModifiedBy>依偎在你臂弯</cp:lastModifiedBy>
  <dcterms:modified xsi:type="dcterms:W3CDTF">2026-06-10T17:10:15Z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eyJoZGlkIjoiMDY1N2UxODdlOGQyNzRlOTYxZjM3NmJkY2IyOWE2MzMiLCJ1c2VySWQiOiI3NjM4MTQifQ==</vt:lpwstr>
  </property>
  <property fmtid="{D5CDD505-2E9C-101B-9397-08002B2CF9AE}" pid="4" name="ICV">
    <vt:lpwstr>E876D8C5361D4A3D9EBD40AADF49AA10_12</vt:lpwstr>
  </property>
</Properties>
</file>