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761F9">
      <w:pPr>
        <w:widowControl/>
        <w:numPr>
          <w:ilvl w:val="0"/>
          <w:numId w:val="0"/>
        </w:numPr>
        <w:shd w:val="clear" w:color="auto" w:fill="FFFFFF"/>
        <w:snapToGrid w:val="0"/>
        <w:spacing w:line="450" w:lineRule="atLeast"/>
        <w:ind w:left="0" w:leftChars="0" w:right="0" w:rightChars="0" w:firstLine="0" w:firstLineChars="0"/>
        <w:jc w:val="center"/>
        <w:outlineLvl w:val="0"/>
        <w:rPr>
          <w:rFonts w:hint="default" w:ascii="仿宋" w:hAnsi="仿宋" w:eastAsia="仿宋" w:cs="仿宋"/>
          <w:b/>
          <w:bCs/>
          <w:color w:val="333333"/>
          <w:kern w:val="44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333333"/>
          <w:kern w:val="44"/>
          <w:sz w:val="32"/>
          <w:szCs w:val="32"/>
          <w:shd w:val="clear" w:color="auto" w:fill="FFFFFF"/>
          <w:lang w:val="en-US" w:eastAsia="zh-CN" w:bidi="ar-SA"/>
        </w:rPr>
        <w:t>拟签订采购合同文本</w:t>
      </w:r>
    </w:p>
    <w:p w14:paraId="4FDE69C6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3640" w:firstLineChars="13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bookmarkStart w:id="0" w:name="_Toc18006"/>
      <w:bookmarkStart w:id="1" w:name="_Toc28172"/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</w:rPr>
        <w:t>（参考格式）</w:t>
      </w:r>
      <w:bookmarkEnd w:id="0"/>
      <w:bookmarkEnd w:id="1"/>
    </w:p>
    <w:p w14:paraId="36539FD1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1960" w:firstLineChars="7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(最终以甲乙双方实际协商签定协议为准)</w:t>
      </w:r>
    </w:p>
    <w:p w14:paraId="5F795712">
      <w:pPr>
        <w:spacing w:line="540" w:lineRule="exact"/>
        <w:jc w:val="both"/>
        <w:outlineLvl w:val="0"/>
        <w:rPr>
          <w:rFonts w:hint="eastAsia" w:ascii="宋体" w:hAnsi="宋体" w:eastAsia="宋体" w:cs="宋体"/>
          <w:b/>
          <w:bCs/>
          <w:sz w:val="30"/>
          <w:szCs w:val="30"/>
          <w:lang w:val="zh-CN"/>
        </w:rPr>
      </w:pPr>
    </w:p>
    <w:p w14:paraId="615D0F70">
      <w:pPr>
        <w:spacing w:line="540" w:lineRule="exact"/>
        <w:jc w:val="both"/>
        <w:outlineLvl w:val="0"/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zh-CN"/>
        </w:rPr>
        <w:t>合同编号：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 xml:space="preserve">            </w:t>
      </w:r>
    </w:p>
    <w:p w14:paraId="5A98D77B">
      <w:pPr>
        <w:spacing w:line="540" w:lineRule="exact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2D81C222">
      <w:pPr>
        <w:rPr>
          <w:rFonts w:hint="eastAsia" w:ascii="仿宋" w:hAnsi="仿宋" w:eastAsia="仿宋" w:cs="仿宋"/>
          <w:b w:val="0"/>
          <w:bCs w:val="0"/>
          <w:sz w:val="21"/>
          <w:szCs w:val="24"/>
          <w:lang w:val="zh-CN"/>
        </w:rPr>
      </w:pPr>
    </w:p>
    <w:p w14:paraId="17B3BE7A">
      <w:pPr>
        <w:widowControl w:val="0"/>
        <w:spacing w:line="540" w:lineRule="exact"/>
        <w:jc w:val="both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088201DD">
      <w:pPr>
        <w:widowControl w:val="0"/>
        <w:spacing w:line="480" w:lineRule="auto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39F60D9C">
      <w:pPr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05442924">
      <w:pPr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1C217614">
      <w:pPr>
        <w:widowControl w:val="0"/>
        <w:spacing w:line="480" w:lineRule="auto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  <w:t>李家河水源地应急趸船码头运维项目合同</w:t>
      </w:r>
    </w:p>
    <w:p w14:paraId="224F2D86">
      <w:pPr>
        <w:spacing w:line="48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3496E286">
      <w:pPr>
        <w:spacing w:line="540" w:lineRule="exact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  <w:bookmarkStart w:id="3" w:name="_GoBack"/>
      <w:bookmarkEnd w:id="3"/>
    </w:p>
    <w:p w14:paraId="42EF75C9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2C8B460C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290F38D2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1D992EF7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1BB0A8CE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46E8FD84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73528FF6">
      <w:pPr>
        <w:widowControl w:val="0"/>
        <w:spacing w:line="54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zh-CN" w:eastAsia="zh-CN" w:bidi="ar-SA"/>
        </w:rPr>
      </w:pPr>
    </w:p>
    <w:p w14:paraId="2425DD36">
      <w:pPr>
        <w:widowControl w:val="0"/>
        <w:spacing w:line="480" w:lineRule="auto"/>
        <w:ind w:firstLine="1928" w:firstLineChars="6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甲方：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u w:val="single"/>
          <w:lang w:val="en-US" w:eastAsia="zh-CN" w:bidi="ar-SA"/>
        </w:rPr>
        <w:t>西安市李家河水源地环境保护管理站</w:t>
      </w:r>
    </w:p>
    <w:p w14:paraId="2CC303F0">
      <w:pPr>
        <w:widowControl w:val="0"/>
        <w:spacing w:line="480" w:lineRule="auto"/>
        <w:ind w:firstLine="1928" w:firstLineChars="6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乙方：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u w:val="single"/>
          <w:lang w:val="en-US" w:eastAsia="zh-CN" w:bidi="ar-SA"/>
        </w:rPr>
        <w:t xml:space="preserve">                                </w:t>
      </w:r>
    </w:p>
    <w:p w14:paraId="5560D8F3">
      <w:pPr>
        <w:spacing w:line="540" w:lineRule="exact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年    月    日</w:t>
      </w:r>
    </w:p>
    <w:p w14:paraId="682E6D3E">
      <w:pPr>
        <w:spacing w:line="540" w:lineRule="exact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12572819">
      <w:pPr>
        <w:spacing w:line="540" w:lineRule="exact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CN"/>
        </w:rPr>
      </w:pPr>
    </w:p>
    <w:p w14:paraId="4D400EE1">
      <w:pPr>
        <w:rPr>
          <w:rFonts w:hint="eastAsia" w:ascii="仿宋" w:hAnsi="仿宋" w:eastAsia="仿宋" w:cs="仿宋"/>
          <w:b w:val="0"/>
          <w:bCs w:val="0"/>
          <w:sz w:val="21"/>
          <w:szCs w:val="24"/>
        </w:rPr>
      </w:pPr>
    </w:p>
    <w:p w14:paraId="7D7B73E1">
      <w:pPr>
        <w:rPr>
          <w:rFonts w:hint="eastAsia" w:ascii="仿宋" w:hAnsi="仿宋" w:eastAsia="仿宋" w:cs="仿宋"/>
          <w:b w:val="0"/>
          <w:bCs w:val="0"/>
          <w:sz w:val="21"/>
          <w:szCs w:val="24"/>
        </w:rPr>
      </w:pPr>
    </w:p>
    <w:p w14:paraId="1BF56BA4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甲方：</w:t>
      </w:r>
      <w:bookmarkStart w:id="2" w:name="OLE_LINK1"/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</w:rPr>
        <w:t>西安市李家河水源地环境保护管理站</w:t>
      </w:r>
    </w:p>
    <w:bookmarkEnd w:id="2"/>
    <w:p w14:paraId="59293C8F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1"/>
          <w:szCs w:val="24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乙方：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5BC25F86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根据《中华人民共和国民法典》、《中华人民共和国政府采购法》、《中华人民共和国政府采购法实施条例》、等法律法规，甲方通过竞争性磋商，选定乙方为成交单位。甲、乙双方在平等基础上协商一致，达成如下合同条款:</w:t>
      </w:r>
    </w:p>
    <w:p w14:paraId="07591474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第一条 项目概况</w:t>
      </w:r>
    </w:p>
    <w:p w14:paraId="16C8B341">
      <w:pPr>
        <w:widowControl w:val="0"/>
        <w:spacing w:line="480" w:lineRule="auto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1.项目名称：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zh-CN" w:eastAsia="zh-CN" w:bidi="ar-SA"/>
        </w:rPr>
        <w:t>李家河水源地应急趸船码头运维项目</w:t>
      </w:r>
    </w:p>
    <w:p w14:paraId="4C8A408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2.服务地点：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甲方指定地点</w:t>
      </w:r>
    </w:p>
    <w:p w14:paraId="2040537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第二条 服务期限</w:t>
      </w:r>
    </w:p>
    <w:p w14:paraId="3152859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自合同签订生效之日起1年。</w:t>
      </w:r>
    </w:p>
    <w:p w14:paraId="0B55620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第三条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服务内容</w:t>
      </w:r>
    </w:p>
    <w:p w14:paraId="06793E96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确保码头的正常使用，定期做好码头的日常保养、发动机保养,以及由于各种原因造成的码头破损的维修。</w:t>
      </w:r>
    </w:p>
    <w:p w14:paraId="528CBE5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服务要求</w:t>
      </w:r>
    </w:p>
    <w:p w14:paraId="655165E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1.日常维护：每周至少2次现场调整，汛期因水库水位差一天涨幅可超5米，巡查频次显著增加。平水期和枯水期每次码头调整需4人；汛期出于安全考虑，每次调整需6人。</w:t>
      </w:r>
    </w:p>
    <w:p w14:paraId="705C800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2.故障检修：24小时内响应并处理突发设备故障，如汛期趸船储物舱内积水抽取、缆桩加固等。</w:t>
      </w:r>
    </w:p>
    <w:p w14:paraId="7CE6EC7C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3.安全培训与防护设施：对码头调整人员开展水上作业安全培训。采购安全绳、安全帽、救生衣等防护设施。</w:t>
      </w:r>
    </w:p>
    <w:p w14:paraId="5585802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4.设施更换及加固：为保障趸船码头及系泊船只安全，防止缆绳断裂、设施松动或脱落，需每年定期对缆桩、趸船跳板卷扬机、动力设施、遮阳棚架及缆绳等进行更换与加固。</w:t>
      </w:r>
    </w:p>
    <w:p w14:paraId="57D975BA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5.检修口仓盖更换及趸船刷漆：每年枯水期需采用环保防锈漆进行刷漆处理，以延长趸船使用寿命，防止钢结构进一步锈蚀，确保码头长期安全运行。</w:t>
      </w:r>
    </w:p>
    <w:p w14:paraId="1E54F5D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6.应急演练：根据海事局最新监管要求，水源地趸船码头须每年至少开展一次综合性应急演练。为提升现场人员应急处置能力，需邀请专家现场指导，重点开展消防安全、乘船人员落水救援等实战演练，确保在极端天气或突发事件中能够快速、规范响应。</w:t>
      </w:r>
    </w:p>
    <w:p w14:paraId="7750B5F9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条 服务标准与验收标准</w:t>
      </w:r>
    </w:p>
    <w:p w14:paraId="279E6386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（一）进度要求</w:t>
      </w:r>
    </w:p>
    <w:p w14:paraId="52C9C493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每周至少两次现场调整需提供有水印的现场照片，每月提供一份运维记录表表上要有运维人员签字，运维人员应有相应的安全培训后上岗，运维公司应给运维人员购置相应保险。每季度开展一次安全生产会议提供会议记录。</w:t>
      </w:r>
    </w:p>
    <w:p w14:paraId="2747CBB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（二）质量验收标准或规范</w:t>
      </w:r>
    </w:p>
    <w:p w14:paraId="3B4908D4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本项目验收以现行国家法律法规、规章制度及国家标准为主要依据；无国家标准的，参照现行行业标准执行。</w:t>
      </w:r>
    </w:p>
    <w:p w14:paraId="1F90A34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双方权利与义务</w:t>
      </w:r>
    </w:p>
    <w:p w14:paraId="2E7B2A2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（一）甲方权利义务</w:t>
      </w:r>
    </w:p>
    <w:p w14:paraId="31A953F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1.甲方有权对乙方全部运维工作、人员配置、安全管理、台账资料进行日常监督、抽查；对不符合合同标准的服务内容，有权要求乙方限期整改；</w:t>
      </w:r>
    </w:p>
    <w:p w14:paraId="782E749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2.按本合同约定及时支付服务款项；</w:t>
      </w:r>
    </w:p>
    <w:p w14:paraId="45A80982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3.为乙方提供码头作业必要通行、作业场地基础条件，配合乙方开展应急演练、安全检查；</w:t>
      </w:r>
    </w:p>
    <w:p w14:paraId="3D572DB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（二）乙方权利义务</w:t>
      </w:r>
    </w:p>
    <w:p w14:paraId="5E386672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1.严格按照本合同第三条、第四条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全部标准完成运维服务，建立完整运维档案，按时提交水印现场照片、月度运维台账、季度安全生产会议记录、年度演练全套资料；</w:t>
      </w:r>
    </w:p>
    <w:p w14:paraId="21AB668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2.全权负责作业全过程安全生产，承担因自身原因造成的水上作业、设备维修、现场施工等安全责任。如因乙方过错发生人员伤亡、财产损毁、第三方损失的，由乙方依法承担相应赔偿责任；</w:t>
      </w:r>
    </w:p>
    <w:p w14:paraId="6804629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3.自备作业所需全部工具、机械设备、防腐材料、安全防护物资，所有物资、设备费用包含在合同总价内；</w:t>
      </w:r>
    </w:p>
    <w:p w14:paraId="6E50C57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4.接到甲方故障通知后严格执行24小时应急响应，逾期未处置造成码头设施损坏、水源地安全风险的，乙方承担相应维修及损失费用；</w:t>
      </w:r>
    </w:p>
    <w:p w14:paraId="3DA34A2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5.服从甲方、海事部门、水源地管理各项监管要求，配合各类安全检查、专项督查；</w:t>
      </w:r>
    </w:p>
    <w:p w14:paraId="6583A80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6.合同到期或提前终止时，完整移交全部运维台账、设备资料、防护物资清单，配合甲方完成整体验收。</w:t>
      </w:r>
    </w:p>
    <w:p w14:paraId="2DE3F46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合同价款及结算方式</w:t>
      </w:r>
    </w:p>
    <w:p w14:paraId="4F3B433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1.本合同总价：人民币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元（大写：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元整），为固定总价包干，包含人工、设备、材料、安全防护、培训、应急演练、保险、维修、除锈刷漆、管理费、税费等完成全部服务内容所需一切费用，甲方无需额外支付任何其他费用。</w:t>
      </w:r>
    </w:p>
    <w:p w14:paraId="3CEFD8D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2.付款节点：</w:t>
      </w:r>
    </w:p>
    <w:p w14:paraId="406671B9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合同签订生效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且满足付款条件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后10个工作日内，甲方向乙方支付合同总价款40% ，即人民币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元；</w:t>
      </w:r>
    </w:p>
    <w:p w14:paraId="17A5A49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服务期限届满，乙方完成全部运维工作、提交全套完整运维档案，经甲方整体验收合格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且满足付款条件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后1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个工作日内，支付剩余60%合同价款，即人民币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元。</w:t>
      </w:r>
    </w:p>
    <w:p w14:paraId="126003B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.付款方式：银行转账</w:t>
      </w:r>
    </w:p>
    <w:p w14:paraId="17B84E8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履约验收</w:t>
      </w:r>
    </w:p>
    <w:p w14:paraId="3865C8B3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1.阶段性核查：甲方每月核对乙方提交运维记录、现场照片，每季度核查安全生产会议资料，不定期现场抽查作业人员、防护设施、设备运行状态；</w:t>
      </w:r>
    </w:p>
    <w:p w14:paraId="0DC4F06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2.整体竣工验收：服务期满后5个工作日内，乙方提交全套运维成果资料（月度台账、安全培训记录、保险单据、演练全套材料、防腐施工记录、设施更换清单等），甲方在收到资料后 10个工作日内组织现场综合验收；</w:t>
      </w:r>
    </w:p>
    <w:p w14:paraId="4060D96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验收不合格处置：若验收存在不合格项，甲方应向乙方出具书面整改通知书，载明具体不合格内容及整改要求。乙方须在7日内完成整改并重新报验。若乙方无正当理由逾期未完成整改或经两次整改仍不合格的，甲方有权就该不合格项所对应的服务内容，按照合同约定的计价方式核减相应合同价款。整改产生的费用由乙方自行承担。</w:t>
      </w:r>
    </w:p>
    <w:p w14:paraId="2FAB2F4D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违约责任</w:t>
      </w:r>
    </w:p>
    <w:p w14:paraId="7E18ACCB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1.乙方未按约定频次开展码头调整、巡查，每逾期一次，扣除合同总价款1%；连续3次未完成作业的，甲方有权单方解除合同，乙方支付合同总价10%违约金。</w:t>
      </w:r>
    </w:p>
    <w:p w14:paraId="33519A10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2.设备故障乙方未在24小时内到场处置，每逾期12小时扣除合同总价2%；因乙方原因处置不及时造成码头、趸船损毁的，乙方承担修复费用并赔偿甲方由此造成的直接经济损失。</w:t>
      </w:r>
    </w:p>
    <w:p w14:paraId="2FE29179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.乙方未按约定落实安全培训、未为作业人员购买足额保险或未按要求配备防护设施，经甲方书面通知后5个工作日内仍未整改的，甲方有权暂停支付当期款项，直至乙方整改完毕。若因乙方未履行上述安全保障义务而导致发生安全事故的，乙方应依法承担与其过错相应的法律责任；若因此造成重大安全责任事故，对甲方声誉或财产造成严重损害的，甲方有权在乙方应承担的赔偿之外，另行扣除合同总价10% 作为违约金。</w:t>
      </w:r>
    </w:p>
    <w:p w14:paraId="0F0E26E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4.未按要求开展年度防腐刷漆、设施更换、应急演练的，甲方有权要求乙方限期补做，并扣除合同总价15%。</w:t>
      </w:r>
    </w:p>
    <w:p w14:paraId="154A6FBF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5.乙方逾期交付运维台账、影像资料，每逾期一日扣除合同总价 0.5% 。</w:t>
      </w:r>
    </w:p>
    <w:p w14:paraId="004AF941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.任何一方单方无故解除合同，需向对方支付合同总价15%违约金；违约金不足以弥补实际损失的，违约方另行补足差额。</w:t>
      </w:r>
    </w:p>
    <w:p w14:paraId="581BFD69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.本合同约定的违约金总额以合同总价款的30%为上限，超出部分不予支持。</w:t>
      </w:r>
    </w:p>
    <w:p w14:paraId="1E0A34C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争议解决</w:t>
      </w:r>
    </w:p>
    <w:p w14:paraId="4E81EDD2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本合同履行过程中发生争议，双方优先友好协商解决；协商不成的，按下列第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种方式处理：</w:t>
      </w:r>
    </w:p>
    <w:p w14:paraId="5443C774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甲方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所在地有管辖权的人民法院提起诉讼；</w:t>
      </w:r>
    </w:p>
    <w:p w14:paraId="4ABFA193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2.向西安仲裁委员会申请仲裁。</w:t>
      </w:r>
    </w:p>
    <w:p w14:paraId="08E458E5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其他约定</w:t>
      </w:r>
    </w:p>
    <w:p w14:paraId="4D49ECC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1.本合同所有附件、采购需求文件、乙方投标（响应）文件、中标（成交）通知书均为本合同有效组成部分，与本合同具有同等法律效力；内容冲突时，以本合同约定为准。</w:t>
      </w:r>
    </w:p>
    <w:p w14:paraId="17D898F8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.乙方不得将本项目全部或主要运维服务转包、违法分包；未经甲方书面同意分包的，甲方有权解除合同并追究乙方违约责任。</w:t>
      </w:r>
    </w:p>
    <w:p w14:paraId="7F3DDCB7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.本合同一式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份，甲方执贰份，乙方执壹份，自甲乙双方签字盖章之日起生效。</w:t>
      </w:r>
    </w:p>
    <w:p w14:paraId="22FBDB73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通知与送达</w:t>
      </w:r>
    </w:p>
    <w:p w14:paraId="3C558F3C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本合同履行过程中，双方所有通知、函件、资料等应以书面形式按以下地址送达。任何一方变更地址的，应提前3个工作日书面通知对方。</w:t>
      </w:r>
    </w:p>
    <w:p w14:paraId="5C6CDEC4">
      <w:pPr>
        <w:autoSpaceDE w:val="0"/>
        <w:autoSpaceDN w:val="0"/>
        <w:adjustRightInd w:val="0"/>
        <w:spacing w:line="54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 w14:paraId="65BBDEB7">
      <w:pPr>
        <w:widowControl w:val="0"/>
        <w:jc w:val="center"/>
        <w:rPr>
          <w:rFonts w:hint="eastAsia" w:ascii="仿宋" w:hAnsi="仿宋" w:eastAsia="仿宋" w:cs="仿宋"/>
          <w:b w:val="0"/>
          <w:bCs w:val="0"/>
          <w:kern w:val="2"/>
          <w:sz w:val="21"/>
          <w:szCs w:val="24"/>
          <w:lang w:val="en-US" w:eastAsia="zh-CN" w:bidi="ar-SA"/>
        </w:rPr>
      </w:pPr>
    </w:p>
    <w:tbl>
      <w:tblPr>
        <w:tblStyle w:val="3"/>
        <w:tblW w:w="84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0"/>
        <w:gridCol w:w="4193"/>
      </w:tblGrid>
      <w:tr w14:paraId="61EA6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6044EB6B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甲  方：西安市李家河水源地环境保护管理站</w:t>
            </w:r>
          </w:p>
        </w:tc>
        <w:tc>
          <w:tcPr>
            <w:tcW w:w="4193" w:type="dxa"/>
            <w:vAlign w:val="center"/>
          </w:tcPr>
          <w:p w14:paraId="344B222A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乙  方：</w:t>
            </w:r>
          </w:p>
        </w:tc>
      </w:tr>
      <w:tr w14:paraId="49DFC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089FC1FD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（盖章）</w:t>
            </w:r>
          </w:p>
        </w:tc>
        <w:tc>
          <w:tcPr>
            <w:tcW w:w="4193" w:type="dxa"/>
            <w:vAlign w:val="center"/>
          </w:tcPr>
          <w:p w14:paraId="33B33BBD">
            <w:pPr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（盖章）</w:t>
            </w:r>
          </w:p>
        </w:tc>
      </w:tr>
      <w:tr w14:paraId="34CEB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21049FD2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邮编：</w:t>
            </w:r>
          </w:p>
        </w:tc>
        <w:tc>
          <w:tcPr>
            <w:tcW w:w="4193" w:type="dxa"/>
            <w:vAlign w:val="center"/>
          </w:tcPr>
          <w:p w14:paraId="09A08C11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邮编：</w:t>
            </w:r>
          </w:p>
        </w:tc>
      </w:tr>
      <w:tr w14:paraId="41B85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2A407D69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 xml:space="preserve">法定代表人： </w:t>
            </w:r>
          </w:p>
        </w:tc>
        <w:tc>
          <w:tcPr>
            <w:tcW w:w="4193" w:type="dxa"/>
            <w:vAlign w:val="center"/>
          </w:tcPr>
          <w:p w14:paraId="4B06A9EA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法定代表人：</w:t>
            </w:r>
          </w:p>
        </w:tc>
      </w:tr>
      <w:tr w14:paraId="2236A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42C96EEE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被授权代表：</w:t>
            </w:r>
          </w:p>
        </w:tc>
        <w:tc>
          <w:tcPr>
            <w:tcW w:w="4193" w:type="dxa"/>
            <w:vAlign w:val="center"/>
          </w:tcPr>
          <w:p w14:paraId="083EB439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被授权代表：</w:t>
            </w:r>
          </w:p>
        </w:tc>
      </w:tr>
      <w:tr w14:paraId="382C5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14B62E45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电话：</w:t>
            </w:r>
          </w:p>
        </w:tc>
        <w:tc>
          <w:tcPr>
            <w:tcW w:w="4193" w:type="dxa"/>
            <w:vAlign w:val="center"/>
          </w:tcPr>
          <w:p w14:paraId="2A3CD7A7">
            <w:pPr>
              <w:autoSpaceDE w:val="0"/>
              <w:autoSpaceDN w:val="0"/>
              <w:adjustRightInd w:val="0"/>
              <w:spacing w:line="540" w:lineRule="exact"/>
              <w:ind w:left="510" w:hanging="720" w:hangingChars="300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电话：</w:t>
            </w:r>
          </w:p>
        </w:tc>
      </w:tr>
      <w:tr w14:paraId="089E9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7EAB7E03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4193" w:type="dxa"/>
            <w:vAlign w:val="center"/>
          </w:tcPr>
          <w:p w14:paraId="622AC6BA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开户银行：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  <w:t xml:space="preserve">  </w:t>
            </w:r>
          </w:p>
        </w:tc>
      </w:tr>
      <w:tr w14:paraId="5B988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5D1E95FB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4193" w:type="dxa"/>
            <w:vAlign w:val="center"/>
          </w:tcPr>
          <w:p w14:paraId="7063CB57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开户行账号：</w:t>
            </w:r>
          </w:p>
        </w:tc>
      </w:tr>
      <w:tr w14:paraId="2869F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210" w:type="dxa"/>
            <w:vAlign w:val="center"/>
          </w:tcPr>
          <w:p w14:paraId="3DA18015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日期：</w:t>
            </w:r>
          </w:p>
        </w:tc>
        <w:tc>
          <w:tcPr>
            <w:tcW w:w="4193" w:type="dxa"/>
            <w:vAlign w:val="center"/>
          </w:tcPr>
          <w:p w14:paraId="5FE06B53">
            <w:pPr>
              <w:autoSpaceDE w:val="0"/>
              <w:autoSpaceDN w:val="0"/>
              <w:adjustRightInd w:val="0"/>
              <w:spacing w:line="540" w:lineRule="exact"/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kern w:val="0"/>
                <w:sz w:val="28"/>
                <w:szCs w:val="28"/>
              </w:rPr>
              <w:t>日期：</w:t>
            </w:r>
          </w:p>
        </w:tc>
      </w:tr>
    </w:tbl>
    <w:p w14:paraId="4F559683">
      <w:pPr>
        <w:rPr>
          <w:rFonts w:hint="eastAsia"/>
          <w:lang w:val="en-US" w:eastAsia="zh-Hans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20DA7"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0453DE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2</w:t>
                          </w:r>
                          <w:r>
                            <w:rPr>
                              <w:rFonts w:ascii="Calibri" w:hAnsi="Calibri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vgJmo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KvgJmo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0453DE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2</w:t>
                    </w:r>
                    <w:r>
                      <w:rPr>
                        <w:rFonts w:ascii="Calibri" w:hAnsi="Calibri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A5121"/>
    <w:rsid w:val="0BC82BEF"/>
    <w:rsid w:val="2325222C"/>
    <w:rsid w:val="2AEA5121"/>
    <w:rsid w:val="30F6034E"/>
    <w:rsid w:val="435F1892"/>
    <w:rsid w:val="4ADA20A4"/>
    <w:rsid w:val="56C820E5"/>
    <w:rsid w:val="7C88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48"/>
      <w:szCs w:val="4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2896</Words>
  <Characters>2957</Characters>
  <Lines>0</Lines>
  <Paragraphs>0</Paragraphs>
  <TotalTime>4</TotalTime>
  <ScaleCrop>false</ScaleCrop>
  <LinksUpToDate>false</LinksUpToDate>
  <CharactersWithSpaces>3105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2026-06-22T09:48:00Z</dcterms:created>
  <dc:creator>江格</dc:creator>
  <cp:lastModifiedBy>江格</cp:lastModifiedBy>
  <dcterms:modified xsi:type="dcterms:W3CDTF">2026-07-07T01:19:53Z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5B6C6C6E4A584CECB3FDD4E05A7B855F_11</vt:lpwstr>
  </property>
  <property fmtid="{D5CDD505-2E9C-101B-9397-08002B2CF9AE}" pid="4" name="KSOTemplateDocerSaveRecord">
    <vt:lpwstr>eyJoZGlkIjoiNmUzNjYwYjliYTE5YjE1MjNlODUzMWZiYWE1ZGI0NDIiLCJ1c2VySWQiOiI0NjU2ODIyMzgifQ==</vt:lpwstr>
  </property>
</Properties>
</file>