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版本号：HJCS2601-02620260607001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2026年网络安全及数据安全检查项目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HJCS2601-026</w:t>
      </w:r>
      <w:r>
        <w:br/>
      </w:r>
      <w:r>
        <w:br/>
      </w:r>
      <w:r>
        <w:br/>
      </w:r>
    </w:p>
    <w:p>
      <w:pPr>
        <w:pStyle w:val="null3"/>
        <w:jc w:val="center"/>
        <w:outlineLvl w:val="2"/>
      </w:pPr>
      <w:r>
        <w:rPr>
          <w:rFonts w:ascii="仿宋_GB2312" w:hAnsi="仿宋_GB2312" w:cs="仿宋_GB2312" w:eastAsia="仿宋_GB2312"/>
          <w:sz w:val="28"/>
          <w:b/>
        </w:rPr>
        <w:t>陕西省互联网信息办公室</w:t>
      </w:r>
    </w:p>
    <w:p>
      <w:pPr>
        <w:pStyle w:val="null3"/>
        <w:jc w:val="center"/>
        <w:outlineLvl w:val="2"/>
      </w:pPr>
      <w:r>
        <w:rPr>
          <w:rFonts w:ascii="仿宋_GB2312" w:hAnsi="仿宋_GB2312" w:cs="仿宋_GB2312" w:eastAsia="仿宋_GB2312"/>
          <w:sz w:val="28"/>
          <w:b/>
        </w:rPr>
        <w:t>陕西海佳项目管理有限公司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陕西海佳项目管理有限公司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陕西省互联网信息办公室</w:t>
      </w:r>
      <w:r>
        <w:rPr>
          <w:rFonts w:ascii="仿宋_GB2312" w:hAnsi="仿宋_GB2312" w:cs="仿宋_GB2312" w:eastAsia="仿宋_GB2312"/>
        </w:rPr>
        <w:t>委托，拟对</w:t>
      </w:r>
      <w:r>
        <w:rPr>
          <w:rFonts w:ascii="仿宋_GB2312" w:hAnsi="仿宋_GB2312" w:cs="仿宋_GB2312" w:eastAsia="仿宋_GB2312"/>
        </w:rPr>
        <w:t>2026年网络安全及数据安全检查项目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HJCS2601-026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2026年网络安全及数据安全检查项目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要求以我省党政机关和重点行业领域为检查范围，网络安全、数据安全、技术防护体系和个人信息保护为主要内容，检查评估有关单位的网络安全组织管理、数据安全管理体系和技术防护体系情况等，督促各级各部门认真落实网络安全主体责任和监管责任，全面排查风险隐患，及时处置漏洞，有效化解风险，完善安全组织管理体系，全面提升网络安全防护能力。检测常见类型互联网应用程序（App，含小程序、快应用、公众号等）、软件开发工具包（SDK），对存在违法违规收集使用个人信息的进行打击治理，保护个人信息合法权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本次采购采取书面推荐邀请磋商的供应商。</w:t>
      </w:r>
    </w:p>
    <w:p>
      <w:pPr>
        <w:pStyle w:val="null3"/>
      </w:pPr>
      <w:r>
        <w:rPr>
          <w:rFonts w:ascii="仿宋_GB2312" w:hAnsi="仿宋_GB2312" w:cs="仿宋_GB2312" w:eastAsia="仿宋_GB2312"/>
        </w:rPr>
        <w:t xml:space="preserve"> 书面推荐：通过采购人和评审专家各自出具书面推荐意见，推荐符合相应资格条件的供应商参与本次采购活动；</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陕西省互联网信息办公室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029-63907157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陕西省西安市高新区唐延路35号旺座现代城C座2604室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029-88765319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代理服务费收费标准：（1）采购代理服务费参照国家计委《招标代理服务收费管理暂行办法》（计价格[2002]1980号）规定的收费标准收取。（2）采购代理服务费缴纳账户： 开户名称：陕西海佳项目管理有限公司 开户银行： 招商银行股份有限公司西安城西支行 账 号： 129911759510401。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陕西省互联网信息办公室</w:t>
      </w:r>
      <w:r>
        <w:rPr>
          <w:rFonts w:ascii="仿宋_GB2312" w:hAnsi="仿宋_GB2312" w:cs="仿宋_GB2312" w:eastAsia="仿宋_GB2312"/>
        </w:rPr>
        <w:t>和</w:t>
      </w:r>
      <w:r>
        <w:rPr>
          <w:rFonts w:ascii="仿宋_GB2312" w:hAnsi="仿宋_GB2312" w:cs="仿宋_GB2312" w:eastAsia="仿宋_GB2312"/>
        </w:rPr>
        <w:t>陕西海佳项目管理有限公司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陕西省互联网信息办公室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陕西省互联网信息办公室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联系人：雷鹏飞</w:t>
      </w:r>
    </w:p>
    <w:p>
      <w:pPr>
        <w:pStyle w:val="null3"/>
      </w:pPr>
      <w:r>
        <w:rPr>
          <w:rFonts w:ascii="仿宋_GB2312" w:hAnsi="仿宋_GB2312" w:cs="仿宋_GB2312" w:eastAsia="仿宋_GB2312"/>
        </w:rPr>
        <w:t>联系电话：029-88765319</w:t>
      </w:r>
    </w:p>
    <w:p>
      <w:pPr>
        <w:pStyle w:val="null3"/>
      </w:pPr>
      <w:r>
        <w:rPr>
          <w:rFonts w:ascii="仿宋_GB2312" w:hAnsi="仿宋_GB2312" w:cs="仿宋_GB2312" w:eastAsia="仿宋_GB2312"/>
        </w:rPr>
        <w:t>地址：陕西省西安市高新区唐延路35号旺座现代城C座2604室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我省党政机关和重点行业领域为检查范围，网络安全、数据安全、技术防护体系和个人信息保护为主要内容，检查评估有关单位的网络安全组织管理、数据安全管理体系和技术防护体系情况等，督促各级各部门认真落实网络安全主体责任和监管责任，全面排查风险隐患，及时处置漏洞，有效化解风险，完善安全组织管理体系，全面提升网络安全防护能力。检测常见类型互联网应用程序（App，含小程序、快应用、公众号等）、软件开发工具包（SDK），对存在违法违规收集使用个人信息的进行打击治理，保护个人信息合法权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2026年网络安全及数据安全检查项目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标的名称：2026年网络安全及数据安全检查项目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一、项目概况及总体要求</w:t>
            </w:r>
          </w:p>
          <w:p>
            <w:pPr>
              <w:pStyle w:val="null3"/>
              <w:ind w:firstLine="420"/>
              <w:jc w:val="both"/>
            </w:pPr>
            <w:r>
              <w:rPr>
                <w:rFonts w:ascii="仿宋_GB2312" w:hAnsi="仿宋_GB2312" w:cs="仿宋_GB2312" w:eastAsia="仿宋_GB2312"/>
                <w:sz w:val="21"/>
              </w:rPr>
              <w:t>以我省党政机关和重点行业领域为检查范围，网络安全、数据安全、技术防护体系和个人信息保护为主要内容，检查评估有关单位的网络安全组织管理、数据安全管理体系和技术防护体系情况等，督促各级各部门认真落实网络安全主体责任和监管责任，全面排查风险隐患，及时处置漏洞，有效化解风险，完善安全组织管理体系，全面提升网络安全防护能力。检测常见类型互联网应用程序（</w:t>
            </w:r>
            <w:r>
              <w:rPr>
                <w:rFonts w:ascii="仿宋_GB2312" w:hAnsi="仿宋_GB2312" w:cs="仿宋_GB2312" w:eastAsia="仿宋_GB2312"/>
                <w:sz w:val="21"/>
              </w:rPr>
              <w:t>App</w:t>
            </w:r>
            <w:r>
              <w:rPr>
                <w:rFonts w:ascii="仿宋_GB2312" w:hAnsi="仿宋_GB2312" w:cs="仿宋_GB2312" w:eastAsia="仿宋_GB2312"/>
                <w:sz w:val="21"/>
              </w:rPr>
              <w:t>，含小程序、快应用、公众号等）、软件开发工具包（</w:t>
            </w:r>
            <w:r>
              <w:rPr>
                <w:rFonts w:ascii="仿宋_GB2312" w:hAnsi="仿宋_GB2312" w:cs="仿宋_GB2312" w:eastAsia="仿宋_GB2312"/>
                <w:sz w:val="21"/>
              </w:rPr>
              <w:t>SDK</w:t>
            </w:r>
            <w:r>
              <w:rPr>
                <w:rFonts w:ascii="仿宋_GB2312" w:hAnsi="仿宋_GB2312" w:cs="仿宋_GB2312" w:eastAsia="仿宋_GB2312"/>
                <w:sz w:val="21"/>
              </w:rPr>
              <w:t>），对存在违法违规收集使用个人信息的进行打击治理，保护个人信息合法权益。</w:t>
            </w:r>
          </w:p>
          <w:p>
            <w:pPr>
              <w:pStyle w:val="null3"/>
              <w:ind w:firstLine="420"/>
              <w:jc w:val="both"/>
            </w:pPr>
            <w:r>
              <w:rPr>
                <w:rFonts w:ascii="仿宋_GB2312" w:hAnsi="仿宋_GB2312" w:cs="仿宋_GB2312" w:eastAsia="仿宋_GB2312"/>
                <w:sz w:val="21"/>
              </w:rPr>
              <w:t>二、项目服务内容</w:t>
            </w:r>
          </w:p>
          <w:p>
            <w:pPr>
              <w:pStyle w:val="null3"/>
              <w:ind w:firstLine="420"/>
              <w:jc w:val="both"/>
            </w:pPr>
            <w:r>
              <w:rPr>
                <w:rFonts w:ascii="仿宋_GB2312" w:hAnsi="仿宋_GB2312" w:cs="仿宋_GB2312" w:eastAsia="仿宋_GB2312"/>
                <w:sz w:val="21"/>
              </w:rPr>
              <w:t>（一）组织开展网络安全全面检查评估。</w:t>
            </w:r>
          </w:p>
          <w:p>
            <w:pPr>
              <w:pStyle w:val="null3"/>
              <w:ind w:firstLine="420"/>
              <w:jc w:val="both"/>
            </w:pPr>
            <w:r>
              <w:rPr>
                <w:rFonts w:ascii="仿宋_GB2312" w:hAnsi="仿宋_GB2312" w:cs="仿宋_GB2312" w:eastAsia="仿宋_GB2312"/>
                <w:sz w:val="21"/>
              </w:rPr>
              <w:t>通过远程检测和现场检查的方式，依据《网络安全检查评估工作指南》，围绕网络安全工作责任制落实、网络安全日常管理、网络与信息系统建设应用状况、网络安全技术防护、网络安全应急工作、网络安全教育培训、技术检测及网络安全事件处置、外包服务管理等内容开展全面的网络安全检查评估，主要目标为全面检查评估，消除风险隐患，核查标准规范，强化防护能力。</w:t>
            </w:r>
          </w:p>
          <w:p>
            <w:pPr>
              <w:pStyle w:val="null3"/>
              <w:ind w:firstLine="420"/>
              <w:jc w:val="both"/>
            </w:pPr>
            <w:r>
              <w:rPr>
                <w:rFonts w:ascii="仿宋_GB2312" w:hAnsi="仿宋_GB2312" w:cs="仿宋_GB2312" w:eastAsia="仿宋_GB2312"/>
                <w:sz w:val="21"/>
              </w:rPr>
              <w:t>（二）组织开展网络数据安全全面检查评估。</w:t>
            </w:r>
          </w:p>
          <w:p>
            <w:pPr>
              <w:pStyle w:val="null3"/>
              <w:ind w:firstLine="420"/>
              <w:jc w:val="both"/>
            </w:pPr>
            <w:r>
              <w:rPr>
                <w:rFonts w:ascii="仿宋_GB2312" w:hAnsi="仿宋_GB2312" w:cs="仿宋_GB2312" w:eastAsia="仿宋_GB2312"/>
                <w:sz w:val="21"/>
              </w:rPr>
              <w:t>落实《数据安全法》《个人信息保护法》《网络数据安全管理条例》等法律法规，按照</w:t>
            </w:r>
            <w:r>
              <w:rPr>
                <w:rFonts w:ascii="仿宋_GB2312" w:hAnsi="仿宋_GB2312" w:cs="仿宋_GB2312" w:eastAsia="仿宋_GB2312"/>
                <w:sz w:val="21"/>
              </w:rPr>
              <w:t>2026</w:t>
            </w:r>
            <w:r>
              <w:rPr>
                <w:rFonts w:ascii="仿宋_GB2312" w:hAnsi="仿宋_GB2312" w:cs="仿宋_GB2312" w:eastAsia="仿宋_GB2312"/>
                <w:sz w:val="21"/>
              </w:rPr>
              <w:t>年网络数据安全风险评估和个人信息保护系列专项行动有关部署，通过远程检测和现场检查相结合的方式，围绕数据和数据处理活动，聚焦可能影响数据保密性、完整性、可用性和数据处理合理性的安全风险，重点针对数据安全管理制度、数据安全防护体系、数据处理全流程和个人信息保护合规性等内容开展全面的网络数据安全检查评估，排查数据和个人信息安全问题和风险隐患，规范数据处理活动，强化各单位数据安全防护能力，确保符合国家数据安全监管要求。</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App</w:t>
            </w:r>
            <w:r>
              <w:rPr>
                <w:rFonts w:ascii="仿宋_GB2312" w:hAnsi="仿宋_GB2312" w:cs="仿宋_GB2312" w:eastAsia="仿宋_GB2312"/>
                <w:sz w:val="21"/>
              </w:rPr>
              <w:t>、</w:t>
            </w:r>
            <w:r>
              <w:rPr>
                <w:rFonts w:ascii="仿宋_GB2312" w:hAnsi="仿宋_GB2312" w:cs="仿宋_GB2312" w:eastAsia="仿宋_GB2312"/>
                <w:sz w:val="21"/>
              </w:rPr>
              <w:t>SDK</w:t>
            </w:r>
            <w:r>
              <w:rPr>
                <w:rFonts w:ascii="仿宋_GB2312" w:hAnsi="仿宋_GB2312" w:cs="仿宋_GB2312" w:eastAsia="仿宋_GB2312"/>
                <w:sz w:val="21"/>
              </w:rPr>
              <w:t>违法违规收集使用个人信息专项治理。</w:t>
            </w:r>
          </w:p>
          <w:p>
            <w:pPr>
              <w:pStyle w:val="null3"/>
              <w:ind w:firstLine="420"/>
              <w:jc w:val="both"/>
            </w:pPr>
            <w:r>
              <w:rPr>
                <w:rFonts w:ascii="仿宋_GB2312" w:hAnsi="仿宋_GB2312" w:cs="仿宋_GB2312" w:eastAsia="仿宋_GB2312"/>
                <w:sz w:val="21"/>
              </w:rPr>
              <w:t>检测常见类型</w:t>
            </w:r>
            <w:r>
              <w:rPr>
                <w:rFonts w:ascii="仿宋_GB2312" w:hAnsi="仿宋_GB2312" w:cs="仿宋_GB2312" w:eastAsia="仿宋_GB2312"/>
                <w:sz w:val="21"/>
              </w:rPr>
              <w:t>App</w:t>
            </w:r>
            <w:r>
              <w:rPr>
                <w:rFonts w:ascii="仿宋_GB2312" w:hAnsi="仿宋_GB2312" w:cs="仿宋_GB2312" w:eastAsia="仿宋_GB2312"/>
                <w:sz w:val="21"/>
              </w:rPr>
              <w:t>、</w:t>
            </w:r>
            <w:r>
              <w:rPr>
                <w:rFonts w:ascii="仿宋_GB2312" w:hAnsi="仿宋_GB2312" w:cs="仿宋_GB2312" w:eastAsia="仿宋_GB2312"/>
                <w:sz w:val="21"/>
              </w:rPr>
              <w:t>SDK</w:t>
            </w:r>
            <w:r>
              <w:rPr>
                <w:rFonts w:ascii="仿宋_GB2312" w:hAnsi="仿宋_GB2312" w:cs="仿宋_GB2312" w:eastAsia="仿宋_GB2312"/>
                <w:sz w:val="21"/>
              </w:rPr>
              <w:t>，重点治理问题：一是未公开个人信息收集使用规则，未提供有效注销用户账号功能，未建立、公布个人信息安全投诉举报渠道等；二是未完整准确告知收集使用个人信息情况，或告知收集使用个人信息目的、方式、范围与实际收集使用情况不一致；三是未经用户同意收集使用个人信息，强制用户同意收集非必要个人信息；四是超出必要范围收集使用个人信息，在无关场景收集位置、通讯录、短信等个人信息，超出最低必要频率调用个人信息权限。</w:t>
            </w:r>
          </w:p>
          <w:p>
            <w:pPr>
              <w:pStyle w:val="null3"/>
              <w:ind w:firstLine="420"/>
              <w:jc w:val="both"/>
            </w:pPr>
            <w:r>
              <w:rPr>
                <w:rFonts w:ascii="仿宋_GB2312" w:hAnsi="仿宋_GB2312" w:cs="仿宋_GB2312" w:eastAsia="仿宋_GB2312"/>
                <w:sz w:val="21"/>
              </w:rPr>
              <w:t>三、项目实施要求</w:t>
            </w:r>
          </w:p>
          <w:p>
            <w:pPr>
              <w:pStyle w:val="null3"/>
              <w:ind w:firstLine="420"/>
              <w:jc w:val="both"/>
            </w:pPr>
            <w:r>
              <w:rPr>
                <w:rFonts w:ascii="仿宋_GB2312" w:hAnsi="仿宋_GB2312" w:cs="仿宋_GB2312" w:eastAsia="仿宋_GB2312"/>
                <w:sz w:val="21"/>
              </w:rPr>
              <w:t>（一）确定检查对象</w:t>
            </w:r>
          </w:p>
          <w:p>
            <w:pPr>
              <w:pStyle w:val="null3"/>
              <w:ind w:firstLine="420"/>
              <w:jc w:val="both"/>
            </w:pPr>
            <w:r>
              <w:rPr>
                <w:rFonts w:ascii="仿宋_GB2312" w:hAnsi="仿宋_GB2312" w:cs="仿宋_GB2312" w:eastAsia="仿宋_GB2312"/>
                <w:sz w:val="21"/>
              </w:rPr>
              <w:t>根据重点行业领域网络安全和数据安全风险状况，按照甲方要求，选取民生领域重点企业、相关高校等单位开展网络安全、数据安全全面检查评估工作，其中现场检查不少于</w:t>
            </w:r>
            <w:r>
              <w:rPr>
                <w:rFonts w:ascii="仿宋_GB2312" w:hAnsi="仿宋_GB2312" w:cs="仿宋_GB2312" w:eastAsia="仿宋_GB2312"/>
                <w:sz w:val="21"/>
              </w:rPr>
              <w:t>6</w:t>
            </w:r>
            <w:r>
              <w:rPr>
                <w:rFonts w:ascii="仿宋_GB2312" w:hAnsi="仿宋_GB2312" w:cs="仿宋_GB2312" w:eastAsia="仿宋_GB2312"/>
                <w:sz w:val="21"/>
              </w:rPr>
              <w:t>家。对省内</w:t>
            </w:r>
            <w:r>
              <w:rPr>
                <w:rFonts w:ascii="仿宋_GB2312" w:hAnsi="仿宋_GB2312" w:cs="仿宋_GB2312" w:eastAsia="仿宋_GB2312"/>
                <w:sz w:val="21"/>
              </w:rPr>
              <w:t>App</w:t>
            </w:r>
            <w:r>
              <w:rPr>
                <w:rFonts w:ascii="仿宋_GB2312" w:hAnsi="仿宋_GB2312" w:cs="仿宋_GB2312" w:eastAsia="仿宋_GB2312"/>
                <w:sz w:val="21"/>
              </w:rPr>
              <w:t>和</w:t>
            </w:r>
            <w:r>
              <w:rPr>
                <w:rFonts w:ascii="仿宋_GB2312" w:hAnsi="仿宋_GB2312" w:cs="仿宋_GB2312" w:eastAsia="仿宋_GB2312"/>
                <w:sz w:val="21"/>
              </w:rPr>
              <w:t>SDK</w:t>
            </w:r>
            <w:r>
              <w:rPr>
                <w:rFonts w:ascii="仿宋_GB2312" w:hAnsi="仿宋_GB2312" w:cs="仿宋_GB2312" w:eastAsia="仿宋_GB2312"/>
                <w:sz w:val="21"/>
              </w:rPr>
              <w:t>进行检测，检出存在问题的</w:t>
            </w:r>
            <w:r>
              <w:rPr>
                <w:rFonts w:ascii="仿宋_GB2312" w:hAnsi="仿宋_GB2312" w:cs="仿宋_GB2312" w:eastAsia="仿宋_GB2312"/>
                <w:sz w:val="21"/>
              </w:rPr>
              <w:t>App</w:t>
            </w:r>
            <w:r>
              <w:rPr>
                <w:rFonts w:ascii="仿宋_GB2312" w:hAnsi="仿宋_GB2312" w:cs="仿宋_GB2312" w:eastAsia="仿宋_GB2312"/>
                <w:sz w:val="21"/>
              </w:rPr>
              <w:t>或</w:t>
            </w:r>
            <w:r>
              <w:rPr>
                <w:rFonts w:ascii="仿宋_GB2312" w:hAnsi="仿宋_GB2312" w:cs="仿宋_GB2312" w:eastAsia="仿宋_GB2312"/>
                <w:sz w:val="21"/>
              </w:rPr>
              <w:t>SDK</w:t>
            </w:r>
            <w:r>
              <w:rPr>
                <w:rFonts w:ascii="仿宋_GB2312" w:hAnsi="仿宋_GB2312" w:cs="仿宋_GB2312" w:eastAsia="仿宋_GB2312"/>
                <w:sz w:val="21"/>
              </w:rPr>
              <w:t>不少于</w:t>
            </w:r>
            <w:r>
              <w:rPr>
                <w:rFonts w:ascii="仿宋_GB2312" w:hAnsi="仿宋_GB2312" w:cs="仿宋_GB2312" w:eastAsia="仿宋_GB2312"/>
                <w:sz w:val="21"/>
              </w:rPr>
              <w:t>30</w:t>
            </w:r>
            <w:r>
              <w:rPr>
                <w:rFonts w:ascii="仿宋_GB2312" w:hAnsi="仿宋_GB2312" w:cs="仿宋_GB2312" w:eastAsia="仿宋_GB2312"/>
                <w:sz w:val="21"/>
              </w:rPr>
              <w:t>款，并给出治理建议。</w:t>
            </w:r>
          </w:p>
          <w:p>
            <w:pPr>
              <w:pStyle w:val="null3"/>
              <w:ind w:firstLine="420"/>
              <w:jc w:val="both"/>
            </w:pPr>
            <w:r>
              <w:rPr>
                <w:rFonts w:ascii="仿宋_GB2312" w:hAnsi="仿宋_GB2312" w:cs="仿宋_GB2312" w:eastAsia="仿宋_GB2312"/>
                <w:sz w:val="21"/>
              </w:rPr>
              <w:t>（二）印发工作通知</w:t>
            </w:r>
          </w:p>
          <w:p>
            <w:pPr>
              <w:pStyle w:val="null3"/>
              <w:ind w:firstLine="420"/>
              <w:jc w:val="both"/>
            </w:pPr>
            <w:r>
              <w:rPr>
                <w:rFonts w:ascii="仿宋_GB2312" w:hAnsi="仿宋_GB2312" w:cs="仿宋_GB2312" w:eastAsia="仿宋_GB2312"/>
                <w:sz w:val="21"/>
              </w:rPr>
              <w:t>明确年度网络安全、数据安全检查、</w:t>
            </w:r>
            <w:r>
              <w:rPr>
                <w:rFonts w:ascii="仿宋_GB2312" w:hAnsi="仿宋_GB2312" w:cs="仿宋_GB2312" w:eastAsia="仿宋_GB2312"/>
                <w:sz w:val="21"/>
              </w:rPr>
              <w:t>App</w:t>
            </w:r>
            <w:r>
              <w:rPr>
                <w:rFonts w:ascii="仿宋_GB2312" w:hAnsi="仿宋_GB2312" w:cs="仿宋_GB2312" w:eastAsia="仿宋_GB2312"/>
                <w:sz w:val="21"/>
              </w:rPr>
              <w:t>和</w:t>
            </w:r>
            <w:r>
              <w:rPr>
                <w:rFonts w:ascii="仿宋_GB2312" w:hAnsi="仿宋_GB2312" w:cs="仿宋_GB2312" w:eastAsia="仿宋_GB2312"/>
                <w:sz w:val="21"/>
              </w:rPr>
              <w:t>SDK</w:t>
            </w:r>
            <w:r>
              <w:rPr>
                <w:rFonts w:ascii="仿宋_GB2312" w:hAnsi="仿宋_GB2312" w:cs="仿宋_GB2312" w:eastAsia="仿宋_GB2312"/>
                <w:sz w:val="21"/>
              </w:rPr>
              <w:t>检测工作任务和要求，安排部署被检查单位开展自查，准备相关资料和配合工作人员。</w:t>
            </w:r>
          </w:p>
          <w:p>
            <w:pPr>
              <w:pStyle w:val="null3"/>
              <w:ind w:firstLine="420"/>
              <w:jc w:val="both"/>
            </w:pPr>
            <w:r>
              <w:rPr>
                <w:rFonts w:ascii="仿宋_GB2312" w:hAnsi="仿宋_GB2312" w:cs="仿宋_GB2312" w:eastAsia="仿宋_GB2312"/>
                <w:sz w:val="21"/>
              </w:rPr>
              <w:t>（三）组建检查团队</w:t>
            </w:r>
          </w:p>
          <w:p>
            <w:pPr>
              <w:pStyle w:val="null3"/>
              <w:ind w:firstLine="420"/>
              <w:jc w:val="both"/>
            </w:pPr>
            <w:r>
              <w:rPr>
                <w:rFonts w:ascii="仿宋_GB2312" w:hAnsi="仿宋_GB2312" w:cs="仿宋_GB2312" w:eastAsia="仿宋_GB2312"/>
                <w:sz w:val="21"/>
              </w:rPr>
              <w:t>成交供应商根据被检单位情况及采购人相关工作部署，组建数据安全检查团队，提供不少于</w:t>
            </w:r>
            <w:r>
              <w:rPr>
                <w:rFonts w:ascii="仿宋_GB2312" w:hAnsi="仿宋_GB2312" w:cs="仿宋_GB2312" w:eastAsia="仿宋_GB2312"/>
                <w:sz w:val="21"/>
              </w:rPr>
              <w:t>6</w:t>
            </w:r>
            <w:r>
              <w:rPr>
                <w:rFonts w:ascii="仿宋_GB2312" w:hAnsi="仿宋_GB2312" w:cs="仿宋_GB2312" w:eastAsia="仿宋_GB2312"/>
                <w:sz w:val="21"/>
              </w:rPr>
              <w:t>人的远程测试技术团队开展对被检单位远程测试检查工作；当远程测试工作结束后，组建不少于</w:t>
            </w:r>
            <w:r>
              <w:rPr>
                <w:rFonts w:ascii="仿宋_GB2312" w:hAnsi="仿宋_GB2312" w:cs="仿宋_GB2312" w:eastAsia="仿宋_GB2312"/>
                <w:sz w:val="21"/>
              </w:rPr>
              <w:t>5</w:t>
            </w:r>
            <w:r>
              <w:rPr>
                <w:rFonts w:ascii="仿宋_GB2312" w:hAnsi="仿宋_GB2312" w:cs="仿宋_GB2312" w:eastAsia="仿宋_GB2312"/>
                <w:sz w:val="21"/>
              </w:rPr>
              <w:t>人的现场检查团队开展现场检查工作。</w:t>
            </w:r>
          </w:p>
          <w:p>
            <w:pPr>
              <w:pStyle w:val="null3"/>
              <w:ind w:firstLine="420"/>
              <w:jc w:val="both"/>
            </w:pPr>
            <w:r>
              <w:rPr>
                <w:rFonts w:ascii="仿宋_GB2312" w:hAnsi="仿宋_GB2312" w:cs="仿宋_GB2312" w:eastAsia="仿宋_GB2312"/>
                <w:sz w:val="21"/>
              </w:rPr>
              <w:t>（四）远程检查评估</w:t>
            </w:r>
          </w:p>
          <w:p>
            <w:pPr>
              <w:pStyle w:val="null3"/>
              <w:ind w:firstLine="420"/>
              <w:jc w:val="both"/>
            </w:pPr>
            <w:r>
              <w:rPr>
                <w:rFonts w:ascii="仿宋_GB2312" w:hAnsi="仿宋_GB2312" w:cs="仿宋_GB2312" w:eastAsia="仿宋_GB2312"/>
                <w:sz w:val="21"/>
              </w:rPr>
              <w:t>检查团队需根据采购人统一安排，采用集中办公的方式，进行远程测试工作。在远程测试工作中，检查团队需对被检单位提供的数据资产、信息系统开展远程技术检测，通过深度信息收集、漏洞扫描、合规性核查等方式，发掘被检单位的数据资产暴露面、数据安全防护薄弱环节，重点核查数据存储、传输、访问等环节的安全风险，形成远程检查初步结果。</w:t>
            </w:r>
          </w:p>
          <w:p>
            <w:pPr>
              <w:pStyle w:val="null3"/>
              <w:ind w:firstLine="420"/>
              <w:jc w:val="both"/>
            </w:pPr>
            <w:r>
              <w:rPr>
                <w:rFonts w:ascii="仿宋_GB2312" w:hAnsi="仿宋_GB2312" w:cs="仿宋_GB2312" w:eastAsia="仿宋_GB2312"/>
                <w:sz w:val="21"/>
              </w:rPr>
              <w:t>（五）开展现场检查</w:t>
            </w:r>
          </w:p>
          <w:p>
            <w:pPr>
              <w:pStyle w:val="null3"/>
              <w:ind w:firstLine="420"/>
              <w:jc w:val="both"/>
            </w:pPr>
            <w:r>
              <w:rPr>
                <w:rFonts w:ascii="仿宋_GB2312" w:hAnsi="仿宋_GB2312" w:cs="仿宋_GB2312" w:eastAsia="仿宋_GB2312"/>
                <w:sz w:val="21"/>
              </w:rPr>
              <w:t>检查团队在远程检查评估结束后，根据初步检查结果，在采购人的指挥安排下，开展现场检查评估工作。现场评估工作需结合远程检查评估结果，对被检单位的网络安全、数据安全情况、数据全生命周期管控情况、数据安全管理制度体系、数据安全技术防护措施、个人信息保护合规情况、数据安全应急处置能力、数据安全培训与外包管理等方面开展详细彻查，排查被检单位在管理组织、制度体系、技术手段等方面可能存在的薄弱环节。在检查完成后，汇总整理分析相关资料，分别对每个被检查单位形成检查报告。</w:t>
            </w:r>
          </w:p>
          <w:p>
            <w:pPr>
              <w:pStyle w:val="null3"/>
              <w:ind w:firstLine="420"/>
              <w:jc w:val="both"/>
            </w:pPr>
            <w:r>
              <w:rPr>
                <w:rFonts w:ascii="仿宋_GB2312" w:hAnsi="仿宋_GB2312" w:cs="仿宋_GB2312" w:eastAsia="仿宋_GB2312"/>
                <w:sz w:val="21"/>
              </w:rPr>
              <w:t>（六）反馈检查结果</w:t>
            </w:r>
          </w:p>
          <w:p>
            <w:pPr>
              <w:pStyle w:val="null3"/>
              <w:ind w:firstLine="420"/>
              <w:jc w:val="both"/>
            </w:pPr>
            <w:r>
              <w:rPr>
                <w:rFonts w:ascii="仿宋_GB2312" w:hAnsi="仿宋_GB2312" w:cs="仿宋_GB2312" w:eastAsia="仿宋_GB2312"/>
                <w:sz w:val="21"/>
              </w:rPr>
              <w:t>根据检查结果，经与相关行业主管监管部门协商后，对存在重大数据安全风险的单位采取召开总结会议、现场督促整改的方式进行反馈；对检查结果较好的单位采取书面通报情况的方式进行反馈；成交供应商需为本次检查工作提供完整的工作方案，工作方案需满足整体检查要求，且符合《数据安全法》《数据安全法》《个人信息保护法》等相关法律法规。</w:t>
            </w:r>
          </w:p>
          <w:p>
            <w:pPr>
              <w:pStyle w:val="null3"/>
              <w:ind w:firstLine="420"/>
              <w:jc w:val="both"/>
            </w:pPr>
            <w:r>
              <w:rPr>
                <w:rFonts w:ascii="仿宋_GB2312" w:hAnsi="仿宋_GB2312" w:cs="仿宋_GB2312" w:eastAsia="仿宋_GB2312"/>
                <w:sz w:val="21"/>
              </w:rPr>
              <w:t>（七）聘请专家咨询</w:t>
            </w:r>
          </w:p>
          <w:p>
            <w:pPr>
              <w:pStyle w:val="null3"/>
              <w:ind w:firstLine="420"/>
              <w:jc w:val="both"/>
            </w:pPr>
            <w:r>
              <w:rPr>
                <w:rFonts w:ascii="仿宋_GB2312" w:hAnsi="仿宋_GB2312" w:cs="仿宋_GB2312" w:eastAsia="仿宋_GB2312"/>
                <w:sz w:val="21"/>
              </w:rPr>
              <w:t>供应商须聘请相关专家对项目进行工作指导或技术支撑，专家需具备网络安全、数据安全、个人信息保护等领域专业资质，熟悉国家数据安全监管要求，费用由成交供应商承担。</w:t>
            </w:r>
          </w:p>
          <w:p>
            <w:pPr>
              <w:pStyle w:val="null3"/>
              <w:ind w:firstLine="420"/>
              <w:jc w:val="both"/>
            </w:pPr>
            <w:r>
              <w:rPr>
                <w:rFonts w:ascii="仿宋_GB2312" w:hAnsi="仿宋_GB2312" w:cs="仿宋_GB2312" w:eastAsia="仿宋_GB2312"/>
                <w:sz w:val="21"/>
              </w:rPr>
              <w:t>（八）整体报告汇总</w:t>
            </w:r>
          </w:p>
          <w:p>
            <w:pPr>
              <w:pStyle w:val="null3"/>
              <w:ind w:firstLine="420"/>
              <w:jc w:val="both"/>
            </w:pPr>
            <w:r>
              <w:rPr>
                <w:rFonts w:ascii="仿宋_GB2312" w:hAnsi="仿宋_GB2312" w:cs="仿宋_GB2312" w:eastAsia="仿宋_GB2312"/>
                <w:sz w:val="21"/>
              </w:rPr>
              <w:t>供应商须安排人员对后期资料审核、报告汇总、编制分析报告，确保报告内容符合数据安全相关法规要求，可作为监管整改、合规提升的依据。</w:t>
            </w:r>
          </w:p>
          <w:p>
            <w:pPr>
              <w:pStyle w:val="null3"/>
              <w:ind w:firstLine="420"/>
              <w:jc w:val="both"/>
            </w:pPr>
            <w:r>
              <w:rPr>
                <w:rFonts w:ascii="仿宋_GB2312" w:hAnsi="仿宋_GB2312" w:cs="仿宋_GB2312" w:eastAsia="仿宋_GB2312"/>
                <w:sz w:val="21"/>
              </w:rPr>
              <w:t>（九）成果标志物</w:t>
            </w:r>
          </w:p>
          <w:p>
            <w:pPr>
              <w:pStyle w:val="null3"/>
              <w:ind w:firstLine="420"/>
              <w:jc w:val="both"/>
            </w:pPr>
            <w:r>
              <w:rPr>
                <w:rFonts w:ascii="仿宋_GB2312" w:hAnsi="仿宋_GB2312" w:cs="仿宋_GB2312" w:eastAsia="仿宋_GB2312"/>
                <w:sz w:val="21"/>
              </w:rPr>
              <w:t>本次检查工作，供应商须根据每个受检单位实际情况，并结合专家组意见，分别出具远程测试报告和整体检查汇总报告；现场检查的单位，还要出具现场检查检查评估结果反馈保供；不少于</w:t>
            </w:r>
            <w:r>
              <w:rPr>
                <w:rFonts w:ascii="仿宋_GB2312" w:hAnsi="仿宋_GB2312" w:cs="仿宋_GB2312" w:eastAsia="仿宋_GB2312"/>
                <w:sz w:val="21"/>
              </w:rPr>
              <w:t>30</w:t>
            </w:r>
            <w:r>
              <w:rPr>
                <w:rFonts w:ascii="仿宋_GB2312" w:hAnsi="仿宋_GB2312" w:cs="仿宋_GB2312" w:eastAsia="仿宋_GB2312"/>
                <w:sz w:val="21"/>
              </w:rPr>
              <w:t>份</w:t>
            </w:r>
            <w:r>
              <w:rPr>
                <w:rFonts w:ascii="仿宋_GB2312" w:hAnsi="仿宋_GB2312" w:cs="仿宋_GB2312" w:eastAsia="仿宋_GB2312"/>
                <w:sz w:val="21"/>
              </w:rPr>
              <w:t>APP</w:t>
            </w:r>
            <w:r>
              <w:rPr>
                <w:rFonts w:ascii="仿宋_GB2312" w:hAnsi="仿宋_GB2312" w:cs="仿宋_GB2312" w:eastAsia="仿宋_GB2312"/>
                <w:sz w:val="21"/>
              </w:rPr>
              <w:t>或者</w:t>
            </w:r>
            <w:r>
              <w:rPr>
                <w:rFonts w:ascii="仿宋_GB2312" w:hAnsi="仿宋_GB2312" w:cs="仿宋_GB2312" w:eastAsia="仿宋_GB2312"/>
                <w:sz w:val="21"/>
              </w:rPr>
              <w:t>SDK</w:t>
            </w:r>
            <w:r>
              <w:rPr>
                <w:rFonts w:ascii="仿宋_GB2312" w:hAnsi="仿宋_GB2312" w:cs="仿宋_GB2312" w:eastAsia="仿宋_GB2312"/>
                <w:sz w:val="21"/>
              </w:rPr>
              <w:t>违法违规收集使用个人信息专项治理报告，所有成果物需严格符合数据安全相关法规要求，内容完整、风险明确、整改建议可落地。</w:t>
            </w:r>
          </w:p>
          <w:p>
            <w:pPr>
              <w:pStyle w:val="null3"/>
              <w:ind w:firstLine="420"/>
              <w:jc w:val="both"/>
            </w:pPr>
            <w:r>
              <w:rPr>
                <w:rFonts w:ascii="仿宋_GB2312" w:hAnsi="仿宋_GB2312" w:cs="仿宋_GB2312" w:eastAsia="仿宋_GB2312"/>
                <w:sz w:val="21"/>
              </w:rPr>
              <w:t>（十）其他要求</w:t>
            </w:r>
          </w:p>
          <w:p>
            <w:pPr>
              <w:pStyle w:val="null3"/>
              <w:ind w:firstLine="420"/>
              <w:jc w:val="both"/>
            </w:pPr>
            <w:r>
              <w:rPr>
                <w:rFonts w:ascii="仿宋_GB2312" w:hAnsi="仿宋_GB2312" w:cs="仿宋_GB2312" w:eastAsia="仿宋_GB2312"/>
                <w:sz w:val="21"/>
              </w:rPr>
              <w:t>供应商须积极配合采购人与本次项目相关的服务要求，及时响应采购人相关工作部署，并及时反馈工作成果，确保检查工作全程合规、可追溯。</w:t>
            </w:r>
          </w:p>
          <w:p>
            <w:pPr>
              <w:pStyle w:val="null3"/>
              <w:ind w:firstLine="420"/>
              <w:jc w:val="both"/>
            </w:pPr>
            <w:r>
              <w:rPr>
                <w:rFonts w:ascii="仿宋_GB2312" w:hAnsi="仿宋_GB2312" w:cs="仿宋_GB2312" w:eastAsia="仿宋_GB2312"/>
                <w:sz w:val="21"/>
              </w:rPr>
              <w:t>四、法规合规依据</w:t>
            </w:r>
          </w:p>
          <w:p>
            <w:pPr>
              <w:pStyle w:val="null3"/>
              <w:ind w:firstLine="420"/>
              <w:jc w:val="both"/>
            </w:pPr>
            <w:r>
              <w:rPr>
                <w:rFonts w:ascii="仿宋_GB2312" w:hAnsi="仿宋_GB2312" w:cs="仿宋_GB2312" w:eastAsia="仿宋_GB2312"/>
                <w:sz w:val="21"/>
              </w:rPr>
              <w:t>本次检查严格遵循以下核心法规要求，确保检查内容、流程、成果物完全符合监管标准：</w:t>
            </w:r>
          </w:p>
          <w:p>
            <w:pPr>
              <w:pStyle w:val="null3"/>
              <w:ind w:firstLine="420"/>
              <w:jc w:val="both"/>
            </w:pPr>
            <w:r>
              <w:rPr>
                <w:rFonts w:ascii="仿宋_GB2312" w:hAnsi="仿宋_GB2312" w:cs="仿宋_GB2312" w:eastAsia="仿宋_GB2312"/>
                <w:sz w:val="21"/>
              </w:rPr>
              <w:t>《中华人民共和国数据安全法》</w:t>
            </w:r>
          </w:p>
          <w:p>
            <w:pPr>
              <w:pStyle w:val="null3"/>
              <w:ind w:firstLine="420"/>
              <w:jc w:val="both"/>
            </w:pPr>
            <w:r>
              <w:rPr>
                <w:rFonts w:ascii="仿宋_GB2312" w:hAnsi="仿宋_GB2312" w:cs="仿宋_GB2312" w:eastAsia="仿宋_GB2312"/>
                <w:sz w:val="21"/>
              </w:rPr>
              <w:t>《中华人民共和国个人信息保护法》</w:t>
            </w:r>
          </w:p>
          <w:p>
            <w:pPr>
              <w:pStyle w:val="null3"/>
              <w:ind w:firstLine="420"/>
              <w:jc w:val="both"/>
            </w:pPr>
            <w:r>
              <w:rPr>
                <w:rFonts w:ascii="仿宋_GB2312" w:hAnsi="仿宋_GB2312" w:cs="仿宋_GB2312" w:eastAsia="仿宋_GB2312"/>
                <w:sz w:val="21"/>
              </w:rPr>
              <w:t>《中华人民共和国网络安全法》</w:t>
            </w:r>
          </w:p>
          <w:p>
            <w:pPr>
              <w:pStyle w:val="null3"/>
              <w:ind w:firstLine="420"/>
              <w:jc w:val="both"/>
            </w:pPr>
            <w:r>
              <w:rPr>
                <w:rFonts w:ascii="仿宋_GB2312" w:hAnsi="仿宋_GB2312" w:cs="仿宋_GB2312" w:eastAsia="仿宋_GB2312"/>
                <w:sz w:val="21"/>
              </w:rPr>
              <w:t>《网络数据安全管理条例》</w:t>
            </w:r>
          </w:p>
          <w:p>
            <w:pPr>
              <w:pStyle w:val="null3"/>
              <w:ind w:firstLine="420"/>
              <w:jc w:val="both"/>
            </w:pPr>
            <w:r>
              <w:rPr>
                <w:rFonts w:ascii="仿宋_GB2312" w:hAnsi="仿宋_GB2312" w:cs="仿宋_GB2312" w:eastAsia="仿宋_GB2312"/>
                <w:sz w:val="21"/>
              </w:rPr>
              <w:t>《网络数据安全风险评估办法》</w:t>
            </w:r>
          </w:p>
          <w:p>
            <w:pPr>
              <w:pStyle w:val="null3"/>
              <w:ind w:firstLine="420"/>
              <w:jc w:val="both"/>
            </w:pPr>
            <w:r>
              <w:rPr>
                <w:rFonts w:ascii="仿宋_GB2312" w:hAnsi="仿宋_GB2312" w:cs="仿宋_GB2312" w:eastAsia="仿宋_GB2312"/>
                <w:sz w:val="21"/>
              </w:rPr>
              <w:t>《网络安全标准实践指南</w:t>
            </w:r>
            <w:r>
              <w:rPr>
                <w:rFonts w:ascii="仿宋_GB2312" w:hAnsi="仿宋_GB2312" w:cs="仿宋_GB2312" w:eastAsia="仿宋_GB2312"/>
                <w:sz w:val="21"/>
              </w:rPr>
              <w:t>-</w:t>
            </w:r>
            <w:r>
              <w:rPr>
                <w:rFonts w:ascii="仿宋_GB2312" w:hAnsi="仿宋_GB2312" w:cs="仿宋_GB2312" w:eastAsia="仿宋_GB2312"/>
                <w:sz w:val="21"/>
              </w:rPr>
              <w:t>网络数据安全风险评估实施指引》</w:t>
            </w:r>
          </w:p>
          <w:p>
            <w:pPr>
              <w:pStyle w:val="null3"/>
              <w:ind w:firstLine="420"/>
              <w:jc w:val="both"/>
            </w:pPr>
            <w:r>
              <w:rPr>
                <w:rFonts w:ascii="仿宋_GB2312" w:hAnsi="仿宋_GB2312" w:cs="仿宋_GB2312" w:eastAsia="仿宋_GB2312"/>
                <w:sz w:val="21"/>
              </w:rPr>
              <w:t>《数据出境安全评估办法》等</w:t>
            </w:r>
            <w:r>
              <w:rPr>
                <w:rFonts w:ascii="仿宋_GB2312" w:hAnsi="仿宋_GB2312" w:cs="仿宋_GB2312" w:eastAsia="仿宋_GB2312"/>
                <w:sz w:val="21"/>
              </w:rPr>
              <w:t>。</w:t>
            </w:r>
          </w:p>
          <w:p>
            <w:pPr>
              <w:pStyle w:val="null3"/>
              <w:ind w:firstLine="56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供应商应该按照项目的需求配备合理的人员，确保项目实施质量。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供应商应该按照项目的需求配备合理的设施设备，确保项目实施质量。</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自合同签订之日起100日历天，具体进度按照甲方工作部署及专项工作时间节点执行。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 ，达到付款条件起10个工作日内，支付合同总金额的100.0%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（二）解决争议的方法 在执行本合同中发生的或与本合同有关的争端，双方应通过友好协商解决，经协商在30天内不能达成协议时，采取向甲方所在地有管辖权的人民法院提起诉讼解决。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陕西省财政厅关于持续优化政府采购营商环境有关事项的通知》（陕财办采〔2024〕9 号）文件的通知，采购人在中标（成交）通知书发出之日起 25 日内，按照采购文件确定的事项与中标（成交）供应商签订政府采购合同。四、如采购文件中融资相关内容与新政策要求有出入，按照最新要求执行。五、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的营业执照等证明文件，自然人提供身份证明；（2）供应商应提供健全的财务会计制度：提供2024年度或2025年度经审计的供应商财务会计报告或者提供磋商截止时间3个月内其基本账户开户银行出具的资信证明；（3）税收缴纳证明：提供供应商自磋商前1年以来已缴纳任意时段完税凭证或税务机关开具的完税证明（任意税种）；依法免税的应提供相关文件证明；（4）社会保障资金缴纳证明：提供供应商自磋商前1年以来已缴存的任意时段的社会保障资金缴存单据或社保机构开具的社会保险参保缴费情况证明；依法不需要缴纳社会保障资金的供应商应提供相关文件证明；（5）提供供应商具备履行合同所必需的设备和专业技术能力的证明材料；（6）供应商参加本次磋商前3年内，在经营活动中没有重大违法记录的书面声明；（7）供应商不得被“信用中国”网站（www.creditchina.gov.cn）和中国政府采购网站（www.ccgp.gov.cn）列入失信被执行人、重大税收违法案件当事人名单、政府采购严重违法失信行为记录名单（此项由采购代理机构现场查询）；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服务内容及商务要求应答表.docx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响应文件封面 服务内容及商务要求应答表.docx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服务内容及商务要求应答表.docx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服务内容及商务要求应答表.docx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对本项目的总体思路、工作安排和各项工作的服务方案</w:t>
            </w:r>
          </w:p>
        </w:tc>
        <w:tc>
          <w:tcPr>
            <w:tcW w:type="dxa" w:w="2492"/>
          </w:tcPr>
          <w:p>
            <w:pPr>
              <w:pStyle w:val="null3"/>
            </w:pPr>
            <w:r>
              <w:rPr>
                <w:rFonts w:ascii="仿宋_GB2312" w:hAnsi="仿宋_GB2312" w:cs="仿宋_GB2312" w:eastAsia="仿宋_GB2312"/>
              </w:rPr>
              <w:t>一、评审内容 对本项目的总体思路、工作安排和各项工作的服务方案，内容包含：①总体思路、工作计划安排、工作流程及实施步骤；②网络安全全面检查评估服务方案；③网络数据安全全面检查评估服务方案；④App、SDK违法违规收集使用个人信息专项治理方案；⑤检查结果反馈工作组织方案。 二、评审标准 1、完整性：理解必须全面，对评审内容中的各项要求有详细描述； 2、可实施性：切合本项目实际情况，提出步骤清晰、合理的方案； 3、针对性：内容能够紧扣项目实际情况，内容科学合理。 三、赋分标准（满分15分） ①总体思路、工作计划安排、工作流程及实施步骤：评审项满分3分，每完全满足一个评审标准得1分；针对每条评审标准，如存在不合理的方面，得0.5分；针对每条评审标准，方案内容与本项目无关或未提供的，得0分。 ②网络安全全面检查评估服务方案：评审项满分3分，每完全满足一个评审标准得1分；针对每条评审标准，如存在不合理的方面，得0.5分；针对每条评审标准，方案内容与本项目无关或未提供的，得0分。 ③网络数据安全全面检查评估服务方案案：评审项满分3分，每完全满足一个评审标准得1分；针对每条评审标准，如存在不合理的方面，得0.5分；针对每条评审标准，方案内容与本项目无关或未提供的，得0分。 ④App、SDK违法违规收集使用个人信息专项治理方案：评审项满分3分，每完全满足一个评审标准得1分；针对每条评审标准，如存在不合理的方面，得0.5分；针对每条评审标准，方案内容与本项目无关或未提供的，得0分。 ⑤检查结果反馈工作组织方案：评审项满分3分，每完全满足一个评审标准得1分；针对每条评审标准，如存在不合理的方面，得0.5分；针对每条评审标准，方案内容与本项目无关或未提供的，得0分。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根据本项目服务内容，提出多方面的保障措施，以确保项目顺利实施：①远程技术检测服务及现场检查服务质量的保障措施；②服务进度保障措施；③项目应急预案及风险控制措施和机制；④对本项目接触到的相关信息有具体的保密措施。 二、评审标准 1、完整性：方案必须全面，对评审内容中的各项要求有详细描述； 2、针对性：方案能够紧扣项目实际情况，内容科学合理； 3、可实施性：切合本项目实际情况，提出步骤清晰、合理的方案。 三、赋分标准（满分12分） ①远程技术检测服务及现场检查服务质量的保障措施 :此评审项满分3分，每完全满足一个评审标准得1分；针对每条评审标准，如存在不合理的方面，得0.5分；针对每条评审标准，措施内容与本项目无关或未提供的，得0分。 ②服务进度保障措施:此评审项满分3分，每完全满足一个评审标准得1分；针对每条评审标准，如存在不合理的方面，得0.5分；针对每条评审标准，措施内容与本项目无关或未提供的，得0分。 ③项目应急预案及风险控制措施和机制 :此评审项满分3分，每完全满足一个评审标准得1分；针对每条评审标准，如存在不合理的方面，得0.5分；针对每条评审标准，措施内容与本项目无关或未提供的，得0分。 ④对本项目接触到的相关信息有具体的保密措施 :此评审项满分3分，每完全满足一个评审标准得1分；针对每条评审标准，如存在不合理的方面，得0.5分；针对每条评审标准，措施内容与本项目无关或未提供的，得0分。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服务内容提出有关服务承诺，方案包括：①工作期间重点岗位人员审查及人员考核、确保工作人员符合此次工作性质的承诺；②对服务时限内团队稳定性等相关内容等作出承诺；③对服务质量一致性、报告数据准确性及专业性等相关内容等作出承诺；④积极配合采购人相关工作内容的承诺。 二、评审标准 1、完整性：方案必须全面，对评审内容中的各项要求有详细描述； 2、针对性：方案能够紧扣项目实际情况，内容科学合理； 3、可实施性：切合本项目实际情况，提出步骤清晰、合理的方案。 三、赋分标准 （满分12分） ①工作期间重点岗位人员审查及人员考核、确保工作人员符合此次工作性质的承诺：此评审项满分3分，每完全满足一个评审标准得1分；针对每评审标准，如存在不合理的方面，得0.5分；针对每条评审标准，方案内容与本项目无关或未提供的，得0分。 ②对服务时限内团队稳定性等相关内容等作出承诺：此评审项满分3分，每完全满足一个评审标准得1分；针对每条评审标准，如存在不合理的方面，得0.5分；针对每条评审标准，方案内容与本项目无关或未提供的，得0分。 ③对服务质量一致性、报告数据准确性及专业性等相关内容等作出承诺：此评审项满分3分，每完全满足一个评审标准得1分；针对每条评审标准，如存在不合理的方面，得0.5分；针对每条评审标准，方案内容与本项目无关或未提供的，得0分。 ④积极配合采购人相关工作内容的承诺：此评审项满分3分，每完全满足一个评审标准得1分；针对每条评审标准，如存在不合理的方面，得0.5分；针对每条评审标准，方案内容与本项目无关或未提供的，得0分。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1.供应商具有ISO/IEC 27001信息安全管理体系、ISO/IEC 20000信息技术服务管理体系证书。同时具备得4分，具备1项得2分，不具备时不得分。 2.供应商具有网络安全审计、信息安全风险评估方向CCRC信息安全服务资质证书。同时具备得4分，具备1项得2分，不具备时不得分。 3.供应商具有ITSS信息技术服务标准符合性证书、网络安全与数据安全风险评估相关服务能力证书。同时具备得4分，具备1项得2分，不具备时不得分。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经理：项目经理具备数据安全、个人信息保护、网络安全审计相关专业能力证书，包括：注册信息安全工程师（CISP-CISE）、数据安全治理专业人员（CISP-DSG）、重要信息系统保护人员（CIIP-D）、高级渗透测试工程师、网络安全能力认证（CCSC-网络安全技术I级）等。每提供1项得1分，最高3分。 2.技术负责人：技术负责人具备App安全检测、数据合规、网络安全检查相关专业能力证书，包括：注册信息安全工程师（CISP-CISE）、网络安全能力认证（CCSC-网络安全技术I级）、网络安全法律合规认证（CCSS-L）等。每提供1项得1分，最高3分。 3.项目团队成员（除项目经理、技术负责人）：团队人员具备网络安全、数据安全检测类相关证书，包括：网络工程师（中级）、注册渗透测试工程师（CISP-PTE）、信息安全保障人员（CISAW-安全审计）等。每1人得1分，最高不超过3分。同一人员多项资质仅按一项计分，不重复累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以供应商近三年（2023年1月1日以来）类似项目业绩计算，每份合同为1个业绩，每提供一个得2分，满分10分。（提供合同复印件）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供应商业绩等其他证明材料.docx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以本次满足磋商文件要求的最低磋商评审价为磋商基准价，其磋商报价为满分。其他供应商的磋商报价得分，统一按照下列公式计算：磋商报价得分=(磋商基准价／评审价)×30。 符合磋商文件规定的小微企业、监狱企业、残疾人福利性单位优惠条件的供应商，用扣除后的价格参与评审。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审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详见附件：服务内容及商务要求应答表.docx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详见附件：供应商业绩等其他证明材料.docx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详见附件：026-拟签订的采购合同文本.docx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