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版本号：【KRDL】K5-260201420260721001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水力机械磨蚀测试-监测-诊断一体化智能实验系统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【KRDL】K5-2602014</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水力机械磨蚀测试-监测-诊断一体化智能实验系统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【KRDL】K5-2602014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水力机械磨蚀测试-监测-诊断一体化智能实验系统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水力机械磨蚀测试-监测-诊断一体化智能实验系统采购，可实现对高水头、高含沙率水力环境下水力机械水沙两相流磨蚀运行参数的仿真实验；具有材料损伤界面微观形貌、力学特征的表征能力，颗粒-壁面撞击过程观察能力；具备磨蚀状态响应参数的实时在线监测与快速故障诊断功能；突破高水头-高流速条件下抗磨蚀防护设计及材料测试的技术瓶颈，提供水力机械磨蚀防护的流体-材料-数智化运维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王森、于珂欣、姚瑶、王昭、刘昆、张晨、代光艳、靳祥德、成荔、彭明杨、王莉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中标人应当在中标通知书领取后五个工作日内将项目履约保证金(合同总金额的5%)缴纳至招标人，未按照招标文件要求按时足额缴纳履约保证金的，招标人将取消中标人中标资格，且无需承担任何责任。合同约定事宜完成，验收合格后，无息退还履约保证金。注: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代理服务费收费标准：确定中标人后3日内，由中标人参照国家计委颁发的《招标代理服务收费管理暂行办法》(计价格[2002]1980号)及(发改办价格[2011]534号)的标准的70%向采购代理机构一次付清招标代理服务费。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踏勘时间：2026-08-03 09:00:00</w:t>
            </w:r>
          </w:p>
          <w:p>
            <w:pPr>
              <w:pStyle w:val="null3"/>
              <w:ind w:firstLine="975"/>
            </w:pPr>
            <w:r>
              <w:rPr>
                <w:rFonts w:ascii="仿宋_GB2312" w:hAnsi="仿宋_GB2312" w:cs="仿宋_GB2312" w:eastAsia="仿宋_GB2312"/>
              </w:rPr>
              <w:t>踏勘地点：西安理工大学金花校区东门口集合</w:t>
            </w:r>
          </w:p>
          <w:p>
            <w:pPr>
              <w:pStyle w:val="null3"/>
              <w:ind w:firstLine="975"/>
            </w:pPr>
            <w:r>
              <w:rPr>
                <w:rFonts w:ascii="仿宋_GB2312" w:hAnsi="仿宋_GB2312" w:cs="仿宋_GB2312" w:eastAsia="仿宋_GB2312"/>
              </w:rPr>
              <w:t>联系人：于工</w:t>
            </w:r>
          </w:p>
          <w:p>
            <w:pPr>
              <w:pStyle w:val="null3"/>
              <w:ind w:firstLine="975"/>
            </w:pPr>
            <w:r>
              <w:rPr>
                <w:rFonts w:ascii="仿宋_GB2312" w:hAnsi="仿宋_GB2312" w:cs="仿宋_GB2312" w:eastAsia="仿宋_GB2312"/>
              </w:rPr>
              <w:t>联系电话号码：18821613947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联系电话：029-81870236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水力机械磨蚀测试-监测-诊断一体化智能实验系统采购，可实现对高水头、高含沙率水力环境下水力机械水沙两相流磨蚀运行参数的仿真实验；具有材料损伤界面微观形貌、力学特征的表征能力，颗粒-壁面撞击过程观察能力；具备磨蚀状态响应参数的实时在线监测与快速故障诊断功能；突破高水头-高流速条件下抗磨蚀防护设计及材料测试的技术瓶颈，提供水力机械磨蚀防护的流体-材料-数智化运维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水力机械磨蚀测试-监测-诊断一体化智能实验系统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标的名称：水力机械磨蚀测试-监测-诊断一体化智能实验系统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18"/>
              <w:gridCol w:w="1179"/>
              <w:gridCol w:w="720"/>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90"/>
                    <w:jc w:val="center"/>
                  </w:pPr>
                  <w:r>
                    <w:rPr>
                      <w:rFonts w:ascii="仿宋_GB2312" w:hAnsi="仿宋_GB2312" w:cs="仿宋_GB2312" w:eastAsia="仿宋_GB2312"/>
                      <w:sz w:val="21"/>
                    </w:rPr>
                    <w:t>1</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水沙两相流动力系统</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90"/>
                    <w:jc w:val="center"/>
                  </w:pPr>
                  <w:r>
                    <w:rPr>
                      <w:rFonts w:ascii="仿宋_GB2312" w:hAnsi="仿宋_GB2312" w:cs="仿宋_GB2312" w:eastAsia="仿宋_GB2312"/>
                      <w:sz w:val="21"/>
                    </w:rPr>
                    <w:t>2</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沙粒喷射加速系统</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90"/>
                    <w:jc w:val="center"/>
                  </w:pPr>
                  <w:r>
                    <w:rPr>
                      <w:rFonts w:ascii="仿宋_GB2312" w:hAnsi="仿宋_GB2312" w:cs="仿宋_GB2312" w:eastAsia="仿宋_GB2312"/>
                      <w:sz w:val="21"/>
                    </w:rPr>
                    <w:t>3</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流动可视化系统</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90"/>
                    <w:jc w:val="center"/>
                  </w:pPr>
                  <w:r>
                    <w:rPr>
                      <w:rFonts w:ascii="仿宋_GB2312" w:hAnsi="仿宋_GB2312" w:cs="仿宋_GB2312" w:eastAsia="仿宋_GB2312"/>
                      <w:sz w:val="21"/>
                    </w:rPr>
                    <w:t>4</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多参数信号监测系统</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90"/>
                    <w:jc w:val="center"/>
                  </w:pPr>
                  <w:r>
                    <w:rPr>
                      <w:rFonts w:ascii="仿宋_GB2312" w:hAnsi="仿宋_GB2312" w:cs="仿宋_GB2312" w:eastAsia="仿宋_GB2312"/>
                      <w:sz w:val="21"/>
                    </w:rPr>
                    <w:t>5</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磨蚀状态智能识别分析系统</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sz w:val="21"/>
              </w:rPr>
              <w:t>二、设计方案</w:t>
            </w:r>
          </w:p>
          <w:p>
            <w:pPr>
              <w:pStyle w:val="null3"/>
            </w:pPr>
            <w:r>
              <w:rPr>
                <w:rFonts w:ascii="仿宋_GB2312" w:hAnsi="仿宋_GB2312" w:cs="仿宋_GB2312" w:eastAsia="仿宋_GB2312"/>
                <w:sz w:val="21"/>
              </w:rPr>
              <w:t>（一）系统组成</w:t>
            </w:r>
          </w:p>
          <w:p>
            <w:pPr>
              <w:pStyle w:val="null3"/>
            </w:pPr>
            <w:r>
              <w:rPr>
                <w:rFonts w:ascii="仿宋_GB2312" w:hAnsi="仿宋_GB2312" w:cs="仿宋_GB2312" w:eastAsia="仿宋_GB2312"/>
                <w:sz w:val="21"/>
              </w:rPr>
              <w:t>1.水沙两相流动力系统</w:t>
            </w:r>
          </w:p>
          <w:p>
            <w:pPr>
              <w:pStyle w:val="null3"/>
            </w:pPr>
            <w:r>
              <w:rPr>
                <w:rFonts w:ascii="仿宋_GB2312" w:hAnsi="仿宋_GB2312" w:cs="仿宋_GB2312" w:eastAsia="仿宋_GB2312"/>
                <w:sz w:val="21"/>
              </w:rPr>
              <w:t>1.1 功能：提供稳定可控的水沙两相流循环动力，模拟不同流速、浓度、粒径的含沙水流，同时加入气体来模拟含气率对水沙两相流的影响。</w:t>
            </w:r>
          </w:p>
          <w:p>
            <w:pPr>
              <w:pStyle w:val="null3"/>
            </w:pPr>
            <w:r>
              <w:rPr>
                <w:rFonts w:ascii="仿宋_GB2312" w:hAnsi="仿宋_GB2312" w:cs="仿宋_GB2312" w:eastAsia="仿宋_GB2312"/>
                <w:sz w:val="21"/>
              </w:rPr>
              <w:t>1.2主要部件：变频离心泵、循环管路、搅拌式沙水混合罐、流量计、浓度调节阀、分流器，空气压缩机系统、气体流量控制器、气液固分离器等。</w:t>
            </w:r>
          </w:p>
          <w:p>
            <w:pPr>
              <w:pStyle w:val="null3"/>
            </w:pPr>
            <w:r>
              <w:rPr>
                <w:rFonts w:ascii="仿宋_GB2312" w:hAnsi="仿宋_GB2312" w:cs="仿宋_GB2312" w:eastAsia="仿宋_GB2312"/>
                <w:sz w:val="21"/>
              </w:rPr>
              <w:t>2.沙粒喷射加速系统</w:t>
            </w:r>
          </w:p>
          <w:p>
            <w:pPr>
              <w:pStyle w:val="null3"/>
            </w:pPr>
            <w:r>
              <w:rPr>
                <w:rFonts w:ascii="仿宋_GB2312" w:hAnsi="仿宋_GB2312" w:cs="仿宋_GB2312" w:eastAsia="仿宋_GB2312"/>
                <w:sz w:val="21"/>
              </w:rPr>
              <w:t>2.1 功能：产生高速沙粒射流，模拟局部高速含沙水流冲击试样造成磨蚀的过程。</w:t>
            </w:r>
          </w:p>
          <w:p>
            <w:pPr>
              <w:pStyle w:val="null3"/>
            </w:pPr>
            <w:r>
              <w:rPr>
                <w:rFonts w:ascii="仿宋_GB2312" w:hAnsi="仿宋_GB2312" w:cs="仿宋_GB2312" w:eastAsia="仿宋_GB2312"/>
                <w:sz w:val="21"/>
              </w:rPr>
              <w:t>2.2 主要部件：高压气源、储砂罐、高速喷射喷嘴、供料系统（含沙粒回收与分级）、测试腔体、水-气-沙混合腔、试件夹具、喷射角度调节支架、控制系统。</w:t>
            </w:r>
          </w:p>
          <w:p>
            <w:pPr>
              <w:pStyle w:val="null3"/>
            </w:pPr>
            <w:r>
              <w:rPr>
                <w:rFonts w:ascii="仿宋_GB2312" w:hAnsi="仿宋_GB2312" w:cs="仿宋_GB2312" w:eastAsia="仿宋_GB2312"/>
                <w:sz w:val="21"/>
              </w:rPr>
              <w:t>3.流动可视化系统</w:t>
            </w:r>
          </w:p>
          <w:p>
            <w:pPr>
              <w:pStyle w:val="null3"/>
            </w:pPr>
            <w:r>
              <w:rPr>
                <w:rFonts w:ascii="仿宋_GB2312" w:hAnsi="仿宋_GB2312" w:cs="仿宋_GB2312" w:eastAsia="仿宋_GB2312"/>
                <w:sz w:val="21"/>
              </w:rPr>
              <w:t>3.1 功能：观测水沙两相流场结构、沙粒运动轨迹及近壁面相互作用，支持高浓度泥沙环境下的光学测量。</w:t>
            </w:r>
          </w:p>
          <w:p>
            <w:pPr>
              <w:pStyle w:val="null3"/>
            </w:pPr>
            <w:r>
              <w:rPr>
                <w:rFonts w:ascii="仿宋_GB2312" w:hAnsi="仿宋_GB2312" w:cs="仿宋_GB2312" w:eastAsia="仿宋_GB2312"/>
                <w:sz w:val="21"/>
              </w:rPr>
              <w:t>3.2 主要部件：透明测试段、高速相机、激光片光源、微距镜头。</w:t>
            </w:r>
          </w:p>
          <w:p>
            <w:pPr>
              <w:pStyle w:val="null3"/>
            </w:pPr>
            <w:r>
              <w:rPr>
                <w:rFonts w:ascii="仿宋_GB2312" w:hAnsi="仿宋_GB2312" w:cs="仿宋_GB2312" w:eastAsia="仿宋_GB2312"/>
                <w:sz w:val="21"/>
              </w:rPr>
              <w:t>4.多参数信号监测系统</w:t>
            </w:r>
          </w:p>
          <w:p>
            <w:pPr>
              <w:pStyle w:val="null3"/>
            </w:pPr>
            <w:r>
              <w:rPr>
                <w:rFonts w:ascii="仿宋_GB2312" w:hAnsi="仿宋_GB2312" w:cs="仿宋_GB2312" w:eastAsia="仿宋_GB2312"/>
                <w:sz w:val="21"/>
              </w:rPr>
              <w:t>4.1 功能：同步采集水力机械运行状态下的多物理场信号，包含振动、噪声、压力脉动、含沙率、含气率、运行效率等，用来提供水力机械转轮等过流部件在不同磨蚀状态下的上述运行信息。</w:t>
            </w:r>
          </w:p>
          <w:p>
            <w:pPr>
              <w:pStyle w:val="null3"/>
            </w:pPr>
            <w:r>
              <w:rPr>
                <w:rFonts w:ascii="仿宋_GB2312" w:hAnsi="仿宋_GB2312" w:cs="仿宋_GB2312" w:eastAsia="仿宋_GB2312"/>
                <w:sz w:val="21"/>
              </w:rPr>
              <w:t>4.2主要部件：振动传感器（布置于轴承、壳体）、噪声传感器、压力脉动传感器、含沙率测量仪、效率测量设备（进出口压力变送器、电磁流量计、扭矩-转速传感器）</w:t>
            </w:r>
          </w:p>
          <w:p>
            <w:pPr>
              <w:pStyle w:val="null3"/>
            </w:pPr>
            <w:r>
              <w:rPr>
                <w:rFonts w:ascii="仿宋_GB2312" w:hAnsi="仿宋_GB2312" w:cs="仿宋_GB2312" w:eastAsia="仿宋_GB2312"/>
                <w:sz w:val="21"/>
              </w:rPr>
              <w:t>、同步数据采集卡，及数据处理软件。</w:t>
            </w:r>
          </w:p>
          <w:p>
            <w:pPr>
              <w:pStyle w:val="null3"/>
            </w:pPr>
            <w:r>
              <w:rPr>
                <w:rFonts w:ascii="仿宋_GB2312" w:hAnsi="仿宋_GB2312" w:cs="仿宋_GB2312" w:eastAsia="仿宋_GB2312"/>
                <w:sz w:val="21"/>
              </w:rPr>
              <w:t>5.磨蚀状态智能识别分析系统</w:t>
            </w:r>
          </w:p>
          <w:p>
            <w:pPr>
              <w:pStyle w:val="null3"/>
            </w:pPr>
            <w:r>
              <w:rPr>
                <w:rFonts w:ascii="仿宋_GB2312" w:hAnsi="仿宋_GB2312" w:cs="仿宋_GB2312" w:eastAsia="仿宋_GB2312"/>
                <w:sz w:val="21"/>
              </w:rPr>
              <w:t>功能：基于不同转轮磨蚀缺陷类型诱发的多参数（振动、噪声、压力脉动、含沙率、含气率、运行效率等）监测数据响应变化，利用支持向量机、随机森林或一维卷积神经网络等算法进行磨蚀分类识别，利用隐马尔可夫模型或长短时记忆网络进行磨蚀阶段识别，最终输出磨蚀位置推断、磨蚀程度量化、剩余寿命趋势预测。</w:t>
            </w:r>
          </w:p>
          <w:p>
            <w:pPr>
              <w:pStyle w:val="null3"/>
            </w:pPr>
            <w:r>
              <w:rPr>
                <w:rFonts w:ascii="仿宋_GB2312" w:hAnsi="仿宋_GB2312" w:cs="仿宋_GB2312" w:eastAsia="仿宋_GB2312"/>
                <w:sz w:val="21"/>
              </w:rPr>
              <w:t>（二）实验流程</w:t>
            </w:r>
          </w:p>
          <w:p>
            <w:pPr>
              <w:pStyle w:val="null3"/>
              <w:ind w:firstLine="400"/>
            </w:pPr>
            <w:r>
              <w:rPr>
                <w:rFonts w:ascii="仿宋_GB2312" w:hAnsi="仿宋_GB2312" w:cs="仿宋_GB2312" w:eastAsia="仿宋_GB2312"/>
                <w:sz w:val="21"/>
              </w:rPr>
              <w:t>本实验首先进行系统准备，包括安装测试试件、校准传感器、配制特定粒径与浓度的水沙介质，在水力机械水沙两相流动力系统中设定循环流速等参数，提供水泵、水轮机内部多相流宏观磨蚀的实验环境；此外在沙粒喷射加速系统中设置喷射参数，提供高速含沙水流磨蚀的局部损伤实验环境；随后在含沙多相流条件下采集基准信号，然后开启水沙两相流循环与沙粒喷射加载，同步利用振动、噪声、压力脉动、含沙率和效率多参数监测系统以及高速可视化系统，连续记录水泵/水轮机等水力机械的磨蚀全过程数据；在线智能诊断系统实时提取磨蚀引起的振动、噪声、压力脉动、效率等响应特征并识别磨蚀位置与磨蚀严重程度，输出趋势预警；实验结束后拆卸试件进行三维形貌测量，将离线结果与在线诊断比对，用于校正识别模型，最终生成包含磨蚀演化规律与诊断性能的综合实验报告。</w:t>
            </w:r>
          </w:p>
          <w:p>
            <w:pPr>
              <w:pStyle w:val="null3"/>
            </w:pPr>
            <w:r>
              <w:rPr>
                <w:rFonts w:ascii="仿宋_GB2312" w:hAnsi="仿宋_GB2312" w:cs="仿宋_GB2312" w:eastAsia="仿宋_GB2312"/>
                <w:sz w:val="21"/>
              </w:rPr>
              <w:t>（三）系统特色</w:t>
            </w:r>
          </w:p>
          <w:p>
            <w:pPr>
              <w:pStyle w:val="null3"/>
            </w:pPr>
            <w:r>
              <w:rPr>
                <w:rFonts w:ascii="仿宋_GB2312" w:hAnsi="仿宋_GB2312" w:cs="仿宋_GB2312" w:eastAsia="仿宋_GB2312"/>
                <w:sz w:val="21"/>
              </w:rPr>
              <w:t>1.多参数融合：在水泵、水轮机等水力机械磨蚀实验系统中集成振动、噪声、压力脉动、含沙率、效率五类信号，覆盖动力学与性能退化双重维度。</w:t>
            </w:r>
          </w:p>
          <w:p>
            <w:pPr>
              <w:pStyle w:val="null3"/>
            </w:pPr>
            <w:r>
              <w:rPr>
                <w:rFonts w:ascii="仿宋_GB2312" w:hAnsi="仿宋_GB2312" w:cs="仿宋_GB2312" w:eastAsia="仿宋_GB2312"/>
                <w:sz w:val="21"/>
              </w:rPr>
              <w:t>2.智能识别：采用深度学习实现磨蚀位置与程度的非侵入式推断，替代传统频繁拆卸检测。</w:t>
            </w:r>
          </w:p>
          <w:p>
            <w:pPr>
              <w:pStyle w:val="null3"/>
            </w:pPr>
            <w:r>
              <w:rPr>
                <w:rFonts w:ascii="仿宋_GB2312" w:hAnsi="仿宋_GB2312" w:cs="仿宋_GB2312" w:eastAsia="仿宋_GB2312"/>
                <w:sz w:val="21"/>
              </w:rPr>
              <w:t>3.双模式磨蚀加载：水力机械内部全局循环流动（模拟均匀磨蚀）+ 局部射流高速喷射装置（模拟集中冲蚀），贴近实际工况。</w:t>
            </w:r>
          </w:p>
          <w:p>
            <w:pPr>
              <w:pStyle w:val="null3"/>
            </w:pPr>
            <w:r>
              <w:rPr>
                <w:rFonts w:ascii="仿宋_GB2312" w:hAnsi="仿宋_GB2312" w:cs="仿宋_GB2312" w:eastAsia="仿宋_GB2312"/>
                <w:sz w:val="21"/>
              </w:rPr>
              <w:t>4.可视化与信号同步：PIV流场与传感器信号时间对齐，揭示“沙粒运动-信号响应-磨蚀结果”的因果关系。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三、水沙两相流动力系统</w:t>
            </w:r>
          </w:p>
          <w:p>
            <w:pPr>
              <w:pStyle w:val="null3"/>
              <w:jc w:val="left"/>
            </w:pPr>
            <w:r>
              <w:rPr>
                <w:rFonts w:ascii="仿宋_GB2312" w:hAnsi="仿宋_GB2312" w:cs="仿宋_GB2312" w:eastAsia="仿宋_GB2312"/>
                <w:sz w:val="21"/>
              </w:rPr>
              <w:t>1）具备模拟水泵、水轮机工况下空蚀与磨损耦合测试的能力</w:t>
            </w:r>
          </w:p>
          <w:p>
            <w:pPr>
              <w:pStyle w:val="null3"/>
              <w:jc w:val="left"/>
            </w:pPr>
            <w:r>
              <w:rPr>
                <w:rFonts w:ascii="仿宋_GB2312" w:hAnsi="仿宋_GB2312" w:cs="仿宋_GB2312" w:eastAsia="仿宋_GB2312"/>
                <w:sz w:val="21"/>
              </w:rPr>
              <w:t>▲2）具备流量、含沙率独立调节及实时监测功能,流量调节精度±0.1L/min，含沙率调节分辨率±0.1～1kg/m</w:t>
            </w:r>
            <w:r>
              <w:rPr>
                <w:rFonts w:ascii="仿宋_GB2312" w:hAnsi="仿宋_GB2312" w:cs="仿宋_GB2312" w:eastAsia="仿宋_GB2312"/>
                <w:sz w:val="21"/>
                <w:vertAlign w:val="superscript"/>
              </w:rPr>
              <w:t>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3）沙水混合箱体积不小于7 m</w:t>
            </w:r>
            <w:r>
              <w:rPr>
                <w:rFonts w:ascii="仿宋_GB2312" w:hAnsi="仿宋_GB2312" w:cs="仿宋_GB2312" w:eastAsia="仿宋_GB2312"/>
                <w:sz w:val="21"/>
                <w:vertAlign w:val="superscript"/>
              </w:rPr>
              <w:t>3</w:t>
            </w:r>
            <w:r>
              <w:rPr>
                <w:rFonts w:ascii="仿宋_GB2312" w:hAnsi="仿宋_GB2312" w:cs="仿宋_GB2312" w:eastAsia="仿宋_GB2312"/>
                <w:sz w:val="21"/>
              </w:rPr>
              <w:t>，高度不小于3m，直径不小于1.5m，不锈钢材质，配备溢流装置，电磁阀控制溢流装置的开启。</w:t>
            </w:r>
          </w:p>
          <w:p>
            <w:pPr>
              <w:pStyle w:val="null3"/>
              <w:jc w:val="left"/>
            </w:pPr>
            <w:r>
              <w:rPr>
                <w:rFonts w:ascii="仿宋_GB2312" w:hAnsi="仿宋_GB2312" w:cs="仿宋_GB2312" w:eastAsia="仿宋_GB2312"/>
                <w:sz w:val="21"/>
              </w:rPr>
              <w:t>▲4）管路系统总长度不低于30m,直径不低于0.3m,承压不低于2.0MPa，设计为标准管长法兰连接的形式，预留后期扩展试验功能的接口。</w:t>
            </w:r>
          </w:p>
          <w:p>
            <w:pPr>
              <w:pStyle w:val="null3"/>
              <w:jc w:val="left"/>
            </w:pPr>
            <w:r>
              <w:rPr>
                <w:rFonts w:ascii="仿宋_GB2312" w:hAnsi="仿宋_GB2312" w:cs="仿宋_GB2312" w:eastAsia="仿宋_GB2312"/>
                <w:sz w:val="21"/>
              </w:rPr>
              <w:t>5）阀门驱动装置为电动式，并可以实现手动。驱动电机由阀门生产厂与阀门成套配置，成套后应保证阀门在基本工作参数使用条件下安全、稳定、可靠运行。驱动装置必须可实现PLC远程控制。必须配置全开、全关位置限位开关；必须配置阀门电机过扭矩保护功能；所有常开、常闭触点须引到内部端子；阀体位移显示输出信号为电信号。</w:t>
            </w:r>
          </w:p>
          <w:p>
            <w:pPr>
              <w:pStyle w:val="null3"/>
              <w:jc w:val="left"/>
            </w:pPr>
            <w:r>
              <w:rPr>
                <w:rFonts w:ascii="仿宋_GB2312" w:hAnsi="仿宋_GB2312" w:cs="仿宋_GB2312" w:eastAsia="仿宋_GB2312"/>
                <w:sz w:val="21"/>
              </w:rPr>
              <w:t>▲6）提供至少2台水泵，其中1台为动力源水泵压力≥20MPa，流量≥40L/min，泵壳、转轮等主体材质为高铬钢，体积含气率0～50%（1MPa）；另一台水泵为直径不小于40公分的离心泵，但泵壳材质为可视化透明材料，如亚克力、蓝宝石或光学级PC用于结合流动可视化系统观测泵内部流型。</w:t>
            </w:r>
          </w:p>
          <w:p>
            <w:pPr>
              <w:pStyle w:val="null3"/>
              <w:jc w:val="left"/>
            </w:pPr>
            <w:r>
              <w:rPr>
                <w:rFonts w:ascii="仿宋_GB2312" w:hAnsi="仿宋_GB2312" w:cs="仿宋_GB2312" w:eastAsia="仿宋_GB2312"/>
                <w:sz w:val="21"/>
              </w:rPr>
              <w:t>7）流动管路、高压泵等动力系统需耐磨防腐，采用高铬钢或双相不锈钢，单次连续工作时间大于168小时，总工作时间大于12000小时。</w:t>
            </w:r>
          </w:p>
          <w:p>
            <w:pPr>
              <w:pStyle w:val="null3"/>
              <w:jc w:val="left"/>
            </w:pPr>
            <w:r>
              <w:rPr>
                <w:rFonts w:ascii="仿宋_GB2312" w:hAnsi="仿宋_GB2312" w:cs="仿宋_GB2312" w:eastAsia="仿宋_GB2312"/>
                <w:sz w:val="21"/>
              </w:rPr>
              <w:t>▲8）含沙率≥50kg/m</w:t>
            </w:r>
            <w:r>
              <w:rPr>
                <w:rFonts w:ascii="仿宋_GB2312" w:hAnsi="仿宋_GB2312" w:cs="仿宋_GB2312" w:eastAsia="仿宋_GB2312"/>
                <w:sz w:val="21"/>
                <w:vertAlign w:val="superscript"/>
              </w:rPr>
              <w:t>3</w:t>
            </w:r>
            <w:r>
              <w:rPr>
                <w:rFonts w:ascii="仿宋_GB2312" w:hAnsi="仿宋_GB2312" w:cs="仿宋_GB2312" w:eastAsia="仿宋_GB2312"/>
                <w:sz w:val="21"/>
              </w:rPr>
              <w:t>；含沙水流冲击流速≥120m/s。</w:t>
            </w:r>
          </w:p>
          <w:p>
            <w:pPr>
              <w:pStyle w:val="null3"/>
              <w:jc w:val="left"/>
            </w:pPr>
            <w:r>
              <w:rPr>
                <w:rFonts w:ascii="仿宋_GB2312" w:hAnsi="仿宋_GB2312" w:cs="仿宋_GB2312" w:eastAsia="仿宋_GB2312"/>
                <w:sz w:val="21"/>
              </w:rPr>
              <w:t>9）具备沙粒过滤、分离、反冲洗功能，沙粒不堵塞回路。</w:t>
            </w:r>
          </w:p>
          <w:p>
            <w:pPr>
              <w:pStyle w:val="null3"/>
              <w:jc w:val="left"/>
            </w:pPr>
            <w:r>
              <w:rPr>
                <w:rFonts w:ascii="仿宋_GB2312" w:hAnsi="仿宋_GB2312" w:cs="仿宋_GB2312" w:eastAsia="仿宋_GB2312"/>
                <w:sz w:val="21"/>
              </w:rPr>
              <w:t>10）管路任意截面含沙浓度不均匀度 ≤ 8%。</w:t>
            </w:r>
          </w:p>
          <w:p>
            <w:pPr>
              <w:pStyle w:val="null3"/>
              <w:jc w:val="left"/>
            </w:pPr>
            <w:r>
              <w:rPr>
                <w:rFonts w:ascii="仿宋_GB2312" w:hAnsi="仿宋_GB2312" w:cs="仿宋_GB2312" w:eastAsia="仿宋_GB2312"/>
                <w:sz w:val="21"/>
              </w:rPr>
              <w:t>11）试验大厅无起重设备，应结合机械管路系统安装及维护、后期试验开展等需求，配套移动式起重吊装设备。</w:t>
            </w:r>
          </w:p>
          <w:p>
            <w:pPr>
              <w:pStyle w:val="null3"/>
            </w:pPr>
            <w:r>
              <w:rPr>
                <w:rFonts w:ascii="仿宋_GB2312" w:hAnsi="仿宋_GB2312" w:cs="仿宋_GB2312" w:eastAsia="仿宋_GB2312"/>
                <w:sz w:val="21"/>
              </w:rPr>
              <w:t>▲12）具备含气率精准控制和连续调节能力，压力0.01Mpa～0.8Mpa，气体流量控制误差≤±0.5%。</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四、沙粒喷射加速系统</w:t>
            </w:r>
          </w:p>
          <w:p>
            <w:pPr>
              <w:pStyle w:val="null3"/>
            </w:pPr>
            <w:r>
              <w:rPr>
                <w:rFonts w:ascii="仿宋_GB2312" w:hAnsi="仿宋_GB2312" w:cs="仿宋_GB2312" w:eastAsia="仿宋_GB2312"/>
                <w:sz w:val="21"/>
              </w:rPr>
              <w:t>1）喷射系统至少包含高压气源、储砂罐、高速喷射喷嘴、供料系统（含沙粒回收与分级）、测试腔体、水-气-沙混合腔、试件夹具、喷射角度调节支架、控制系统。</w:t>
            </w:r>
          </w:p>
          <w:p>
            <w:pPr>
              <w:pStyle w:val="null3"/>
              <w:jc w:val="left"/>
            </w:pPr>
            <w:r>
              <w:rPr>
                <w:rFonts w:ascii="仿宋_GB2312" w:hAnsi="仿宋_GB2312" w:cs="仿宋_GB2312" w:eastAsia="仿宋_GB2312"/>
                <w:sz w:val="21"/>
              </w:rPr>
              <w:t>2）适用颗粒类型：石英砂、氧化铝、碳化硅、刚玉等标准磨料。</w:t>
            </w:r>
          </w:p>
          <w:p>
            <w:pPr>
              <w:pStyle w:val="null3"/>
              <w:jc w:val="left"/>
            </w:pPr>
            <w:r>
              <w:rPr>
                <w:rFonts w:ascii="仿宋_GB2312" w:hAnsi="仿宋_GB2312" w:cs="仿宋_GB2312" w:eastAsia="仿宋_GB2312"/>
                <w:sz w:val="21"/>
              </w:rPr>
              <w:t>3）沙粒喷射速度（喷嘴出口/入口）加速比≥3。</w:t>
            </w:r>
          </w:p>
          <w:p>
            <w:pPr>
              <w:pStyle w:val="null3"/>
              <w:jc w:val="left"/>
            </w:pPr>
            <w:r>
              <w:rPr>
                <w:rFonts w:ascii="仿宋_GB2312" w:hAnsi="仿宋_GB2312" w:cs="仿宋_GB2312" w:eastAsia="仿宋_GB2312"/>
                <w:sz w:val="21"/>
              </w:rPr>
              <w:t>4）出口沙粒速度分布均匀性：射流中心与边缘速度差异≤±10%。</w:t>
            </w:r>
          </w:p>
          <w:p>
            <w:pPr>
              <w:pStyle w:val="null3"/>
              <w:jc w:val="left"/>
            </w:pPr>
            <w:r>
              <w:rPr>
                <w:rFonts w:ascii="仿宋_GB2312" w:hAnsi="仿宋_GB2312" w:cs="仿宋_GB2312" w:eastAsia="仿宋_GB2312"/>
                <w:sz w:val="21"/>
              </w:rPr>
              <w:t>5）喷嘴直径范围1～10mm，至少提供3种规格。</w:t>
            </w:r>
          </w:p>
          <w:p>
            <w:pPr>
              <w:pStyle w:val="null3"/>
              <w:jc w:val="left"/>
            </w:pPr>
            <w:r>
              <w:rPr>
                <w:rFonts w:ascii="仿宋_GB2312" w:hAnsi="仿宋_GB2312" w:cs="仿宋_GB2312" w:eastAsia="仿宋_GB2312"/>
                <w:sz w:val="21"/>
              </w:rPr>
              <w:t>6）可过流沙粒粒径0.01～2mm，过流沙粒比率0.1%～5%。</w:t>
            </w:r>
          </w:p>
          <w:p>
            <w:pPr>
              <w:pStyle w:val="null3"/>
              <w:jc w:val="left"/>
            </w:pPr>
            <w:r>
              <w:rPr>
                <w:rFonts w:ascii="仿宋_GB2312" w:hAnsi="仿宋_GB2312" w:cs="仿宋_GB2312" w:eastAsia="仿宋_GB2312"/>
                <w:sz w:val="21"/>
              </w:rPr>
              <w:t>7）喷射距离0.5cm～10cm，调节精度≤±1 mm。</w:t>
            </w:r>
          </w:p>
          <w:p>
            <w:pPr>
              <w:pStyle w:val="null3"/>
              <w:jc w:val="left"/>
            </w:pPr>
            <w:r>
              <w:rPr>
                <w:rFonts w:ascii="仿宋_GB2312" w:hAnsi="仿宋_GB2312" w:cs="仿宋_GB2312" w:eastAsia="仿宋_GB2312"/>
                <w:sz w:val="21"/>
              </w:rPr>
              <w:t>8）喷射角度0～90度，调节精度≤±0.5°</w:t>
            </w:r>
          </w:p>
          <w:p>
            <w:pPr>
              <w:pStyle w:val="null3"/>
              <w:jc w:val="left"/>
            </w:pPr>
            <w:r>
              <w:rPr>
                <w:rFonts w:ascii="仿宋_GB2312" w:hAnsi="仿宋_GB2312" w:cs="仿宋_GB2312" w:eastAsia="仿宋_GB2312"/>
                <w:sz w:val="21"/>
              </w:rPr>
              <w:t>▲9）喷射头硬度≥2000HV。</w:t>
            </w:r>
          </w:p>
          <w:p>
            <w:pPr>
              <w:pStyle w:val="null3"/>
              <w:jc w:val="left"/>
            </w:pPr>
            <w:r>
              <w:rPr>
                <w:rFonts w:ascii="仿宋_GB2312" w:hAnsi="仿宋_GB2312" w:cs="仿宋_GB2312" w:eastAsia="仿宋_GB2312"/>
                <w:sz w:val="21"/>
              </w:rPr>
              <w:t>10）支持连续喷射与脉冲喷射（脉冲宽度≥0.1s可调）。</w:t>
            </w:r>
          </w:p>
          <w:p>
            <w:pPr>
              <w:pStyle w:val="null3"/>
              <w:jc w:val="left"/>
            </w:pPr>
            <w:r>
              <w:rPr>
                <w:rFonts w:ascii="仿宋_GB2312" w:hAnsi="仿宋_GB2312" w:cs="仿宋_GB2312" w:eastAsia="仿宋_GB2312"/>
                <w:sz w:val="21"/>
              </w:rPr>
              <w:t>11）最大试件尺寸：不小于 50 mm × 50 mm × 10 mm，夹具可适应不同形状（平板、小曲率曲面），可实现单点冲击与扫描冲击模式。</w:t>
            </w:r>
          </w:p>
          <w:p>
            <w:pPr>
              <w:pStyle w:val="null3"/>
              <w:jc w:val="left"/>
            </w:pPr>
            <w:r>
              <w:rPr>
                <w:rFonts w:ascii="仿宋_GB2312" w:hAnsi="仿宋_GB2312" w:cs="仿宋_GB2312" w:eastAsia="仿宋_GB2312"/>
                <w:sz w:val="21"/>
              </w:rPr>
              <w:t>12）测试腔体密封设计，具备透明观察窗（防冲击、防尘、高透光率材质）可观察射流与试样表面的冲击接触过程，集成除尘与颗粒回收系统回收效率≥95%。</w:t>
            </w:r>
          </w:p>
          <w:p>
            <w:pPr>
              <w:pStyle w:val="null3"/>
              <w:jc w:val="left"/>
            </w:pPr>
            <w:r>
              <w:rPr>
                <w:rFonts w:ascii="仿宋_GB2312" w:hAnsi="仿宋_GB2312" w:cs="仿宋_GB2312" w:eastAsia="仿宋_GB2312"/>
                <w:sz w:val="21"/>
              </w:rPr>
              <w:t>13）控制系统：基于PLC或工控机，触摸屏操作，可编程设定喷射时间、速度、流量、角度、喷距等参数，支持自动顺序执行多组测试条件。</w:t>
            </w:r>
          </w:p>
          <w:p>
            <w:pPr>
              <w:pStyle w:val="null3"/>
            </w:pPr>
            <w:r>
              <w:rPr>
                <w:rFonts w:ascii="仿宋_GB2312" w:hAnsi="仿宋_GB2312" w:cs="仿宋_GB2312" w:eastAsia="仿宋_GB2312"/>
                <w:sz w:val="21"/>
              </w:rPr>
              <w:t>14）噪声控制：设备运行时噪声≤80 dB(A)，具备急停按钮、过载保护、门锁联动停机安全功能。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五、流动可视化系统</w:t>
            </w:r>
          </w:p>
          <w:p>
            <w:pPr>
              <w:pStyle w:val="null3"/>
              <w:jc w:val="left"/>
            </w:pPr>
            <w:r>
              <w:rPr>
                <w:rFonts w:ascii="仿宋_GB2312" w:hAnsi="仿宋_GB2312" w:cs="仿宋_GB2312" w:eastAsia="仿宋_GB2312"/>
                <w:sz w:val="21"/>
              </w:rPr>
              <w:t>1）具备气液固多相流态在线监测功能。</w:t>
            </w:r>
          </w:p>
          <w:p>
            <w:pPr>
              <w:pStyle w:val="null3"/>
              <w:jc w:val="left"/>
            </w:pPr>
            <w:r>
              <w:rPr>
                <w:rFonts w:ascii="仿宋_GB2312" w:hAnsi="仿宋_GB2312" w:cs="仿宋_GB2312" w:eastAsia="仿宋_GB2312"/>
                <w:sz w:val="21"/>
              </w:rPr>
              <w:t>2）提供透明段管路及适配器，便于替换测试段。</w:t>
            </w:r>
          </w:p>
          <w:p>
            <w:pPr>
              <w:pStyle w:val="null3"/>
              <w:jc w:val="left"/>
            </w:pPr>
            <w:r>
              <w:rPr>
                <w:rFonts w:ascii="仿宋_GB2312" w:hAnsi="仿宋_GB2312" w:cs="仿宋_GB2312" w:eastAsia="仿宋_GB2312"/>
                <w:sz w:val="21"/>
              </w:rPr>
              <w:t>3）支持压力敏感涂料（PSP）或温度敏感涂料（TSP）扩展接口。</w:t>
            </w:r>
          </w:p>
          <w:p>
            <w:pPr>
              <w:pStyle w:val="null3"/>
              <w:jc w:val="left"/>
            </w:pPr>
            <w:r>
              <w:rPr>
                <w:rFonts w:ascii="仿宋_GB2312" w:hAnsi="仿宋_GB2312" w:cs="仿宋_GB2312" w:eastAsia="仿宋_GB2312"/>
                <w:sz w:val="21"/>
              </w:rPr>
              <w:t>4）测速范围：0～500m/s，测速精度≤±1%，支持2D2C及支持水中气泡的形成、长大和上浮过程；支持自动化标定过程，自动识别标定点构建坐标系，并支持手动构建坐标系，提供丰富的图像预处理功能：自动遮罩、高斯滤波、背景剔除、图像增强等。支持AI智能分割功能，实现前后背景分离、自动遮罩提取，并提供证明图片或材料。提供多种速度场分析算法：包括经典、多尺度、仿射等多种算法，支持多通道、多次迭代、多重计算，支持整体特征不明显、小尺度结构复杂的流场分析。支持全流程评价：标定结果评价、重构结果评价以及计算结果评价。包含用标准放大倍数、W2C的标定误差、C2W的标定误差、有效网格点数、原点位置监测评价标定模型；用Z平面粒子分布、重投影误差评价重构结果。</w:t>
            </w:r>
          </w:p>
          <w:p>
            <w:pPr>
              <w:pStyle w:val="null3"/>
              <w:jc w:val="left"/>
            </w:pPr>
            <w:r>
              <w:rPr>
                <w:rFonts w:ascii="仿宋_GB2312" w:hAnsi="仿宋_GB2312" w:cs="仿宋_GB2312" w:eastAsia="仿宋_GB2312"/>
                <w:sz w:val="21"/>
              </w:rPr>
              <w:t>5）微距成像能力：可分辨 ≥ 20 μm 的沙粒撞击细节（近壁面），能清晰捕捉直径≥100 μm的气泡运动轨迹。</w:t>
            </w:r>
          </w:p>
          <w:p>
            <w:pPr>
              <w:pStyle w:val="null3"/>
              <w:jc w:val="left"/>
            </w:pPr>
            <w:r>
              <w:rPr>
                <w:rFonts w:ascii="仿宋_GB2312" w:hAnsi="仿宋_GB2312" w:cs="仿宋_GB2312" w:eastAsia="仿宋_GB2312"/>
                <w:sz w:val="21"/>
              </w:rPr>
              <w:t>6）多相工况下（气含量5%、颗粒浓度1%），图像无明显眩光或反射干扰，可提取相分布。</w:t>
            </w:r>
          </w:p>
          <w:p>
            <w:pPr>
              <w:pStyle w:val="null3"/>
              <w:jc w:val="left"/>
            </w:pPr>
            <w:r>
              <w:rPr>
                <w:rFonts w:ascii="仿宋_GB2312" w:hAnsi="仿宋_GB2312" w:cs="仿宋_GB2312" w:eastAsia="仿宋_GB2312"/>
                <w:sz w:val="21"/>
              </w:rPr>
              <w:t>7）激光器：</w:t>
            </w:r>
          </w:p>
          <w:p>
            <w:pPr>
              <w:pStyle w:val="null3"/>
              <w:jc w:val="left"/>
            </w:pPr>
            <w:r>
              <w:rPr>
                <w:rFonts w:ascii="仿宋_GB2312" w:hAnsi="仿宋_GB2312" w:cs="仿宋_GB2312" w:eastAsia="仿宋_GB2312"/>
                <w:sz w:val="21"/>
              </w:rPr>
              <w:t>①波长：532nm；</w:t>
            </w:r>
          </w:p>
          <w:p>
            <w:pPr>
              <w:pStyle w:val="null3"/>
              <w:jc w:val="left"/>
            </w:pPr>
            <w:r>
              <w:rPr>
                <w:rFonts w:ascii="仿宋_GB2312" w:hAnsi="仿宋_GB2312" w:cs="仿宋_GB2312" w:eastAsia="仿宋_GB2312"/>
                <w:sz w:val="21"/>
              </w:rPr>
              <w:t>② 重复频率：15Hz；</w:t>
            </w:r>
          </w:p>
          <w:p>
            <w:pPr>
              <w:pStyle w:val="null3"/>
              <w:jc w:val="left"/>
            </w:pPr>
            <w:r>
              <w:rPr>
                <w:rFonts w:ascii="仿宋_GB2312" w:hAnsi="仿宋_GB2312" w:cs="仿宋_GB2312" w:eastAsia="仿宋_GB2312"/>
                <w:sz w:val="21"/>
              </w:rPr>
              <w:t>③ 脉宽：5～8ns；</w:t>
            </w:r>
          </w:p>
          <w:p>
            <w:pPr>
              <w:pStyle w:val="null3"/>
              <w:jc w:val="left"/>
            </w:pPr>
            <w:r>
              <w:rPr>
                <w:rFonts w:ascii="仿宋_GB2312" w:hAnsi="仿宋_GB2312" w:cs="仿宋_GB2312" w:eastAsia="仿宋_GB2312"/>
                <w:sz w:val="21"/>
              </w:rPr>
              <w:t>④ 单脉冲能量：200mJ；</w:t>
            </w:r>
          </w:p>
          <w:p>
            <w:pPr>
              <w:pStyle w:val="null3"/>
              <w:jc w:val="left"/>
            </w:pPr>
            <w:r>
              <w:rPr>
                <w:rFonts w:ascii="仿宋_GB2312" w:hAnsi="仿宋_GB2312" w:cs="仿宋_GB2312" w:eastAsia="仿宋_GB2312"/>
                <w:sz w:val="21"/>
              </w:rPr>
              <w:t>⑤能量稳定性（RMS）：≤1%；</w:t>
            </w:r>
          </w:p>
          <w:p>
            <w:pPr>
              <w:pStyle w:val="null3"/>
              <w:jc w:val="left"/>
            </w:pPr>
            <w:r>
              <w:rPr>
                <w:rFonts w:ascii="仿宋_GB2312" w:hAnsi="仿宋_GB2312" w:cs="仿宋_GB2312" w:eastAsia="仿宋_GB2312"/>
                <w:sz w:val="21"/>
              </w:rPr>
              <w:t>⑥发散角：≤3mrad；含导光臂及片光源。</w:t>
            </w:r>
          </w:p>
          <w:p>
            <w:pPr>
              <w:pStyle w:val="null3"/>
              <w:jc w:val="left"/>
            </w:pPr>
            <w:r>
              <w:rPr>
                <w:rFonts w:ascii="仿宋_GB2312" w:hAnsi="仿宋_GB2312" w:cs="仿宋_GB2312" w:eastAsia="仿宋_GB2312"/>
                <w:sz w:val="21"/>
              </w:rPr>
              <w:t>8）图像采集：分辨率:5300x4600，满画幅最大帧率:90fps，BSI传感器，支持跨帧模式，最小跨帧间隔:400ns,CXP接口，最大内存根据电脑分配内存确定，支持ROI,镜头接口：M45卡口，时间同步精度1ns，8路同步信号输出。</w:t>
            </w:r>
          </w:p>
          <w:p>
            <w:pPr>
              <w:pStyle w:val="null3"/>
            </w:pPr>
            <w:r>
              <w:rPr>
                <w:rFonts w:ascii="仿宋_GB2312" w:hAnsi="仿宋_GB2312" w:cs="仿宋_GB2312" w:eastAsia="仿宋_GB2312"/>
                <w:sz w:val="21"/>
              </w:rPr>
              <w:t>9）数据采集与分析软件：控制所有硬件参数设置（曝光、帧率、激光强度、触发延迟），图像预处理（背景扣除、增强、去噪），多相流特征提取：气泡/颗粒尺寸、速度、轨迹、浓度分布，支持相分割、空化区域识别、相位平均分析，数据导出格式：TIFF序列、AVI、CSV、MAT。提供多种后处理算法：局部中值滤波、标准差滤波、高斯滤波、速度插补、速度限制等。支持实验报告一键生成：支持实验基础信息自动记录、实验报告一键导出，导出实验报告内容包括：实验背景、实验设备、实验过程以及实验结果，报告支持可编辑版本和不可编辑版本。支持流场特性分析、涡结构分析，包含q准则、λ2准则、伽利略分解、雷诺分解、POD、DMD等分析工具。</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六、多参数信号监测系统</w:t>
            </w:r>
          </w:p>
          <w:p>
            <w:pPr>
              <w:pStyle w:val="null3"/>
              <w:jc w:val="left"/>
            </w:pPr>
            <w:r>
              <w:rPr>
                <w:rFonts w:ascii="仿宋_GB2312" w:hAnsi="仿宋_GB2312" w:cs="仿宋_GB2312" w:eastAsia="仿宋_GB2312"/>
                <w:sz w:val="21"/>
              </w:rPr>
              <w:t>1)具备振动、压力脉动、噪声、效率及过机含沙量、含气率等信号在线监测并屏幕显示输出功能。</w:t>
            </w:r>
          </w:p>
          <w:p>
            <w:pPr>
              <w:pStyle w:val="null3"/>
              <w:jc w:val="left"/>
            </w:pPr>
            <w:r>
              <w:rPr>
                <w:rFonts w:ascii="仿宋_GB2312" w:hAnsi="仿宋_GB2312" w:cs="仿宋_GB2312" w:eastAsia="仿宋_GB2312"/>
                <w:sz w:val="21"/>
              </w:rPr>
              <w:t>2）压力脉动采集监测要求：测量范围0～2MPa，输出4～18mA，精度误差≤±0.5%，响应速度≤1ms，测点数量不低于6个。</w:t>
            </w:r>
          </w:p>
          <w:p>
            <w:pPr>
              <w:pStyle w:val="null3"/>
              <w:jc w:val="left"/>
            </w:pPr>
            <w:r>
              <w:rPr>
                <w:rFonts w:ascii="仿宋_GB2312" w:hAnsi="仿宋_GB2312" w:cs="仿宋_GB2312" w:eastAsia="仿宋_GB2312"/>
                <w:sz w:val="21"/>
              </w:rPr>
              <w:t>3）振动信号采集监测要求：量程±1mm，灵敏度8V/mm±5%，工作频响范围0.3～300 Hz，数量6个水平3个垂直。</w:t>
            </w:r>
          </w:p>
          <w:p>
            <w:pPr>
              <w:pStyle w:val="null3"/>
              <w:jc w:val="left"/>
            </w:pPr>
            <w:r>
              <w:rPr>
                <w:rFonts w:ascii="仿宋_GB2312" w:hAnsi="仿宋_GB2312" w:cs="仿宋_GB2312" w:eastAsia="仿宋_GB2312"/>
                <w:sz w:val="21"/>
              </w:rPr>
              <w:t>4）噪声信号采集监测要求：输入通道4个，输入信号类型ICP或电压，输入电压15V，频率范围0.1Hz到80KHz，量程20dB，灵敏度 40mV/Pa，量程控制误差±0.05db，运行方式可独立运行，也可通过TCP/IP 以太网络方式将数据传送到笔记本电脑，也可通过USB 接口方式将测试数据备份到笔记本电脑进行离线分析；具备波形、频谱分析、离线分析、具备数据存储、数据回放、数据趋势分析，时间历程分析软件;实时显示某通道测量值随时间变化曲线。</w:t>
            </w:r>
          </w:p>
          <w:p>
            <w:pPr>
              <w:pStyle w:val="null3"/>
              <w:jc w:val="left"/>
            </w:pPr>
            <w:r>
              <w:rPr>
                <w:rFonts w:ascii="仿宋_GB2312" w:hAnsi="仿宋_GB2312" w:cs="仿宋_GB2312" w:eastAsia="仿宋_GB2312"/>
                <w:sz w:val="21"/>
              </w:rPr>
              <w:t>5）采集分析系统要求：采样方式：具备同步整周期并行采样方式或连续并行采样方式；通道数量：不少于8个摆度通道、不少于12个振动通道、不少于8个4到20ma压力脉动通道、不少于4个开关量通道、不少于1个键相通道，单通道AD转换速率可达20kHz；分析软件可工作在Windows 7/10/11、Server、XP等操作系统中，具备在线或离线分析功能、具备波形、频谱分析、离线分析、具备数据存储、数据回放、数据趋势分析、具备原始数据导出、具备报告功能；转速1～1500rpm，摆度0～1600um，振动-800～800um,噪音信号16～140db,压力0～2MPa；摆度误差≤±3um，振动误差≤±3um，压力或工况≤±0.5%，相位误差≤±0.5 度，频率误差≤±0.5%，转速误差≤±0.2rpm。</w:t>
            </w:r>
          </w:p>
          <w:p>
            <w:pPr>
              <w:pStyle w:val="null3"/>
              <w:jc w:val="left"/>
            </w:pPr>
            <w:r>
              <w:rPr>
                <w:rFonts w:ascii="仿宋_GB2312" w:hAnsi="仿宋_GB2312" w:cs="仿宋_GB2312" w:eastAsia="仿宋_GB2312"/>
                <w:sz w:val="21"/>
              </w:rPr>
              <w:t>6）含沙率在线测量范围0～100kg/m3，准确度≥80%。</w:t>
            </w:r>
          </w:p>
          <w:p>
            <w:pPr>
              <w:pStyle w:val="null3"/>
              <w:jc w:val="left"/>
            </w:pPr>
            <w:r>
              <w:rPr>
                <w:rFonts w:ascii="仿宋_GB2312" w:hAnsi="仿宋_GB2312" w:cs="仿宋_GB2312" w:eastAsia="仿宋_GB2312"/>
                <w:sz w:val="21"/>
              </w:rPr>
              <w:t>7）液体流量量程≥40L/min，误差≤±0.5%。</w:t>
            </w:r>
          </w:p>
          <w:p>
            <w:pPr>
              <w:pStyle w:val="null3"/>
            </w:pPr>
            <w:r>
              <w:rPr>
                <w:rFonts w:ascii="仿宋_GB2312" w:hAnsi="仿宋_GB2312" w:cs="仿宋_GB2312" w:eastAsia="仿宋_GB2312"/>
                <w:sz w:val="21"/>
              </w:rPr>
              <w:t>8）气体流量量程0～200SLPM（标况条件），控制误差≤±0.5%S.P.。</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七、磨蚀状态智能识别分析系统</w:t>
            </w:r>
          </w:p>
          <w:p>
            <w:pPr>
              <w:pStyle w:val="null3"/>
              <w:jc w:val="left"/>
            </w:pPr>
            <w:r>
              <w:rPr>
                <w:rFonts w:ascii="仿宋_GB2312" w:hAnsi="仿宋_GB2312" w:cs="仿宋_GB2312" w:eastAsia="仿宋_GB2312"/>
                <w:sz w:val="21"/>
              </w:rPr>
              <w:t>1）运行过程中基于振动、压力脉动、噪声、效率等多参数融合实现在线识别≥10%的水力机械转轮表面磨蚀缺陷损伤率。</w:t>
            </w:r>
          </w:p>
          <w:p>
            <w:pPr>
              <w:pStyle w:val="null3"/>
              <w:jc w:val="left"/>
            </w:pPr>
            <w:r>
              <w:rPr>
                <w:rFonts w:ascii="仿宋_GB2312" w:hAnsi="仿宋_GB2312" w:cs="仿宋_GB2312" w:eastAsia="仿宋_GB2312"/>
                <w:sz w:val="21"/>
              </w:rPr>
              <w:t>2）信号处理：时域特征提取：均方根、峰值、峰峰值、峭度、偏度等，频域特征提取：FFT、功率谱密度、包络谱、倒频谱，时频域分析：短时傅里叶变换、小波变换、经验模态分解（EMD），声发射参数提取：计数、能量、幅值、上升时间、持续时间。</w:t>
            </w:r>
          </w:p>
          <w:p>
            <w:pPr>
              <w:pStyle w:val="null3"/>
              <w:jc w:val="left"/>
            </w:pPr>
            <w:r>
              <w:rPr>
                <w:rFonts w:ascii="仿宋_GB2312" w:hAnsi="仿宋_GB2312" w:cs="仿宋_GB2312" w:eastAsia="仿宋_GB2312"/>
                <w:sz w:val="21"/>
              </w:rPr>
              <w:t>3）算法类型：支持至少以下三种之一（可配置）：卷积神经网络（CNN）、支持向量机（SVM）、随机森林、长短时记忆网络（LSTM）。</w:t>
            </w:r>
          </w:p>
          <w:p>
            <w:pPr>
              <w:pStyle w:val="null3"/>
              <w:jc w:val="left"/>
            </w:pPr>
            <w:r>
              <w:rPr>
                <w:rFonts w:ascii="仿宋_GB2312" w:hAnsi="仿宋_GB2312" w:cs="仿宋_GB2312" w:eastAsia="仿宋_GB2312"/>
                <w:sz w:val="21"/>
              </w:rPr>
              <w:t>4）模型训练功能：支持导入历史数据实现增量学习与模型更新，支持增量学习或离线重新训练，且一次完整训练时间 ≤ 30 分钟（给定 1000 组样本）。</w:t>
            </w:r>
          </w:p>
          <w:p>
            <w:pPr>
              <w:pStyle w:val="null3"/>
              <w:jc w:val="left"/>
            </w:pPr>
            <w:r>
              <w:rPr>
                <w:rFonts w:ascii="仿宋_GB2312" w:hAnsi="仿宋_GB2312" w:cs="仿宋_GB2312" w:eastAsia="仿宋_GB2312"/>
                <w:sz w:val="21"/>
              </w:rPr>
              <w:t>5）磨蚀量预测误差＜±10%。</w:t>
            </w:r>
          </w:p>
          <w:p>
            <w:pPr>
              <w:pStyle w:val="null3"/>
              <w:jc w:val="left"/>
            </w:pPr>
            <w:r>
              <w:rPr>
                <w:rFonts w:ascii="仿宋_GB2312" w:hAnsi="仿宋_GB2312" w:cs="仿宋_GB2312" w:eastAsia="仿宋_GB2312"/>
                <w:sz w:val="21"/>
              </w:rPr>
              <w:t>6）磨蚀状态分类（磨损、空蚀、磨损+空蚀、磨蚀初期/发展期/严重期分级）精度≥±90%。</w:t>
            </w:r>
          </w:p>
          <w:p>
            <w:pPr>
              <w:pStyle w:val="null3"/>
              <w:jc w:val="left"/>
            </w:pPr>
            <w:r>
              <w:rPr>
                <w:rFonts w:ascii="仿宋_GB2312" w:hAnsi="仿宋_GB2312" w:cs="仿宋_GB2312" w:eastAsia="仿宋_GB2312"/>
                <w:sz w:val="21"/>
              </w:rPr>
              <w:t>7）基于退化轨迹或状态空间模型，输出剩余可用时间（小时/天数）预测误差≤±15%（在相同工况条件下）。</w:t>
            </w:r>
          </w:p>
          <w:p>
            <w:pPr>
              <w:pStyle w:val="null3"/>
              <w:jc w:val="left"/>
            </w:pPr>
            <w:r>
              <w:rPr>
                <w:rFonts w:ascii="仿宋_GB2312" w:hAnsi="仿宋_GB2312" w:cs="仿宋_GB2312" w:eastAsia="仿宋_GB2312"/>
                <w:sz w:val="21"/>
              </w:rPr>
              <w:t>8）在稳定无磨蚀工况下（清水或低浓度短时运行），误报磨蚀事件的概率 ≤ 5%。</w:t>
            </w:r>
          </w:p>
          <w:p>
            <w:pPr>
              <w:pStyle w:val="null3"/>
              <w:jc w:val="left"/>
            </w:pPr>
            <w:r>
              <w:rPr>
                <w:rFonts w:ascii="仿宋_GB2312" w:hAnsi="仿宋_GB2312" w:cs="仿宋_GB2312" w:eastAsia="仿宋_GB2312"/>
                <w:sz w:val="21"/>
              </w:rPr>
              <w:t>9）供应商根据招标人要求至少提供3种带不同缺陷强度的水泵/水轮机转轮和1种完好水泵/水轮机转轮进行对比测试，转轮材质为高铬钢或不锈钢，转轮直径不低于80cm，加工表面粗糙度达到Sa2.5。</w:t>
            </w:r>
          </w:p>
          <w:p>
            <w:pPr>
              <w:pStyle w:val="null3"/>
              <w:jc w:val="left"/>
            </w:pPr>
            <w:r>
              <w:rPr>
                <w:rFonts w:ascii="仿宋_GB2312" w:hAnsi="仿宋_GB2312" w:cs="仿宋_GB2312" w:eastAsia="仿宋_GB2312"/>
                <w:sz w:val="21"/>
              </w:rPr>
              <w:t>10）数据存储与可视化平台：本地存储不少于6 TB，支持扩展，远程云/服务器端数据同步。</w:t>
            </w:r>
          </w:p>
          <w:p>
            <w:pPr>
              <w:pStyle w:val="null3"/>
              <w:jc w:val="left"/>
            </w:pPr>
            <w:r>
              <w:rPr>
                <w:rFonts w:ascii="仿宋_GB2312" w:hAnsi="仿宋_GB2312" w:cs="仿宋_GB2312" w:eastAsia="仿宋_GB2312"/>
                <w:sz w:val="21"/>
              </w:rPr>
              <w:t>11）可视化看板：磨蚀状态实时指示、历史趋势、报警记录、健康度评分。</w:t>
            </w:r>
          </w:p>
          <w:p>
            <w:pPr>
              <w:pStyle w:val="null3"/>
              <w:jc w:val="left"/>
            </w:pPr>
            <w:r>
              <w:rPr>
                <w:rFonts w:ascii="仿宋_GB2312" w:hAnsi="仿宋_GB2312" w:cs="仿宋_GB2312" w:eastAsia="仿宋_GB2312"/>
                <w:sz w:val="21"/>
              </w:rPr>
              <w:t>12）同步与触发：支持外部触发（转速、流量、压力信号）及软件触发，可接入水力机械多参数信号监测系统的运行工况信号（流量、扬程、转速、含沙量、振动、压力脉动、噪声、效率等）。</w:t>
            </w:r>
          </w:p>
          <w:p>
            <w:pPr>
              <w:pStyle w:val="null3"/>
            </w:pPr>
            <w:r>
              <w:rPr>
                <w:rFonts w:ascii="仿宋_GB2312" w:hAnsi="仿宋_GB2312" w:cs="仿宋_GB2312" w:eastAsia="仿宋_GB2312"/>
                <w:sz w:val="21"/>
              </w:rPr>
              <w:t>13）软件连续运行168小时无死机、无数据丢失。</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合同签订后220个日历日完成供货、安装、调试，并达到交付使用条件。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西安理工大学金花校区水动大厅。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一个月内，中标人按照剩余合同额向招标人开具剩余合同总价(即合同总额的60%)为担保金额的不可撤销、见索即付的银行保函，银行保函期限应至少覆盖本合同全部供货、安装、调试周期。招标人收到上述全部银行保函正本并审核无误后1个月内，向中标人支付等同于保函金额(即合同总额的60%)的款项，设备调试完成并经招标人验收合格，且中标人开具等额增值税专用发票后，招标人5个工作日内向中标人退还不可撤销、见索即付的银行保函正本，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由采购单位负责组织验收，或者邀请有关专家、质检机构共同进行验收； 连续运行168小时无故障； 关键参数与投标文件承诺值对比（允许±5%偏差）。 人员培训：提供相关操作人员培训。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所有设备质保期不低于 5 年，软件维保期不低于5年，易损件质保期内免费更换，包括动力源水泵、水-气-沙混合腔、耐磨叶轮、高速含沙喷嘴、密封、阀门、弯头等局部阻力件等。质保期自采购人在货物质量验收合格之日起计算。质保期内出现任何非人为故意损坏的质量问题，由中标人包换或包退，并承担调换或退货的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1.采购包1其他要求：采购标的配套工程、质量保证、售后服务等要求。 （1）配套工程 基础施工：包含安装设备所需叉车及各种工具（需提前2日做好准备）。 （2）质量保证 货物要求：以采购人的要求为准，为采购人提供全新的货物（包括零部件）。 （3）售后服务 响应时限：72小时内现场响应； 定期维护：每季度提供预防性维护服务。 2.需执行的国家相关标准、行业标准、地方标准或者其他标准、规范。 （1） GB/T 15469.1-2008: 水轮机、蓄能泵和水泵水轮机空蚀评定 第1部分：反击式水轮机的空蚀评定 （2） GB/T 17189-2017: 水力机械(水轮机、蓄能泵和水泵水轮机)振动和脉动现场测试规程 （3） GB/T 20043-2005: 水轮机、蓄能泵和水泵水轮机水力性能现场验收试验规程 （4） GB/T 28545-2023: 水轮机、蓄能泵和水泵水轮机更新改造和性能改善导则 （5） GB/T 32878-2016: 可逆式水泵水轮机调节系统运行规程 （6） GB/T 33717-2024: 水轮机、蓄能泵和水泵水轮机流量的测量超声传播时间法 （7） GB/T 43395-2023: 水轮机、水泵水轮机和蓄能泵启动试验及试运行导则 （8） JB/T 6478-2013: 水轮机、蓄能泵和水泵水轮机用符号。 3.产品保修期（三包期）内，修理、更换、退货要求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（4）质保服务：保修期内由中标人质保，采购人报修后72小时内投标人必须响应，否则将依据有关法律、法规进行追偿；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4.用保函形式缴纳投标保证金的投标人应按照陕西省政府采购网的相关要求进行递交，同时还需在投标截止时间前将保函扫描成清晰的PDF文件发送至邮箱1253677747@qq.com（邮件命名：项目编号+项目名称） 5.用转账形式缴纳投标保证金的投标人转账时需备注项目名称+投标保证金； 6.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 7.本项目采购设备为水沙两相流动力系统、沙粒喷射加速系统、流动可视化系统、多参数信号监测系统、磨蚀状态智能识别分析系统，各供应商应按照《政府采购促进中小企业发展管理办法》的要求，结合所投产品企业制造所属情形按照设备名称自行填写《中小企业声明函》。 8.1.3.4商务要求3.4.4支付约定为系统固定推述内容，具体付款方式以下列内容为准：合同签订之日起5个工作日内，且中标人开具等额增值税专用发票后，招标人向中标人支付合同总价的40%作为预付款；合同签订后一个月内，中标人按照剩余合同额向招标人开具剩余合同总价(即合同总额的60%)为担保金额的不可撤销、见索即付的银行保函，银行保函期限应至少覆盖本合同全部供货、安装、调试周期。招标人收到上述全部银行保函正本并审核无误后1个月内，向中标人支付等同于保函金额(即合同总额的60%)的款项，设备调试完成并经招标人验收合格，且中标人开具等额增值税专用发票后，招标人5个工作日内向中标人退还不可撤销、见索即付的银行保函正本。 9.现场述标要求 （1）投标人需要进行演示的需在投标截止时间前在陕西省西安市莲湖区高新二路1号招商银行大厦19层第二会议室进行线下签到。 （2）演示时间为15分钟。 （3）要求投标人自行准备以往自主开发的相关系统演示，以及实地踏勘本项目安装、运行环境后的实施方案，投标人自行选择用word或ppt演示。 （4）演示采用线下演示，投标人须自行搭建演示环境，自备笔记本电脑演示设备及转接头，因投标人自身问题致使演示无法完成的，责任由投标人自行承担。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技术方案.docx 中小企业声明函 其他资料2.docx 投标人应提交的相关资格证明材料.docx 其他资料1.docx 投标函 残疾人福利性单位声明函 标的清单 关于符合本国产品标准的声明函 投标文件封面 产品技术参数表.docx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技术方案.docx 中小企业声明函 其他资料2.docx 投标人应提交的相关资格证明材料.docx 其他资料1.docx 投标函 残疾人福利性单位声明函 标的清单 关于符合本国产品标准的声明函 投标文件封面 产品技术参数表.docx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技术方案.docx 中小企业声明函 其他资料2.docx 投标人应提交的相关资格证明材料.docx 其他资料1.docx 投标函 残疾人福利性单位声明函 标的清单 关于符合本国产品标准的声明函 投标文件封面 产品技术参数表.docx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根据产品技术和性能响应情况进行评审，完全响应并满足参数需求的得33分，其中： ①技术参数中标记“▲”的参数为重要参数，每负偏离一项扣1.5分，扣完为止。 ②技术参数中每负偏离一项扣0.35分，扣完为止。 备注：相应的各参数指标均需提供佐证材料。佐证材料可以是产品技术说明书或产品彩页或使用说明书或有资质的第三方出具的检验报告或设备功能证明及截图等投标人认为可以佐证参数响应性的材料。供应商对材料的真实性、完整性、有效性及针对性承担责任，并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投标人提供的水力机械磨蚀测试-监测-诊断一体化智能实验系统设计方案需包含各组成部件细节介绍及功能、结构设计方案，共1项内容，每项满分3分，总分3分。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技术工艺方案</w:t>
            </w:r>
          </w:p>
        </w:tc>
        <w:tc>
          <w:tcPr>
            <w:tcW w:type="dxa" w:w="2492"/>
          </w:tcPr>
          <w:p>
            <w:pPr>
              <w:pStyle w:val="null3"/>
            </w:pPr>
            <w:r>
              <w:rPr>
                <w:rFonts w:ascii="仿宋_GB2312" w:hAnsi="仿宋_GB2312" w:cs="仿宋_GB2312" w:eastAsia="仿宋_GB2312"/>
              </w:rPr>
              <w:t>投标人提供的水力机械磨蚀测试-监测-诊断一体化智能实验系统技术工艺方案需包含总体技术架构、软硬件系统设计、软件系统设计及核心工艺方案及关键技术与创新点，共1项内容，每项满分3分，总分3分。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投标人提供的产品质量保证措施方案需包含产品生产的质量保证措施、进度保证措施及售后保障措施，共1项内容，每项满分3分，总分3分。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现场述标</w:t>
            </w:r>
          </w:p>
        </w:tc>
        <w:tc>
          <w:tcPr>
            <w:tcW w:type="dxa" w:w="2492"/>
          </w:tcPr>
          <w:p>
            <w:pPr>
              <w:pStyle w:val="null3"/>
            </w:pPr>
            <w:r>
              <w:rPr>
                <w:rFonts w:ascii="仿宋_GB2312" w:hAnsi="仿宋_GB2312" w:cs="仿宋_GB2312" w:eastAsia="仿宋_GB2312"/>
              </w:rPr>
              <w:t>根据投标人项目负责人现场述标情况打分，述标内容需由投标人结合本项目实验平台安装场地演示以下内容：①现场设备布置情况；②现场安装方案及现场运行方案，共2项内容，每项满分3分，总分6分。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 备注：现场述标人员应为投标人拟派的项目负责人，述标现场需提供项目负责人本人有效的身份证原件以及截至投标文件递交截止时间前6个月内任意1个月的社保缴纳证明材料。若未提供项目负责人身份证原件及社保缴纳证明材料，则述标无效，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根据投标人提供的质保期承诺进行评审，质保期承诺书格式自拟；质保期在满足招标文件要求的基础上每延长1年加1分，最多加2分。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投标人针对本项目提供有利于本项目开展的其他承诺（例如增值服务、优惠条件、人性化设计等），每提供一项承诺得1分，最多得2分；（承诺书格式自拟）未提供不得分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投标人提供2023年6月1日以来的类似业绩证明材料。每提供1个完整合同复印件的得1分，满分5分。（类似业绩指合同内容需包含冲蚀、腐蚀、磨蚀、空蚀、高速射流等方面的试验台）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评审委员会启动异常低价投标（响应）审查后，应当要求相关供应商在评审现场合理的时间内提供书面说明及必要的证明材料，对投标（响应）价格作出解释。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详见附件：其他资料1.docx</w:t>
      </w:r>
    </w:p>
    <w:p>
      <w:pPr>
        <w:pStyle w:val="null3"/>
        <w:ind w:firstLine="960"/>
      </w:pPr>
      <w:r>
        <w:rPr>
          <w:rFonts w:ascii="仿宋_GB2312" w:hAnsi="仿宋_GB2312" w:cs="仿宋_GB2312" w:eastAsia="仿宋_GB2312"/>
        </w:rPr>
        <w:t>详见附件：其他资料2.docx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