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B2929">
      <w:pPr>
        <w:pStyle w:val="5"/>
        <w:spacing w:line="360" w:lineRule="auto"/>
        <w:jc w:val="center"/>
        <w:outlineLvl w:val="0"/>
        <w:rPr>
          <w:rFonts w:hint="default" w:ascii="宋体" w:hAnsi="宋体" w:eastAsia="宋体" w:cs="宋体"/>
          <w:highlight w:val="none"/>
        </w:rPr>
      </w:pPr>
      <w:bookmarkStart w:id="0" w:name="_GoBack"/>
      <w:r>
        <w:rPr>
          <w:rFonts w:ascii="宋体" w:hAnsi="宋体" w:eastAsia="宋体" w:cs="宋体"/>
          <w:b/>
          <w:sz w:val="36"/>
          <w:highlight w:val="none"/>
        </w:rPr>
        <w:t>拟签订合同文本</w:t>
      </w:r>
    </w:p>
    <w:bookmarkEnd w:id="0"/>
    <w:p w14:paraId="26683B2D">
      <w:pPr>
        <w:jc w:val="center"/>
        <w:rPr>
          <w:rFonts w:ascii="宋体" w:hAnsi="宋体" w:eastAsia="宋体" w:cs="仿宋"/>
          <w:sz w:val="24"/>
          <w:szCs w:val="24"/>
          <w:highlight w:val="none"/>
          <w:lang w:eastAsia="zh-CN"/>
        </w:rPr>
      </w:pPr>
      <w:r>
        <w:rPr>
          <w:rFonts w:hint="eastAsia" w:ascii="宋体" w:hAnsi="宋体" w:eastAsia="宋体" w:cs="仿宋"/>
          <w:sz w:val="24"/>
          <w:szCs w:val="24"/>
          <w:highlight w:val="none"/>
          <w:lang w:eastAsia="zh-CN"/>
        </w:rPr>
        <w:t>（本格式条款供采购人和中标供应商双方签订合同参考，最终以采购人实际签订的合同为准）</w:t>
      </w:r>
    </w:p>
    <w:p w14:paraId="628979FF">
      <w:pPr>
        <w:spacing w:line="360" w:lineRule="auto"/>
        <w:jc w:val="center"/>
        <w:rPr>
          <w:rFonts w:hint="eastAsia" w:ascii="黑体" w:hAnsi="黑体" w:eastAsia="黑体" w:cs="黑体"/>
          <w:b/>
          <w:spacing w:val="57"/>
          <w:sz w:val="52"/>
          <w:highlight w:val="none"/>
          <w:lang w:eastAsia="zh-CN"/>
        </w:rPr>
      </w:pPr>
    </w:p>
    <w:p w14:paraId="220B101B">
      <w:pPr>
        <w:spacing w:line="360" w:lineRule="auto"/>
        <w:jc w:val="center"/>
        <w:rPr>
          <w:rFonts w:hint="eastAsia" w:ascii="黑体" w:hAnsi="黑体" w:eastAsia="黑体" w:cs="黑体"/>
          <w:b/>
          <w:spacing w:val="57"/>
          <w:sz w:val="52"/>
          <w:highlight w:val="none"/>
          <w:lang w:eastAsia="zh-CN"/>
        </w:rPr>
      </w:pPr>
    </w:p>
    <w:p w14:paraId="1E86B98F">
      <w:pPr>
        <w:spacing w:line="360" w:lineRule="auto"/>
        <w:jc w:val="center"/>
        <w:rPr>
          <w:rFonts w:hint="eastAsia" w:ascii="黑体" w:hAnsi="黑体" w:eastAsia="黑体" w:cs="黑体"/>
          <w:b/>
          <w:spacing w:val="57"/>
          <w:sz w:val="52"/>
          <w:highlight w:val="none"/>
          <w:lang w:eastAsia="zh-CN"/>
        </w:rPr>
      </w:pPr>
      <w:r>
        <w:rPr>
          <w:rFonts w:hint="eastAsia" w:ascii="黑体" w:hAnsi="黑体" w:eastAsia="黑体" w:cs="黑体"/>
          <w:b/>
          <w:spacing w:val="57"/>
          <w:sz w:val="52"/>
          <w:highlight w:val="none"/>
          <w:lang w:eastAsia="zh-CN"/>
        </w:rPr>
        <w:t>西安理工大学重大设备更新</w:t>
      </w:r>
    </w:p>
    <w:p w14:paraId="7B45F7EC">
      <w:pPr>
        <w:spacing w:line="360" w:lineRule="auto"/>
        <w:jc w:val="center"/>
        <w:rPr>
          <w:rFonts w:hint="eastAsia" w:ascii="黑体" w:hAnsi="黑体" w:eastAsia="黑体" w:cs="黑体"/>
          <w:b/>
          <w:spacing w:val="57"/>
          <w:sz w:val="52"/>
          <w:highlight w:val="none"/>
          <w:lang w:eastAsia="zh-CN"/>
        </w:rPr>
      </w:pPr>
      <w:r>
        <w:rPr>
          <w:rFonts w:hint="eastAsia" w:ascii="黑体" w:hAnsi="黑体" w:eastAsia="黑体" w:cs="黑体"/>
          <w:b/>
          <w:spacing w:val="57"/>
          <w:sz w:val="52"/>
          <w:highlight w:val="none"/>
          <w:lang w:eastAsia="zh-CN"/>
        </w:rPr>
        <w:t>项目设备采购合同</w:t>
      </w:r>
    </w:p>
    <w:p w14:paraId="6BC175D1">
      <w:pPr>
        <w:spacing w:line="360" w:lineRule="auto"/>
        <w:jc w:val="center"/>
        <w:rPr>
          <w:rFonts w:hint="eastAsia" w:ascii="黑体" w:hAnsi="黑体" w:eastAsia="黑体" w:cs="黑体"/>
          <w:b/>
          <w:spacing w:val="57"/>
          <w:sz w:val="52"/>
          <w:highlight w:val="none"/>
          <w:lang w:eastAsia="zh-CN"/>
        </w:rPr>
      </w:pPr>
    </w:p>
    <w:p w14:paraId="500E8656">
      <w:pPr>
        <w:spacing w:line="360" w:lineRule="auto"/>
        <w:jc w:val="center"/>
        <w:rPr>
          <w:rFonts w:hint="eastAsia" w:ascii="黑体" w:hAnsi="黑体" w:eastAsia="黑体" w:cs="黑体"/>
          <w:b/>
          <w:spacing w:val="57"/>
          <w:sz w:val="52"/>
          <w:highlight w:val="none"/>
          <w:lang w:eastAsia="zh-CN"/>
        </w:rPr>
      </w:pPr>
    </w:p>
    <w:p w14:paraId="18F87501">
      <w:pPr>
        <w:spacing w:line="360" w:lineRule="auto"/>
        <w:jc w:val="center"/>
        <w:rPr>
          <w:rFonts w:hint="eastAsia" w:ascii="黑体" w:hAnsi="黑体" w:eastAsia="黑体" w:cs="黑体"/>
          <w:b/>
          <w:spacing w:val="57"/>
          <w:sz w:val="52"/>
          <w:highlight w:val="none"/>
          <w:lang w:eastAsia="zh-CN"/>
        </w:rPr>
      </w:pPr>
    </w:p>
    <w:p w14:paraId="46E10134">
      <w:pPr>
        <w:spacing w:line="360" w:lineRule="auto"/>
        <w:jc w:val="center"/>
        <w:rPr>
          <w:rFonts w:hint="eastAsia" w:ascii="黑体" w:hAnsi="黑体" w:eastAsia="黑体" w:cs="黑体"/>
          <w:b/>
          <w:spacing w:val="57"/>
          <w:sz w:val="52"/>
          <w:highlight w:val="none"/>
          <w:lang w:eastAsia="zh-CN"/>
        </w:rPr>
      </w:pPr>
    </w:p>
    <w:tbl>
      <w:tblPr>
        <w:tblStyle w:val="3"/>
        <w:tblW w:w="0" w:type="auto"/>
        <w:jc w:val="center"/>
        <w:tblLayout w:type="autofit"/>
        <w:tblCellMar>
          <w:top w:w="0" w:type="dxa"/>
          <w:left w:w="10" w:type="dxa"/>
          <w:bottom w:w="0" w:type="dxa"/>
          <w:right w:w="10" w:type="dxa"/>
        </w:tblCellMar>
      </w:tblPr>
      <w:tblGrid>
        <w:gridCol w:w="6204"/>
      </w:tblGrid>
      <w:tr w14:paraId="0FEF7726">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5639ACCB">
            <w:pPr>
              <w:widowControl w:val="0"/>
              <w:kinsoku/>
              <w:autoSpaceDE/>
              <w:autoSpaceDN/>
              <w:adjustRightInd/>
              <w:snapToGrid/>
              <w:spacing w:line="360" w:lineRule="auto"/>
              <w:ind w:left="1606" w:hanging="1606" w:hangingChars="500"/>
              <w:textAlignment w:val="auto"/>
              <w:rPr>
                <w:rFonts w:hint="eastAsia" w:ascii="仿宋_GB2312" w:hAnsi="仿宋_GB2312" w:eastAsia="仿宋_GB2312" w:cs="仿宋_GB2312"/>
                <w:b/>
                <w:sz w:val="32"/>
                <w:highlight w:val="none"/>
                <w:u w:val="single"/>
                <w:lang w:eastAsia="zh-CN"/>
              </w:rPr>
            </w:pPr>
            <w:r>
              <w:rPr>
                <w:rFonts w:hint="eastAsia" w:ascii="仿宋_GB2312" w:hAnsi="仿宋_GB2312" w:eastAsia="仿宋_GB2312" w:cs="仿宋_GB2312"/>
                <w:b/>
                <w:sz w:val="32"/>
                <w:highlight w:val="none"/>
                <w:lang w:eastAsia="zh-CN"/>
              </w:rPr>
              <w:t>合同名称：</w:t>
            </w:r>
            <w:r>
              <w:rPr>
                <w:rFonts w:hint="eastAsia" w:ascii="仿宋_GB2312" w:hAnsi="仿宋_GB2312" w:eastAsia="仿宋_GB2312" w:cs="仿宋_GB2312"/>
                <w:b/>
                <w:sz w:val="32"/>
                <w:highlight w:val="none"/>
                <w:u w:val="single"/>
                <w:lang w:eastAsia="zh-CN"/>
              </w:rPr>
              <w:t xml:space="preserve">水力机械磨蚀测试-监测-诊断一体化智能实验系统 </w:t>
            </w:r>
          </w:p>
          <w:p w14:paraId="0A4D4F57">
            <w:pPr>
              <w:widowControl w:val="0"/>
              <w:kinsoku/>
              <w:autoSpaceDE/>
              <w:autoSpaceDN/>
              <w:adjustRightInd/>
              <w:snapToGrid/>
              <w:spacing w:line="360" w:lineRule="auto"/>
              <w:textAlignment w:val="auto"/>
              <w:rPr>
                <w:rFonts w:eastAsia="宋体"/>
                <w:highlight w:val="none"/>
                <w:lang w:eastAsia="zh-CN"/>
              </w:rPr>
            </w:pPr>
            <w:r>
              <w:rPr>
                <w:rFonts w:hint="eastAsia" w:ascii="仿宋_GB2312" w:hAnsi="仿宋_GB2312" w:eastAsia="仿宋_GB2312" w:cs="仿宋_GB2312"/>
                <w:b/>
                <w:sz w:val="32"/>
                <w:highlight w:val="none"/>
                <w:lang w:eastAsia="zh-CN"/>
              </w:rPr>
              <w:t>合同编号：</w:t>
            </w:r>
            <w:r>
              <w:rPr>
                <w:rFonts w:hint="eastAsia" w:ascii="仿宋_GB2312" w:hAnsi="仿宋_GB2312" w:eastAsia="仿宋_GB2312" w:cs="仿宋_GB2312"/>
                <w:b/>
                <w:iCs/>
                <w:color w:val="auto"/>
                <w:sz w:val="32"/>
                <w:highlight w:val="none"/>
                <w:u w:val="single"/>
                <w:lang w:eastAsia="zh-CN"/>
              </w:rPr>
              <w:t xml:space="preserve">        </w:t>
            </w:r>
            <w:r>
              <w:rPr>
                <w:rFonts w:hint="eastAsia" w:ascii="仿宋_GB2312" w:hAnsi="仿宋_GB2312" w:eastAsia="仿宋_GB2312" w:cs="仿宋_GB2312"/>
                <w:b/>
                <w:iCs/>
                <w:color w:val="auto"/>
                <w:sz w:val="32"/>
                <w:highlight w:val="none"/>
                <w:u w:val="single"/>
                <w:lang w:val="en-US" w:eastAsia="zh-CN"/>
              </w:rPr>
              <w:t xml:space="preserve">     </w:t>
            </w:r>
            <w:r>
              <w:rPr>
                <w:rFonts w:hint="eastAsia" w:ascii="仿宋_GB2312" w:hAnsi="仿宋_GB2312" w:eastAsia="仿宋_GB2312" w:cs="仿宋_GB2312"/>
                <w:b/>
                <w:iCs/>
                <w:color w:val="auto"/>
                <w:sz w:val="32"/>
                <w:highlight w:val="none"/>
                <w:u w:val="single"/>
                <w:lang w:eastAsia="zh-CN"/>
              </w:rPr>
              <w:t xml:space="preserve">           </w:t>
            </w:r>
          </w:p>
        </w:tc>
      </w:tr>
    </w:tbl>
    <w:p w14:paraId="380EB9A9">
      <w:pPr>
        <w:rPr>
          <w:rFonts w:hint="eastAsia" w:ascii="仿宋_GB2312" w:hAnsi="仿宋_GB2312" w:eastAsia="仿宋_GB2312" w:cs="仿宋_GB2312"/>
          <w:b/>
          <w:sz w:val="24"/>
          <w:highlight w:val="none"/>
          <w:lang w:eastAsia="zh-CN"/>
        </w:rPr>
      </w:pPr>
    </w:p>
    <w:p w14:paraId="4B4264EF">
      <w:pPr>
        <w:jc w:val="right"/>
        <w:rPr>
          <w:rFonts w:hint="eastAsia" w:ascii="宋体" w:hAnsi="宋体" w:eastAsia="宋体" w:cs="宋体"/>
          <w:sz w:val="24"/>
          <w:highlight w:val="none"/>
          <w:lang w:eastAsia="zh-CN"/>
        </w:rPr>
      </w:pPr>
    </w:p>
    <w:p w14:paraId="02AF3853">
      <w:pPr>
        <w:jc w:val="right"/>
        <w:rPr>
          <w:rFonts w:hint="eastAsia" w:ascii="宋体" w:hAnsi="宋体" w:eastAsia="宋体" w:cs="宋体"/>
          <w:sz w:val="24"/>
          <w:highlight w:val="none"/>
          <w:lang w:eastAsia="zh-CN"/>
        </w:rPr>
      </w:pPr>
    </w:p>
    <w:p w14:paraId="5009CBDE">
      <w:pPr>
        <w:jc w:val="right"/>
        <w:rPr>
          <w:rFonts w:hint="eastAsia" w:ascii="宋体" w:hAnsi="宋体" w:eastAsia="宋体" w:cs="宋体"/>
          <w:sz w:val="24"/>
          <w:highlight w:val="none"/>
          <w:lang w:eastAsia="zh-CN"/>
        </w:rPr>
      </w:pPr>
    </w:p>
    <w:p w14:paraId="31EE3DAC">
      <w:pPr>
        <w:spacing w:before="312" w:after="312"/>
        <w:ind w:firstLine="2880" w:firstLineChars="900"/>
        <w:jc w:val="both"/>
        <w:rPr>
          <w:rFonts w:hint="eastAsia" w:ascii="仿宋_GB2312" w:hAnsi="仿宋_GB2312" w:eastAsia="仿宋_GB2312" w:cs="仿宋_GB2312"/>
          <w:sz w:val="32"/>
          <w:highlight w:val="none"/>
          <w:u w:val="single"/>
          <w:lang w:eastAsia="zh-CN"/>
        </w:rPr>
      </w:pPr>
    </w:p>
    <w:p w14:paraId="1D59E858">
      <w:pPr>
        <w:spacing w:before="312" w:after="312"/>
        <w:ind w:firstLine="2880" w:firstLineChars="900"/>
        <w:jc w:val="both"/>
        <w:rPr>
          <w:rFonts w:hint="eastAsia" w:ascii="仿宋_GB2312" w:hAnsi="仿宋_GB2312" w:eastAsia="仿宋_GB2312" w:cs="仿宋_GB2312"/>
          <w:sz w:val="32"/>
          <w:highlight w:val="none"/>
          <w:u w:val="single"/>
          <w:lang w:eastAsia="zh-CN"/>
        </w:rPr>
      </w:pPr>
    </w:p>
    <w:p w14:paraId="055E78EC">
      <w:pPr>
        <w:spacing w:line="360" w:lineRule="auto"/>
        <w:jc w:val="center"/>
        <w:rPr>
          <w:rFonts w:hint="eastAsia" w:ascii="宋体" w:hAnsi="宋体" w:eastAsia="宋体" w:cs="宋体"/>
          <w:sz w:val="24"/>
          <w:highlight w:val="none"/>
          <w:u w:val="single"/>
          <w:lang w:eastAsia="zh-CN"/>
        </w:rPr>
      </w:pPr>
      <w:r>
        <w:rPr>
          <w:rFonts w:hint="eastAsia" w:ascii="黑体" w:hAnsi="黑体" w:eastAsia="黑体" w:cs="黑体"/>
          <w:sz w:val="32"/>
          <w:highlight w:val="none"/>
          <w:u w:val="single"/>
          <w:lang w:eastAsia="zh-CN"/>
        </w:rPr>
        <w:t>水力机械磨蚀测试-监测-诊断一体化智能实验系统</w:t>
      </w:r>
      <w:r>
        <w:rPr>
          <w:rFonts w:hint="eastAsia" w:ascii="黑体" w:hAnsi="黑体" w:eastAsia="黑体" w:cs="黑体"/>
          <w:sz w:val="32"/>
          <w:highlight w:val="none"/>
          <w:lang w:eastAsia="zh-CN"/>
        </w:rPr>
        <w:t>合同</w:t>
      </w:r>
    </w:p>
    <w:p w14:paraId="6C9266E4">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根据《中华人民共和国民法典》、《中华人民共和国政府采购法》等相关法规，</w:t>
      </w:r>
      <w:r>
        <w:rPr>
          <w:rFonts w:hint="eastAsia" w:ascii="宋体" w:hAnsi="宋体" w:eastAsia="宋体" w:cs="宋体"/>
          <w:b/>
          <w:bCs/>
          <w:sz w:val="24"/>
          <w:szCs w:val="24"/>
          <w:highlight w:val="none"/>
          <w:lang w:eastAsia="zh-CN"/>
        </w:rPr>
        <w:t>西安理工大学</w:t>
      </w:r>
      <w:r>
        <w:rPr>
          <w:rFonts w:hint="eastAsia" w:ascii="宋体" w:hAnsi="宋体" w:eastAsia="宋体" w:cs="宋体"/>
          <w:sz w:val="24"/>
          <w:szCs w:val="24"/>
          <w:highlight w:val="none"/>
          <w:lang w:eastAsia="zh-CN"/>
        </w:rPr>
        <w:t>(甲方)与</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(乙方)就甲方购置</w:t>
      </w:r>
      <w:r>
        <w:rPr>
          <w:rFonts w:hint="eastAsia" w:ascii="宋体" w:hAnsi="宋体" w:eastAsia="宋体" w:cs="宋体"/>
          <w:sz w:val="24"/>
          <w:szCs w:val="24"/>
          <w:highlight w:val="none"/>
          <w:u w:val="single"/>
          <w:lang w:eastAsia="zh-CN"/>
        </w:rPr>
        <w:t>水力机械磨蚀测试-监测-诊断一体化智能实验系统</w:t>
      </w:r>
      <w:r>
        <w:rPr>
          <w:rFonts w:hint="eastAsia" w:ascii="宋体" w:hAnsi="宋体" w:eastAsia="宋体" w:cs="宋体"/>
          <w:sz w:val="24"/>
          <w:szCs w:val="24"/>
          <w:highlight w:val="none"/>
          <w:lang w:eastAsia="zh-CN"/>
        </w:rPr>
        <w:t>的采购项目，经双方协商达成如下合同条款：</w:t>
      </w:r>
    </w:p>
    <w:p w14:paraId="02CB0474">
      <w:pPr>
        <w:spacing w:line="360" w:lineRule="auto"/>
        <w:ind w:firstLine="482" w:firstLineChars="200"/>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一、标的物及技术要求</w:t>
      </w:r>
    </w:p>
    <w:p w14:paraId="44F3FF21">
      <w:pPr>
        <w:spacing w:line="360" w:lineRule="auto"/>
        <w:ind w:firstLine="482" w:firstLineChars="200"/>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1.设备购置清单（投标文件分项报价表）：</w:t>
      </w:r>
    </w:p>
    <w:tbl>
      <w:tblPr>
        <w:tblStyle w:val="3"/>
        <w:tblW w:w="8717" w:type="dxa"/>
        <w:jc w:val="center"/>
        <w:tblLayout w:type="autofit"/>
        <w:tblCellMar>
          <w:top w:w="0" w:type="dxa"/>
          <w:left w:w="10" w:type="dxa"/>
          <w:bottom w:w="0" w:type="dxa"/>
          <w:right w:w="10" w:type="dxa"/>
        </w:tblCellMar>
      </w:tblPr>
      <w:tblGrid>
        <w:gridCol w:w="637"/>
        <w:gridCol w:w="1521"/>
        <w:gridCol w:w="1776"/>
        <w:gridCol w:w="1429"/>
        <w:gridCol w:w="944"/>
        <w:gridCol w:w="1330"/>
        <w:gridCol w:w="1080"/>
      </w:tblGrid>
      <w:tr w14:paraId="363435AC">
        <w:tblPrEx>
          <w:tblCellMar>
            <w:top w:w="0" w:type="dxa"/>
            <w:left w:w="10" w:type="dxa"/>
            <w:bottom w:w="0" w:type="dxa"/>
            <w:right w:w="10" w:type="dxa"/>
          </w:tblCellMar>
        </w:tblPrEx>
        <w:trPr>
          <w:trHeight w:val="1297"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49B5A">
            <w:pPr>
              <w:spacing w:line="360" w:lineRule="auto"/>
              <w:jc w:val="center"/>
              <w:rPr>
                <w:rFonts w:hint="eastAsia" w:ascii="宋体" w:hAnsi="宋体" w:eastAsia="宋体" w:cs="宋体"/>
                <w:sz w:val="22"/>
                <w:szCs w:val="22"/>
                <w:highlight w:val="none"/>
              </w:rPr>
            </w:pPr>
            <w:r>
              <w:rPr>
                <w:rFonts w:hint="eastAsia" w:ascii="宋体" w:hAnsi="宋体" w:eastAsia="宋体" w:cs="宋体"/>
                <w:b/>
                <w:sz w:val="22"/>
                <w:szCs w:val="22"/>
                <w:highlight w:val="none"/>
              </w:rPr>
              <w:t>序号</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837E7">
            <w:pPr>
              <w:spacing w:line="360" w:lineRule="auto"/>
              <w:jc w:val="center"/>
              <w:rPr>
                <w:rFonts w:hint="eastAsia" w:ascii="宋体" w:hAnsi="宋体" w:eastAsia="宋体" w:cs="宋体"/>
                <w:sz w:val="22"/>
                <w:szCs w:val="22"/>
                <w:highlight w:val="none"/>
              </w:rPr>
            </w:pPr>
            <w:r>
              <w:rPr>
                <w:rFonts w:hint="eastAsia" w:ascii="宋体" w:hAnsi="宋体" w:eastAsia="宋体" w:cs="宋体"/>
                <w:b/>
                <w:sz w:val="22"/>
                <w:szCs w:val="22"/>
                <w:highlight w:val="none"/>
                <w:lang w:eastAsia="zh-CN"/>
              </w:rPr>
              <w:t>设备</w:t>
            </w:r>
            <w:r>
              <w:rPr>
                <w:rFonts w:hint="eastAsia" w:ascii="宋体" w:hAnsi="宋体" w:eastAsia="宋体" w:cs="宋体"/>
                <w:b/>
                <w:sz w:val="22"/>
                <w:szCs w:val="22"/>
                <w:highlight w:val="none"/>
              </w:rPr>
              <w:t>名称</w:t>
            </w: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05DEB">
            <w:pPr>
              <w:spacing w:line="360" w:lineRule="auto"/>
              <w:jc w:val="center"/>
              <w:rPr>
                <w:rFonts w:hint="eastAsia" w:ascii="宋体" w:hAnsi="宋体" w:eastAsia="宋体" w:cs="宋体"/>
                <w:sz w:val="22"/>
                <w:szCs w:val="22"/>
                <w:highlight w:val="none"/>
                <w:lang w:eastAsia="zh-CN"/>
              </w:rPr>
            </w:pPr>
            <w:r>
              <w:rPr>
                <w:rFonts w:hint="eastAsia" w:ascii="宋体" w:hAnsi="宋体" w:eastAsia="宋体" w:cs="宋体"/>
                <w:b/>
                <w:sz w:val="22"/>
                <w:szCs w:val="22"/>
                <w:highlight w:val="none"/>
              </w:rPr>
              <w:t>品牌</w:t>
            </w:r>
            <w:r>
              <w:rPr>
                <w:rFonts w:hint="eastAsia" w:ascii="宋体" w:hAnsi="宋体" w:eastAsia="宋体" w:cs="宋体"/>
                <w:b/>
                <w:sz w:val="22"/>
                <w:szCs w:val="22"/>
                <w:highlight w:val="none"/>
                <w:lang w:eastAsia="zh-CN"/>
              </w:rPr>
              <w:t>/</w:t>
            </w:r>
            <w:r>
              <w:rPr>
                <w:rFonts w:hint="eastAsia" w:ascii="宋体" w:hAnsi="宋体" w:eastAsia="宋体" w:cs="宋体"/>
                <w:b/>
                <w:sz w:val="22"/>
                <w:szCs w:val="22"/>
                <w:highlight w:val="none"/>
              </w:rPr>
              <w:t>规格</w:t>
            </w:r>
            <w:r>
              <w:rPr>
                <w:rFonts w:hint="eastAsia" w:ascii="宋体" w:hAnsi="宋体" w:eastAsia="宋体" w:cs="宋体"/>
                <w:b/>
                <w:sz w:val="22"/>
                <w:szCs w:val="22"/>
                <w:highlight w:val="none"/>
                <w:lang w:eastAsia="zh-CN"/>
              </w:rPr>
              <w:t>/型号</w:t>
            </w: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95E67">
            <w:pPr>
              <w:spacing w:line="360" w:lineRule="auto"/>
              <w:jc w:val="center"/>
              <w:rPr>
                <w:rFonts w:hint="eastAsia" w:ascii="宋体" w:hAnsi="宋体" w:eastAsia="宋体" w:cs="宋体"/>
                <w:sz w:val="22"/>
                <w:szCs w:val="22"/>
                <w:highlight w:val="none"/>
              </w:rPr>
            </w:pPr>
            <w:r>
              <w:rPr>
                <w:rFonts w:hint="eastAsia" w:ascii="宋体" w:hAnsi="宋体" w:eastAsia="宋体" w:cs="宋体"/>
                <w:b/>
                <w:sz w:val="22"/>
                <w:szCs w:val="22"/>
                <w:highlight w:val="none"/>
              </w:rPr>
              <w:t>生产厂家</w:t>
            </w: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83A9">
            <w:pPr>
              <w:spacing w:line="360" w:lineRule="auto"/>
              <w:jc w:val="center"/>
              <w:rPr>
                <w:rFonts w:hint="eastAsia" w:ascii="宋体" w:hAnsi="宋体" w:eastAsia="宋体" w:cs="宋体"/>
                <w:sz w:val="22"/>
                <w:szCs w:val="22"/>
                <w:highlight w:val="none"/>
                <w:lang w:eastAsia="zh-CN"/>
              </w:rPr>
            </w:pPr>
            <w:r>
              <w:rPr>
                <w:rFonts w:hint="eastAsia" w:ascii="宋体" w:hAnsi="宋体" w:eastAsia="宋体" w:cs="宋体"/>
                <w:b/>
                <w:sz w:val="22"/>
                <w:szCs w:val="22"/>
                <w:highlight w:val="none"/>
              </w:rPr>
              <w:t>数 量</w:t>
            </w:r>
            <w:r>
              <w:rPr>
                <w:rFonts w:hint="eastAsia" w:ascii="宋体" w:hAnsi="宋体" w:eastAsia="宋体" w:cs="宋体"/>
                <w:b/>
                <w:sz w:val="22"/>
                <w:szCs w:val="22"/>
                <w:highlight w:val="none"/>
                <w:lang w:eastAsia="zh-CN"/>
              </w:rPr>
              <w:t>（台、套）</w:t>
            </w: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BE084">
            <w:pPr>
              <w:spacing w:line="360" w:lineRule="auto"/>
              <w:jc w:val="center"/>
              <w:rPr>
                <w:rFonts w:hint="eastAsia" w:ascii="宋体" w:hAnsi="宋体" w:eastAsia="宋体" w:cs="宋体"/>
                <w:b/>
                <w:sz w:val="22"/>
                <w:szCs w:val="22"/>
                <w:highlight w:val="none"/>
              </w:rPr>
            </w:pPr>
            <w:r>
              <w:rPr>
                <w:rFonts w:hint="eastAsia" w:ascii="宋体" w:hAnsi="宋体" w:eastAsia="宋体" w:cs="宋体"/>
                <w:b/>
                <w:sz w:val="22"/>
                <w:szCs w:val="22"/>
                <w:highlight w:val="none"/>
              </w:rPr>
              <w:t>单 价</w:t>
            </w:r>
          </w:p>
          <w:p w14:paraId="042389DA">
            <w:pPr>
              <w:spacing w:line="360" w:lineRule="auto"/>
              <w:jc w:val="center"/>
              <w:rPr>
                <w:rFonts w:hint="eastAsia" w:ascii="宋体" w:hAnsi="宋体" w:eastAsia="宋体" w:cs="宋体"/>
                <w:sz w:val="22"/>
                <w:szCs w:val="22"/>
                <w:highlight w:val="none"/>
              </w:rPr>
            </w:pPr>
            <w:r>
              <w:rPr>
                <w:rFonts w:hint="eastAsia" w:ascii="宋体" w:hAnsi="宋体" w:eastAsia="宋体" w:cs="宋体"/>
                <w:b/>
                <w:sz w:val="22"/>
                <w:szCs w:val="22"/>
                <w:highlight w:val="none"/>
              </w:rPr>
              <w:t>（元）</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70153">
            <w:pPr>
              <w:spacing w:line="360" w:lineRule="auto"/>
              <w:jc w:val="center"/>
              <w:rPr>
                <w:rFonts w:hint="eastAsia" w:ascii="宋体" w:hAnsi="宋体" w:eastAsia="宋体" w:cs="宋体"/>
                <w:b/>
                <w:sz w:val="22"/>
                <w:szCs w:val="22"/>
                <w:highlight w:val="none"/>
              </w:rPr>
            </w:pPr>
            <w:r>
              <w:rPr>
                <w:rFonts w:hint="eastAsia" w:ascii="宋体" w:hAnsi="宋体" w:eastAsia="宋体" w:cs="宋体"/>
                <w:b/>
                <w:sz w:val="22"/>
                <w:szCs w:val="22"/>
                <w:highlight w:val="none"/>
              </w:rPr>
              <w:t>小 计</w:t>
            </w:r>
          </w:p>
          <w:p w14:paraId="7FC36BB7">
            <w:pPr>
              <w:spacing w:line="360" w:lineRule="auto"/>
              <w:jc w:val="center"/>
              <w:rPr>
                <w:rFonts w:hint="eastAsia" w:ascii="宋体" w:hAnsi="宋体" w:eastAsia="宋体" w:cs="宋体"/>
                <w:sz w:val="22"/>
                <w:szCs w:val="22"/>
                <w:highlight w:val="none"/>
              </w:rPr>
            </w:pPr>
            <w:r>
              <w:rPr>
                <w:rFonts w:hint="eastAsia" w:ascii="宋体" w:hAnsi="宋体" w:eastAsia="宋体" w:cs="宋体"/>
                <w:b/>
                <w:sz w:val="22"/>
                <w:szCs w:val="22"/>
                <w:highlight w:val="none"/>
              </w:rPr>
              <w:t>（元）</w:t>
            </w:r>
          </w:p>
        </w:tc>
      </w:tr>
      <w:tr w14:paraId="4B501D69">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D7EDB">
            <w:pPr>
              <w:spacing w:line="360" w:lineRule="auto"/>
              <w:jc w:val="center"/>
              <w:rPr>
                <w:rFonts w:hint="eastAsia" w:ascii="宋体" w:hAnsi="宋体" w:eastAsia="宋体" w:cs="宋体"/>
                <w:sz w:val="22"/>
                <w:szCs w:val="22"/>
                <w:highlight w:val="none"/>
              </w:rPr>
            </w:pPr>
            <w:r>
              <w:rPr>
                <w:rFonts w:hint="eastAsia" w:ascii="宋体" w:hAnsi="宋体" w:eastAsia="宋体" w:cs="宋体"/>
                <w:b/>
                <w:sz w:val="22"/>
                <w:szCs w:val="22"/>
                <w:highlight w:val="none"/>
              </w:rPr>
              <w:t>1</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5904D">
            <w:pPr>
              <w:spacing w:line="360" w:lineRule="auto"/>
              <w:jc w:val="center"/>
              <w:rPr>
                <w:rFonts w:hint="eastAsia" w:ascii="宋体" w:hAnsi="宋体" w:eastAsia="宋体" w:cs="宋体"/>
                <w:sz w:val="22"/>
                <w:szCs w:val="22"/>
                <w:highlight w:val="none"/>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F9544">
            <w:pPr>
              <w:spacing w:line="360" w:lineRule="auto"/>
              <w:jc w:val="center"/>
              <w:rPr>
                <w:rFonts w:hint="eastAsia" w:ascii="宋体" w:hAnsi="宋体" w:eastAsia="宋体" w:cs="宋体"/>
                <w:sz w:val="22"/>
                <w:szCs w:val="22"/>
                <w:highlight w:val="none"/>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8E3017">
            <w:pPr>
              <w:spacing w:line="360" w:lineRule="auto"/>
              <w:jc w:val="center"/>
              <w:rPr>
                <w:rFonts w:hint="eastAsia" w:ascii="宋体" w:hAnsi="宋体" w:eastAsia="宋体" w:cs="宋体"/>
                <w:sz w:val="22"/>
                <w:szCs w:val="22"/>
                <w:highlight w:val="none"/>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81D7">
            <w:pPr>
              <w:spacing w:line="360" w:lineRule="auto"/>
              <w:jc w:val="center"/>
              <w:rPr>
                <w:rFonts w:hint="eastAsia" w:ascii="宋体" w:hAnsi="宋体" w:eastAsia="宋体" w:cs="宋体"/>
                <w:sz w:val="22"/>
                <w:szCs w:val="22"/>
                <w:highlight w:val="none"/>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A209E">
            <w:pPr>
              <w:spacing w:line="360" w:lineRule="auto"/>
              <w:jc w:val="center"/>
              <w:rPr>
                <w:rFonts w:hint="eastAsia" w:ascii="宋体" w:hAnsi="宋体" w:eastAsia="宋体" w:cs="宋体"/>
                <w:sz w:val="22"/>
                <w:szCs w:val="22"/>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DB486">
            <w:pPr>
              <w:spacing w:line="360" w:lineRule="auto"/>
              <w:jc w:val="center"/>
              <w:rPr>
                <w:rFonts w:hint="eastAsia" w:ascii="宋体" w:hAnsi="宋体" w:eastAsia="宋体" w:cs="宋体"/>
                <w:sz w:val="22"/>
                <w:szCs w:val="22"/>
                <w:highlight w:val="none"/>
              </w:rPr>
            </w:pPr>
          </w:p>
        </w:tc>
      </w:tr>
      <w:tr w14:paraId="08963267">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85D3E">
            <w:pPr>
              <w:spacing w:line="360" w:lineRule="auto"/>
              <w:jc w:val="center"/>
              <w:rPr>
                <w:rFonts w:hint="eastAsia" w:ascii="宋体" w:hAnsi="宋体" w:eastAsia="宋体" w:cs="宋体"/>
                <w:sz w:val="22"/>
                <w:szCs w:val="22"/>
                <w:highlight w:val="none"/>
              </w:rPr>
            </w:pPr>
            <w:r>
              <w:rPr>
                <w:rFonts w:hint="eastAsia" w:ascii="宋体" w:hAnsi="宋体" w:eastAsia="宋体" w:cs="宋体"/>
                <w:b/>
                <w:sz w:val="22"/>
                <w:szCs w:val="22"/>
                <w:highlight w:val="none"/>
              </w:rPr>
              <w:t>2</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724F0">
            <w:pPr>
              <w:spacing w:line="360" w:lineRule="auto"/>
              <w:jc w:val="center"/>
              <w:rPr>
                <w:rFonts w:hint="eastAsia" w:ascii="宋体" w:hAnsi="宋体" w:eastAsia="宋体" w:cs="宋体"/>
                <w:sz w:val="22"/>
                <w:szCs w:val="22"/>
                <w:highlight w:val="none"/>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4BB99">
            <w:pPr>
              <w:spacing w:line="360" w:lineRule="auto"/>
              <w:jc w:val="center"/>
              <w:rPr>
                <w:rFonts w:hint="eastAsia" w:ascii="宋体" w:hAnsi="宋体" w:eastAsia="宋体" w:cs="宋体"/>
                <w:sz w:val="22"/>
                <w:szCs w:val="22"/>
                <w:highlight w:val="none"/>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7B39F">
            <w:pPr>
              <w:spacing w:line="360" w:lineRule="auto"/>
              <w:jc w:val="center"/>
              <w:rPr>
                <w:rFonts w:hint="eastAsia" w:ascii="宋体" w:hAnsi="宋体" w:eastAsia="宋体" w:cs="宋体"/>
                <w:sz w:val="22"/>
                <w:szCs w:val="22"/>
                <w:highlight w:val="none"/>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A4DB8">
            <w:pPr>
              <w:spacing w:line="360" w:lineRule="auto"/>
              <w:jc w:val="center"/>
              <w:rPr>
                <w:rFonts w:hint="eastAsia" w:ascii="宋体" w:hAnsi="宋体" w:eastAsia="宋体" w:cs="宋体"/>
                <w:sz w:val="22"/>
                <w:szCs w:val="22"/>
                <w:highlight w:val="none"/>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DA515">
            <w:pPr>
              <w:spacing w:line="360" w:lineRule="auto"/>
              <w:jc w:val="center"/>
              <w:rPr>
                <w:rFonts w:hint="eastAsia" w:ascii="宋体" w:hAnsi="宋体" w:eastAsia="宋体" w:cs="宋体"/>
                <w:sz w:val="22"/>
                <w:szCs w:val="22"/>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102F0">
            <w:pPr>
              <w:spacing w:line="360" w:lineRule="auto"/>
              <w:jc w:val="center"/>
              <w:rPr>
                <w:rFonts w:hint="eastAsia" w:ascii="宋体" w:hAnsi="宋体" w:eastAsia="宋体" w:cs="宋体"/>
                <w:sz w:val="22"/>
                <w:szCs w:val="22"/>
                <w:highlight w:val="none"/>
              </w:rPr>
            </w:pPr>
          </w:p>
        </w:tc>
      </w:tr>
      <w:tr w14:paraId="0964CEC1">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80C10">
            <w:pPr>
              <w:spacing w:line="360" w:lineRule="auto"/>
              <w:jc w:val="center"/>
              <w:rPr>
                <w:rFonts w:hint="eastAsia" w:ascii="宋体" w:hAnsi="宋体" w:eastAsia="宋体" w:cs="宋体"/>
                <w:sz w:val="22"/>
                <w:szCs w:val="22"/>
                <w:highlight w:val="none"/>
              </w:rPr>
            </w:pPr>
            <w:r>
              <w:rPr>
                <w:rFonts w:hint="eastAsia" w:ascii="宋体" w:hAnsi="宋体" w:eastAsia="宋体" w:cs="宋体"/>
                <w:b/>
                <w:sz w:val="22"/>
                <w:szCs w:val="22"/>
                <w:highlight w:val="none"/>
              </w:rPr>
              <w:t>3</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FE835">
            <w:pPr>
              <w:spacing w:line="360" w:lineRule="auto"/>
              <w:jc w:val="center"/>
              <w:rPr>
                <w:rFonts w:hint="eastAsia" w:ascii="宋体" w:hAnsi="宋体" w:eastAsia="宋体" w:cs="宋体"/>
                <w:sz w:val="22"/>
                <w:szCs w:val="22"/>
                <w:highlight w:val="none"/>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8C513">
            <w:pPr>
              <w:spacing w:line="360" w:lineRule="auto"/>
              <w:jc w:val="center"/>
              <w:rPr>
                <w:rFonts w:hint="eastAsia" w:ascii="宋体" w:hAnsi="宋体" w:eastAsia="宋体" w:cs="宋体"/>
                <w:sz w:val="22"/>
                <w:szCs w:val="22"/>
                <w:highlight w:val="none"/>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BA09B7">
            <w:pPr>
              <w:spacing w:line="360" w:lineRule="auto"/>
              <w:jc w:val="center"/>
              <w:rPr>
                <w:rFonts w:hint="eastAsia" w:ascii="宋体" w:hAnsi="宋体" w:eastAsia="宋体" w:cs="宋体"/>
                <w:sz w:val="22"/>
                <w:szCs w:val="22"/>
                <w:highlight w:val="none"/>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FC923">
            <w:pPr>
              <w:spacing w:line="360" w:lineRule="auto"/>
              <w:jc w:val="center"/>
              <w:rPr>
                <w:rFonts w:hint="eastAsia" w:ascii="宋体" w:hAnsi="宋体" w:eastAsia="宋体" w:cs="宋体"/>
                <w:sz w:val="22"/>
                <w:szCs w:val="22"/>
                <w:highlight w:val="none"/>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B2727">
            <w:pPr>
              <w:spacing w:line="360" w:lineRule="auto"/>
              <w:jc w:val="center"/>
              <w:rPr>
                <w:rFonts w:hint="eastAsia" w:ascii="宋体" w:hAnsi="宋体" w:eastAsia="宋体" w:cs="宋体"/>
                <w:sz w:val="22"/>
                <w:szCs w:val="22"/>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B79D">
            <w:pPr>
              <w:spacing w:line="360" w:lineRule="auto"/>
              <w:jc w:val="center"/>
              <w:rPr>
                <w:rFonts w:hint="eastAsia" w:ascii="宋体" w:hAnsi="宋体" w:eastAsia="宋体" w:cs="宋体"/>
                <w:sz w:val="22"/>
                <w:szCs w:val="22"/>
                <w:highlight w:val="none"/>
              </w:rPr>
            </w:pPr>
          </w:p>
        </w:tc>
      </w:tr>
      <w:tr w14:paraId="29F98E76">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5C9D">
            <w:pPr>
              <w:spacing w:line="360" w:lineRule="auto"/>
              <w:jc w:val="center"/>
              <w:rPr>
                <w:rFonts w:hint="eastAsia" w:ascii="宋体" w:hAnsi="宋体" w:eastAsia="宋体" w:cs="宋体"/>
                <w:sz w:val="22"/>
                <w:szCs w:val="22"/>
                <w:highlight w:val="none"/>
              </w:rPr>
            </w:pPr>
            <w:r>
              <w:rPr>
                <w:rFonts w:hint="eastAsia" w:ascii="宋体" w:hAnsi="宋体" w:eastAsia="宋体" w:cs="宋体"/>
                <w:b/>
                <w:sz w:val="22"/>
                <w:szCs w:val="22"/>
                <w:highlight w:val="none"/>
              </w:rPr>
              <w:t>4</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17970">
            <w:pPr>
              <w:spacing w:line="360" w:lineRule="auto"/>
              <w:jc w:val="center"/>
              <w:rPr>
                <w:rFonts w:hint="eastAsia" w:ascii="宋体" w:hAnsi="宋体" w:eastAsia="宋体" w:cs="宋体"/>
                <w:sz w:val="22"/>
                <w:szCs w:val="22"/>
                <w:highlight w:val="none"/>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A1C69">
            <w:pPr>
              <w:spacing w:line="360" w:lineRule="auto"/>
              <w:jc w:val="center"/>
              <w:rPr>
                <w:rFonts w:hint="eastAsia" w:ascii="宋体" w:hAnsi="宋体" w:eastAsia="宋体" w:cs="宋体"/>
                <w:sz w:val="22"/>
                <w:szCs w:val="22"/>
                <w:highlight w:val="none"/>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C15185">
            <w:pPr>
              <w:spacing w:line="360" w:lineRule="auto"/>
              <w:jc w:val="center"/>
              <w:rPr>
                <w:rFonts w:hint="eastAsia" w:ascii="宋体" w:hAnsi="宋体" w:eastAsia="宋体" w:cs="宋体"/>
                <w:sz w:val="22"/>
                <w:szCs w:val="22"/>
                <w:highlight w:val="none"/>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9318C">
            <w:pPr>
              <w:spacing w:line="360" w:lineRule="auto"/>
              <w:jc w:val="center"/>
              <w:rPr>
                <w:rFonts w:hint="eastAsia" w:ascii="宋体" w:hAnsi="宋体" w:eastAsia="宋体" w:cs="宋体"/>
                <w:sz w:val="22"/>
                <w:szCs w:val="22"/>
                <w:highlight w:val="none"/>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D8885">
            <w:pPr>
              <w:spacing w:line="360" w:lineRule="auto"/>
              <w:jc w:val="center"/>
              <w:rPr>
                <w:rFonts w:hint="eastAsia" w:ascii="宋体" w:hAnsi="宋体" w:eastAsia="宋体" w:cs="宋体"/>
                <w:sz w:val="22"/>
                <w:szCs w:val="22"/>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1EE9C">
            <w:pPr>
              <w:spacing w:line="360" w:lineRule="auto"/>
              <w:jc w:val="center"/>
              <w:rPr>
                <w:rFonts w:hint="eastAsia" w:ascii="宋体" w:hAnsi="宋体" w:eastAsia="宋体" w:cs="宋体"/>
                <w:sz w:val="22"/>
                <w:szCs w:val="22"/>
                <w:highlight w:val="none"/>
              </w:rPr>
            </w:pPr>
          </w:p>
        </w:tc>
      </w:tr>
      <w:tr w14:paraId="42FD5832">
        <w:tblPrEx>
          <w:tblCellMar>
            <w:top w:w="0" w:type="dxa"/>
            <w:left w:w="10" w:type="dxa"/>
            <w:bottom w:w="0" w:type="dxa"/>
            <w:right w:w="10" w:type="dxa"/>
          </w:tblCellMar>
        </w:tblPrEx>
        <w:trPr>
          <w:cantSplit/>
          <w:trHeight w:val="868"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56AC9">
            <w:pPr>
              <w:spacing w:line="360" w:lineRule="auto"/>
              <w:rPr>
                <w:rFonts w:hint="eastAsia" w:ascii="宋体" w:hAnsi="宋体" w:eastAsia="宋体" w:cs="宋体"/>
                <w:sz w:val="22"/>
                <w:szCs w:val="22"/>
                <w:highlight w:val="none"/>
                <w:lang w:eastAsia="zh-CN"/>
              </w:rPr>
            </w:pPr>
            <w:r>
              <w:rPr>
                <w:rFonts w:hint="eastAsia" w:ascii="宋体" w:hAnsi="宋体" w:eastAsia="宋体" w:cs="宋体"/>
                <w:b/>
                <w:sz w:val="22"/>
                <w:szCs w:val="22"/>
                <w:highlight w:val="none"/>
                <w:lang w:eastAsia="zh-CN"/>
              </w:rPr>
              <w:t>合计总价（人民币大写 ）：                         （小写）:              元</w:t>
            </w:r>
          </w:p>
        </w:tc>
      </w:tr>
      <w:tr w14:paraId="109130AB">
        <w:tblPrEx>
          <w:tblCellMar>
            <w:top w:w="0" w:type="dxa"/>
            <w:left w:w="10" w:type="dxa"/>
            <w:bottom w:w="0" w:type="dxa"/>
            <w:right w:w="10" w:type="dxa"/>
          </w:tblCellMar>
        </w:tblPrEx>
        <w:trPr>
          <w:trHeight w:val="877"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0A3CA">
            <w:pPr>
              <w:spacing w:line="360" w:lineRule="auto"/>
              <w:rPr>
                <w:rFonts w:hint="eastAsia" w:ascii="宋体" w:hAnsi="宋体" w:eastAsia="宋体" w:cs="宋体"/>
                <w:sz w:val="22"/>
                <w:szCs w:val="22"/>
                <w:highlight w:val="none"/>
                <w:lang w:eastAsia="zh-CN"/>
              </w:rPr>
            </w:pPr>
            <w:r>
              <w:rPr>
                <w:rFonts w:hint="eastAsia" w:ascii="宋体" w:hAnsi="宋体" w:eastAsia="宋体" w:cs="宋体"/>
                <w:bCs/>
                <w:sz w:val="22"/>
                <w:szCs w:val="22"/>
                <w:highlight w:val="none"/>
                <w:lang w:eastAsia="zh-CN"/>
              </w:rPr>
              <w:t>注：以上价款均包含货物费(含备品备件费)、包装费、运杂费(含搬运、装卸、保险费等)、工程费、材料费、全部税 费、安装调试费等相关费用。</w:t>
            </w:r>
          </w:p>
        </w:tc>
      </w:tr>
    </w:tbl>
    <w:p w14:paraId="5DAD42F0">
      <w:pPr>
        <w:spacing w:line="360" w:lineRule="auto"/>
        <w:ind w:firstLine="482" w:firstLineChars="200"/>
        <w:rPr>
          <w:rFonts w:hint="eastAsia" w:ascii="宋体" w:hAnsi="宋体" w:eastAsia="宋体" w:cs="宋体"/>
          <w:b/>
          <w:bCs/>
          <w:sz w:val="24"/>
          <w:szCs w:val="24"/>
          <w:highlight w:val="none"/>
          <w:u w:val="single"/>
          <w:lang w:eastAsia="zh-CN"/>
        </w:rPr>
      </w:pPr>
      <w:r>
        <w:rPr>
          <w:rFonts w:hint="eastAsia" w:ascii="宋体" w:hAnsi="宋体" w:eastAsia="宋体" w:cs="宋体"/>
          <w:b/>
          <w:bCs/>
          <w:sz w:val="24"/>
          <w:szCs w:val="24"/>
          <w:highlight w:val="none"/>
          <w:lang w:eastAsia="zh-CN"/>
        </w:rPr>
        <w:t>2.其他内容：</w:t>
      </w:r>
      <w:r>
        <w:rPr>
          <w:rFonts w:hint="eastAsia" w:ascii="宋体" w:hAnsi="宋体" w:eastAsia="宋体" w:cs="宋体"/>
          <w:b/>
          <w:bCs/>
          <w:sz w:val="24"/>
          <w:szCs w:val="24"/>
          <w:highlight w:val="none"/>
          <w:u w:val="single"/>
          <w:lang w:eastAsia="zh-CN"/>
        </w:rPr>
        <w:t xml:space="preserve">             </w:t>
      </w:r>
    </w:p>
    <w:p w14:paraId="1A785B02">
      <w:pPr>
        <w:spacing w:line="360" w:lineRule="auto"/>
        <w:ind w:firstLine="482" w:firstLineChars="200"/>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3.技术要求、商务要求：</w:t>
      </w:r>
      <w:r>
        <w:rPr>
          <w:rFonts w:hint="eastAsia" w:ascii="宋体" w:hAnsi="宋体" w:eastAsia="宋体" w:cs="宋体"/>
          <w:sz w:val="24"/>
          <w:szCs w:val="24"/>
          <w:highlight w:val="none"/>
          <w:lang w:eastAsia="zh-CN"/>
        </w:rPr>
        <w:t>详见附件。</w:t>
      </w:r>
    </w:p>
    <w:p w14:paraId="24948F8F">
      <w:pPr>
        <w:spacing w:line="360" w:lineRule="auto"/>
        <w:ind w:firstLine="482" w:firstLineChars="200"/>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二、交付与运输</w:t>
      </w:r>
    </w:p>
    <w:p w14:paraId="625B2F8E">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1.交付时间：</w:t>
      </w:r>
      <w:r>
        <w:rPr>
          <w:rFonts w:hint="eastAsia" w:ascii="宋体" w:hAnsi="宋体" w:eastAsia="宋体" w:cs="宋体"/>
          <w:color w:val="auto"/>
          <w:sz w:val="24"/>
          <w:szCs w:val="24"/>
          <w:highlight w:val="none"/>
          <w:lang w:eastAsia="zh-CN"/>
        </w:rPr>
        <w:t>乙方应于____年____月____日前将本合同项下全部设备交付给甲方。允许的合理宽限期为____日，超过此期限仍未交付的，构成延迟交货违约。</w:t>
      </w:r>
    </w:p>
    <w:p w14:paraId="1552B7F5">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2.交付地点：</w:t>
      </w:r>
      <w:r>
        <w:rPr>
          <w:rFonts w:hint="eastAsia" w:ascii="宋体" w:hAnsi="宋体" w:eastAsia="宋体" w:cs="宋体"/>
          <w:color w:val="auto"/>
          <w:sz w:val="24"/>
          <w:szCs w:val="24"/>
          <w:highlight w:val="none"/>
          <w:lang w:val="en-US" w:eastAsia="zh-CN"/>
        </w:rPr>
        <w:t>西安理工大学金花校区水动大厅</w:t>
      </w:r>
    </w:p>
    <w:p w14:paraId="7EC15232">
      <w:pPr>
        <w:widowControl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3.运输与保险责任：</w:t>
      </w:r>
      <w:r>
        <w:rPr>
          <w:rFonts w:hint="eastAsia" w:ascii="宋体" w:hAnsi="宋体" w:eastAsia="宋体" w:cs="宋体"/>
          <w:color w:val="auto"/>
          <w:sz w:val="24"/>
          <w:szCs w:val="24"/>
          <w:highlight w:val="none"/>
          <w:lang w:eastAsia="zh-CN"/>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sz w:val="24"/>
          <w:szCs w:val="24"/>
          <w:highlight w:val="none"/>
          <w:lang w:eastAsia="zh-CN"/>
        </w:rPr>
        <w:t>自设备在交付地点经甲方授权代表签收后转移至甲方</w:t>
      </w:r>
      <w:r>
        <w:rPr>
          <w:rFonts w:hint="eastAsia" w:ascii="宋体" w:hAnsi="宋体" w:eastAsia="宋体" w:cs="宋体"/>
          <w:color w:val="auto"/>
          <w:sz w:val="24"/>
          <w:szCs w:val="24"/>
          <w:highlight w:val="none"/>
          <w:lang w:eastAsia="zh-CN"/>
        </w:rPr>
        <w:t>。</w:t>
      </w:r>
    </w:p>
    <w:p w14:paraId="0B9A9757">
      <w:pPr>
        <w:widowControl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sz w:val="24"/>
          <w:szCs w:val="24"/>
          <w:highlight w:val="none"/>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5F7AA869">
      <w:pPr>
        <w:widowControl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三、支付方式</w:t>
      </w:r>
      <w:r>
        <w:rPr>
          <w:rFonts w:hint="eastAsia" w:ascii="宋体" w:hAnsi="宋体" w:eastAsia="宋体" w:cs="宋体"/>
          <w:color w:val="auto"/>
          <w:sz w:val="24"/>
          <w:szCs w:val="24"/>
          <w:highlight w:val="none"/>
          <w:lang w:eastAsia="zh-CN"/>
        </w:rPr>
        <w:t>：按以下第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种方式进行支付。</w:t>
      </w:r>
    </w:p>
    <w:p w14:paraId="2D03AF59">
      <w:pPr>
        <w:widowControl w:val="0"/>
        <w:spacing w:line="360" w:lineRule="auto"/>
        <w:ind w:firstLine="480" w:firstLineChars="200"/>
        <w:rPr>
          <w:rFonts w:hint="eastAsia" w:ascii="宋体" w:hAnsi="宋体" w:eastAsia="宋体" w:cs="宋体"/>
          <w:color w:val="0000FF"/>
          <w:sz w:val="24"/>
          <w:szCs w:val="24"/>
          <w:highlight w:val="none"/>
          <w:lang w:eastAsia="zh-CN"/>
        </w:rPr>
      </w:pPr>
      <w:r>
        <w:rPr>
          <w:rFonts w:hint="eastAsia" w:ascii="宋体" w:hAnsi="宋体" w:eastAsia="宋体" w:cs="宋体"/>
          <w:color w:val="auto"/>
          <w:sz w:val="24"/>
          <w:szCs w:val="24"/>
          <w:highlight w:val="none"/>
          <w:lang w:eastAsia="zh-CN"/>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宋体" w:hAnsi="宋体" w:eastAsia="宋体" w:cs="宋体"/>
          <w:color w:val="0000FF"/>
          <w:sz w:val="24"/>
          <w:szCs w:val="24"/>
          <w:highlight w:val="none"/>
          <w:lang w:eastAsia="zh-CN"/>
        </w:rPr>
        <w:t>(适用于供货期30天内的采购合同)</w:t>
      </w:r>
    </w:p>
    <w:p w14:paraId="612ED625">
      <w:pPr>
        <w:widowControl w:val="0"/>
        <w:spacing w:line="360" w:lineRule="auto"/>
        <w:ind w:firstLine="480" w:firstLineChars="200"/>
        <w:rPr>
          <w:rFonts w:hint="eastAsia" w:ascii="宋体" w:hAnsi="宋体" w:eastAsia="宋体" w:cs="宋体"/>
          <w:color w:val="0000FF"/>
          <w:sz w:val="24"/>
          <w:szCs w:val="24"/>
          <w:highlight w:val="none"/>
          <w:lang w:eastAsia="zh-CN"/>
        </w:rPr>
      </w:pPr>
      <w:r>
        <w:rPr>
          <w:rFonts w:hint="eastAsia" w:ascii="宋体" w:hAnsi="宋体" w:eastAsia="宋体" w:cs="宋体"/>
          <w:color w:val="auto"/>
          <w:sz w:val="24"/>
          <w:szCs w:val="24"/>
          <w:highlight w:val="none"/>
          <w:lang w:eastAsia="zh-CN"/>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hint="eastAsia" w:ascii="宋体" w:hAnsi="宋体" w:eastAsia="宋体" w:cs="宋体"/>
          <w:color w:val="0000FF"/>
          <w:sz w:val="24"/>
          <w:szCs w:val="24"/>
          <w:highlight w:val="none"/>
          <w:lang w:eastAsia="zh-CN"/>
        </w:rPr>
        <w:t>(适用于供货期30天-90天的采购合同)</w:t>
      </w:r>
    </w:p>
    <w:p w14:paraId="3B678E42">
      <w:pPr>
        <w:widowControl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合同签订之日起5个工作日内，且乙方开具等额增值税专用发票后，</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lang w:val="en-US" w:eastAsia="zh-CN"/>
        </w:rPr>
        <w:t>向乙方支付合同总价的40%作为预付款；</w:t>
      </w:r>
      <w:r>
        <w:rPr>
          <w:rFonts w:hint="eastAsia" w:ascii="宋体" w:hAnsi="宋体" w:eastAsia="宋体" w:cs="宋体"/>
          <w:color w:val="auto"/>
          <w:sz w:val="24"/>
          <w:szCs w:val="24"/>
          <w:highlight w:val="none"/>
          <w:lang w:eastAsia="zh-CN"/>
        </w:rPr>
        <w:t>合同签订后一个月内，</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按照剩余合同额向甲方开具剩余合同总价(即合同总额的60%)为担保金额的不可撤销、见索即付的银行保函，银行保函期限应至少覆盖本合同全部供货、安装、调试周期。甲方收到上述全部银行保函正本并审核无误后1个月内，向</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支付等同于保函金额(即合同总额的60%)的款项，设备调试完成并经甲方验收合格，且</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开具等额增值税专用发票后，甲方5个工作日内向</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退还不可撤销、见索即付的银行保函正本。</w:t>
      </w:r>
      <w:r>
        <w:rPr>
          <w:rFonts w:hint="eastAsia" w:ascii="宋体" w:hAnsi="宋体" w:eastAsia="宋体" w:cs="宋体"/>
          <w:color w:val="0000FF"/>
          <w:sz w:val="24"/>
          <w:szCs w:val="24"/>
          <w:highlight w:val="none"/>
          <w:lang w:eastAsia="zh-CN"/>
        </w:rPr>
        <w:t>（适用于90天以上的采购合同）</w:t>
      </w:r>
    </w:p>
    <w:p w14:paraId="32B01A8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（4）其他付款方式：_____________________________________________。</w:t>
      </w:r>
    </w:p>
    <w:p w14:paraId="15D3F2A2">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四、履约保证金：</w:t>
      </w:r>
      <w:r>
        <w:rPr>
          <w:rFonts w:hint="eastAsia" w:ascii="宋体" w:hAnsi="宋体" w:eastAsia="宋体" w:cs="宋体"/>
          <w:color w:val="auto"/>
          <w:sz w:val="24"/>
          <w:szCs w:val="24"/>
          <w:highlight w:val="none"/>
          <w:lang w:eastAsia="zh-CN"/>
        </w:rPr>
        <w:t>合同签订后5个工作日内，乙方向甲方支付</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元（大写：</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个工作日内补足履约保证金；履约保证金不足以覆盖的部分，乙方仍应在甲方通知后</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个工作日内补足差额。</w:t>
      </w:r>
    </w:p>
    <w:p w14:paraId="47F9856F">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五、安装与调试</w:t>
      </w:r>
    </w:p>
    <w:p w14:paraId="398C7954">
      <w:pPr>
        <w:widowControl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1.安装调试服务：</w:t>
      </w:r>
      <w:r>
        <w:rPr>
          <w:rFonts w:hint="eastAsia" w:ascii="宋体" w:hAnsi="宋体" w:eastAsia="宋体" w:cs="宋体"/>
          <w:color w:val="auto"/>
          <w:sz w:val="24"/>
          <w:szCs w:val="24"/>
          <w:highlight w:val="none"/>
          <w:lang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1E6E455">
      <w:pPr>
        <w:widowControl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2.安装环境配合：</w:t>
      </w:r>
      <w:r>
        <w:rPr>
          <w:rFonts w:hint="eastAsia" w:ascii="宋体" w:hAnsi="宋体" w:eastAsia="宋体" w:cs="宋体"/>
          <w:color w:val="auto"/>
          <w:sz w:val="24"/>
          <w:szCs w:val="24"/>
          <w:highlight w:val="none"/>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B65DF61">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六、验收标准</w:t>
      </w:r>
    </w:p>
    <w:p w14:paraId="3DC8CFD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CA08691">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4C9D8B0">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七、质量及质保期</w:t>
      </w:r>
    </w:p>
    <w:p w14:paraId="775CBD90">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1.合同标的物必须为全新未使用过的、来源合法，符合国家或有关行业质量标准，且完全符合本合同及附件约定的技术参数、规格型号要求。</w:t>
      </w:r>
    </w:p>
    <w:p w14:paraId="448230C1">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A65B54A">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八、产权与保密</w:t>
      </w:r>
    </w:p>
    <w:p w14:paraId="2A5EDF05">
      <w:pPr>
        <w:widowControl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1.设备知识产权声明</w:t>
      </w:r>
      <w:r>
        <w:rPr>
          <w:rFonts w:hint="eastAsia" w:ascii="宋体" w:hAnsi="宋体" w:eastAsia="宋体" w:cs="宋体"/>
          <w:color w:val="auto"/>
          <w:sz w:val="24"/>
          <w:szCs w:val="24"/>
          <w:highlight w:val="none"/>
          <w:lang w:eastAsia="zh-CN"/>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39A45684">
      <w:pPr>
        <w:widowControl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2.保密义务</w:t>
      </w:r>
      <w:r>
        <w:rPr>
          <w:rFonts w:hint="eastAsia" w:ascii="宋体" w:hAnsi="宋体" w:eastAsia="宋体" w:cs="宋体"/>
          <w:color w:val="auto"/>
          <w:sz w:val="24"/>
          <w:szCs w:val="24"/>
          <w:highlight w:val="none"/>
          <w:lang w:eastAsia="zh-CN"/>
        </w:rPr>
        <w:t>：双方应对因履行本合同而获知的对方的技术资料、技术参数、采购价格、商业计划、内部流程等未公开信息承担保密义务。</w:t>
      </w:r>
    </w:p>
    <w:p w14:paraId="1847B5B8">
      <w:pPr>
        <w:widowControl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九、争议解决</w:t>
      </w:r>
      <w:r>
        <w:rPr>
          <w:rFonts w:hint="eastAsia" w:ascii="宋体" w:hAnsi="宋体" w:eastAsia="宋体" w:cs="宋体"/>
          <w:color w:val="auto"/>
          <w:sz w:val="24"/>
          <w:szCs w:val="24"/>
          <w:highlight w:val="none"/>
          <w:lang w:eastAsia="zh-CN"/>
        </w:rPr>
        <w:t>：合同履行过程中出现争议时，由双方友好协商解决。协商不成，向甲方所在地有管辖权的人民法院提起诉讼。</w:t>
      </w:r>
    </w:p>
    <w:p w14:paraId="04FC7D60">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十、违约责任</w:t>
      </w:r>
      <w:r>
        <w:rPr>
          <w:rFonts w:hint="eastAsia" w:ascii="宋体" w:hAnsi="宋体" w:eastAsia="宋体" w:cs="宋体"/>
          <w:color w:val="auto"/>
          <w:sz w:val="24"/>
          <w:szCs w:val="24"/>
          <w:highlight w:val="none"/>
          <w:lang w:eastAsia="zh-CN"/>
        </w:rPr>
        <w:t>：</w:t>
      </w:r>
    </w:p>
    <w:p w14:paraId="034CC7E2">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1.合同违约情况按《中华人民共和国民法典》中的相关条款执行；</w:t>
      </w:r>
    </w:p>
    <w:p w14:paraId="07566919">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2.甲乙双方必须遵守本合同并执行合同中的各项规定，保证本合同的正常履行；</w:t>
      </w:r>
    </w:p>
    <w:p w14:paraId="4D17C6F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219DDA1">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4.未按合同要求提供设备或提供的设备质量或规格不能满足技术要求，甲方有权终止合同并对乙方违约行为进行追究，同时按政府采购法的有关规定进行相应的处罚；</w:t>
      </w:r>
    </w:p>
    <w:p w14:paraId="49E47281">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5.若乙方发生延迟交货，每延迟1日，应向甲方支付合同总金额1‰的违约金；延迟超过</w:t>
      </w:r>
      <w:r>
        <w:rPr>
          <w:rFonts w:hint="eastAsia" w:ascii="宋体" w:hAnsi="宋体" w:eastAsia="宋体" w:cs="宋体"/>
          <w:color w:val="auto"/>
          <w:sz w:val="24"/>
          <w:szCs w:val="24"/>
          <w:highlight w:val="none"/>
          <w:u w:val="single"/>
          <w:lang w:eastAsia="zh-CN"/>
        </w:rPr>
        <w:t>15</w:t>
      </w:r>
      <w:r>
        <w:rPr>
          <w:rFonts w:hint="eastAsia" w:ascii="宋体" w:hAnsi="宋体" w:eastAsia="宋体" w:cs="宋体"/>
          <w:color w:val="auto"/>
          <w:sz w:val="24"/>
          <w:szCs w:val="24"/>
          <w:highlight w:val="none"/>
          <w:lang w:eastAsia="zh-CN"/>
        </w:rPr>
        <w:t>日的，甲方有权单方解除合同，并要求乙方支付合同总金额20%的违约金，如该违约金不足以弥补甲方损失的，乙方还应予以赔偿。</w:t>
      </w:r>
    </w:p>
    <w:p w14:paraId="0039783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6.招标文件、投标文件规定的其他违约情形；</w:t>
      </w:r>
    </w:p>
    <w:p w14:paraId="52C47950">
      <w:pPr>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7.其他：</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w:t>
      </w:r>
    </w:p>
    <w:p w14:paraId="6B2DF818">
      <w:pPr>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十一、违约解除合同</w:t>
      </w:r>
      <w:r>
        <w:rPr>
          <w:rFonts w:hint="eastAsia" w:ascii="宋体" w:hAnsi="宋体" w:eastAsia="宋体" w:cs="宋体"/>
          <w:color w:val="auto"/>
          <w:sz w:val="24"/>
          <w:szCs w:val="24"/>
          <w:highlight w:val="none"/>
          <w:lang w:eastAsia="zh-CN"/>
        </w:rPr>
        <w:t>：出现下列情形之一的，视为乙方违约。甲方可向乙方发出书面通知，部分或全部终止合同，同时保留向乙方索赔的权利。</w:t>
      </w:r>
    </w:p>
    <w:p w14:paraId="4FC3E262">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7974AAFE">
      <w:pPr>
        <w:widowControl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2.乙方未能履行合同规定的其它主要义务，经甲方书面催告后在合理期限内仍未履行，或该等违约行为导致甲方合同目的无法实现的；</w:t>
      </w:r>
    </w:p>
    <w:p w14:paraId="4AFC8696">
      <w:pPr>
        <w:widowControl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3.乙方在本合同履行过程中有欺诈行为的；</w:t>
      </w:r>
    </w:p>
    <w:p w14:paraId="2F653D42">
      <w:pPr>
        <w:widowControl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4.其他：</w:t>
      </w:r>
      <w:r>
        <w:rPr>
          <w:rFonts w:hint="eastAsia" w:ascii="宋体" w:hAnsi="宋体" w:eastAsia="宋体" w:cs="宋体"/>
          <w:color w:val="auto"/>
          <w:sz w:val="24"/>
          <w:szCs w:val="24"/>
          <w:highlight w:val="none"/>
          <w:u w:val="single"/>
          <w:lang w:eastAsia="zh-CN"/>
        </w:rPr>
        <w:t xml:space="preserve">                                          </w:t>
      </w:r>
    </w:p>
    <w:p w14:paraId="15073806">
      <w:pPr>
        <w:widowControl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060CAB0D">
      <w:pPr>
        <w:spacing w:line="360" w:lineRule="auto"/>
        <w:ind w:firstLine="482" w:firstLineChars="200"/>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十二、其他约定事项</w:t>
      </w:r>
      <w:r>
        <w:rPr>
          <w:rFonts w:hint="eastAsia" w:ascii="宋体" w:hAnsi="宋体" w:eastAsia="宋体" w:cs="宋体"/>
          <w:sz w:val="24"/>
          <w:szCs w:val="24"/>
          <w:highlight w:val="none"/>
          <w:lang w:eastAsia="zh-CN"/>
        </w:rPr>
        <w:t>：</w:t>
      </w:r>
    </w:p>
    <w:p w14:paraId="75332037">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1.合同经双方签字盖章后生效。合同一式四份，甲方执三份，乙方执</w:t>
      </w:r>
      <w:r>
        <w:rPr>
          <w:rFonts w:hint="eastAsia" w:ascii="宋体" w:hAnsi="宋体" w:eastAsia="宋体" w:cs="宋体"/>
          <w:color w:val="auto"/>
          <w:sz w:val="24"/>
          <w:szCs w:val="24"/>
          <w:highlight w:val="none"/>
          <w:lang w:eastAsia="zh-CN"/>
        </w:rPr>
        <w:t>一</w:t>
      </w:r>
      <w:r>
        <w:rPr>
          <w:rFonts w:hint="eastAsia" w:ascii="宋体" w:hAnsi="宋体" w:eastAsia="宋体" w:cs="宋体"/>
          <w:sz w:val="24"/>
          <w:szCs w:val="24"/>
          <w:highlight w:val="none"/>
          <w:lang w:eastAsia="zh-CN"/>
        </w:rPr>
        <w:t>份；</w:t>
      </w:r>
    </w:p>
    <w:p w14:paraId="497EBEA3">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2.招投标文件为本合同的附件，与本合同具有同等法律效力（本条款适用于招投标项目）。</w:t>
      </w:r>
    </w:p>
    <w:p w14:paraId="7E119B40">
      <w:pPr>
        <w:spacing w:line="360" w:lineRule="auto"/>
        <w:ind w:firstLine="480" w:firstLineChars="200"/>
        <w:rPr>
          <w:rFonts w:hint="eastAsia" w:ascii="宋体" w:hAnsi="宋体" w:eastAsia="宋体" w:cs="宋体"/>
          <w:sz w:val="24"/>
          <w:szCs w:val="24"/>
          <w:highlight w:val="none"/>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712430B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CBB7B">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61A5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乙</w:t>
            </w:r>
            <w:r>
              <w:rPr>
                <w:rFonts w:hint="eastAsia" w:ascii="宋体" w:hAnsi="宋体" w:eastAsia="宋体" w:cs="宋体"/>
                <w:sz w:val="24"/>
                <w:szCs w:val="24"/>
                <w:highlight w:val="none"/>
              </w:rPr>
              <w:t>方</w:t>
            </w:r>
            <w:r>
              <w:rPr>
                <w:rFonts w:hint="eastAsia" w:ascii="宋体" w:hAnsi="宋体" w:eastAsia="宋体" w:cs="宋体"/>
                <w:sz w:val="24"/>
                <w:szCs w:val="24"/>
                <w:highlight w:val="none"/>
                <w:lang w:eastAsia="zh-CN"/>
              </w:rPr>
              <w:t>（盖章）</w:t>
            </w:r>
            <w:r>
              <w:rPr>
                <w:rFonts w:hint="eastAsia" w:ascii="宋体" w:hAnsi="宋体" w:eastAsia="宋体" w:cs="宋体"/>
                <w:sz w:val="24"/>
                <w:szCs w:val="24"/>
                <w:highlight w:val="none"/>
              </w:rPr>
              <w:t xml:space="preserve">： </w:t>
            </w:r>
          </w:p>
        </w:tc>
      </w:tr>
      <w:tr w14:paraId="7FC852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A65C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信用代码：126100004</w:t>
            </w:r>
            <w:r>
              <w:rPr>
                <w:rFonts w:hint="eastAsia" w:ascii="宋体" w:hAnsi="宋体" w:eastAsia="宋体" w:cs="宋体"/>
                <w:sz w:val="24"/>
                <w:szCs w:val="24"/>
                <w:highlight w:val="none"/>
                <w:lang w:eastAsia="zh-CN"/>
              </w:rPr>
              <w:t>33</w:t>
            </w:r>
            <w:r>
              <w:rPr>
                <w:rFonts w:hint="eastAsia" w:ascii="宋体" w:hAnsi="宋体" w:eastAsia="宋体" w:cs="宋体"/>
                <w:sz w:val="24"/>
                <w:szCs w:val="24"/>
                <w:highlight w:val="none"/>
              </w:rPr>
              <w:t>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B9B0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信用代码：</w:t>
            </w:r>
          </w:p>
        </w:tc>
      </w:tr>
      <w:tr w14:paraId="555E68D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91FC1">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CF72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r>
      <w:tr w14:paraId="6D4CBA0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8268E">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开户银行：中国银行西安金花南路支行</w:t>
            </w:r>
          </w:p>
          <w:p w14:paraId="5CC45F0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银行账号</w:t>
            </w:r>
            <w:r>
              <w:rPr>
                <w:rFonts w:hint="eastAsia" w:ascii="宋体" w:hAnsi="宋体" w:eastAsia="宋体" w:cs="宋体"/>
                <w:sz w:val="24"/>
                <w:szCs w:val="24"/>
                <w:highlight w:val="none"/>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8881C">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开户银行：</w:t>
            </w:r>
          </w:p>
          <w:p w14:paraId="0C891C5D">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银行账号：</w:t>
            </w:r>
          </w:p>
        </w:tc>
      </w:tr>
      <w:tr w14:paraId="094C5E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35CA">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E405">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法人/委托代理人签字：</w:t>
            </w:r>
          </w:p>
        </w:tc>
      </w:tr>
      <w:tr w14:paraId="2447AA55">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3DBC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DFE6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r>
      <w:tr w14:paraId="0AC7F0C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250E">
            <w:pPr>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签订日期：</w:t>
            </w:r>
            <w:r>
              <w:rPr>
                <w:rFonts w:hint="eastAsia" w:ascii="宋体" w:hAnsi="宋体" w:eastAsia="宋体" w:cs="宋体"/>
                <w:sz w:val="24"/>
                <w:szCs w:val="24"/>
                <w:highlight w:val="none"/>
                <w:lang w:eastAsia="zh-CN"/>
              </w:rPr>
              <w:t xml:space="preserve">   </w:t>
            </w:r>
            <w:r>
              <w:rPr>
                <w:rFonts w:hint="eastAsia" w:ascii="宋体" w:hAnsi="宋体" w:eastAsia="宋体" w:cs="宋体"/>
                <w:sz w:val="24"/>
                <w:szCs w:val="24"/>
                <w:highlight w:val="none"/>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E586D">
            <w:pPr>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签订日期：</w:t>
            </w:r>
            <w:r>
              <w:rPr>
                <w:rFonts w:hint="eastAsia" w:ascii="宋体" w:hAnsi="宋体" w:eastAsia="宋体" w:cs="宋体"/>
                <w:sz w:val="24"/>
                <w:szCs w:val="24"/>
                <w:highlight w:val="none"/>
                <w:lang w:eastAsia="zh-CN"/>
              </w:rPr>
              <w:t xml:space="preserve">   </w:t>
            </w:r>
            <w:r>
              <w:rPr>
                <w:rFonts w:hint="eastAsia" w:ascii="宋体" w:hAnsi="宋体" w:eastAsia="宋体" w:cs="宋体"/>
                <w:sz w:val="24"/>
                <w:szCs w:val="24"/>
                <w:highlight w:val="none"/>
              </w:rPr>
              <w:t>年  月  日</w:t>
            </w:r>
          </w:p>
        </w:tc>
      </w:tr>
    </w:tbl>
    <w:p w14:paraId="7BB20A53">
      <w:pPr>
        <w:pStyle w:val="5"/>
        <w:spacing w:line="360" w:lineRule="auto"/>
        <w:rPr>
          <w:rFonts w:ascii="宋体" w:hAnsi="宋体" w:eastAsia="宋体" w:cs="宋体"/>
          <w:sz w:val="24"/>
          <w:szCs w:val="24"/>
          <w:highlight w:val="none"/>
          <w:lang w:eastAsia="zh-CN"/>
        </w:rPr>
      </w:pPr>
    </w:p>
    <w:p w14:paraId="6458B209">
      <w:pPr>
        <w:pStyle w:val="5"/>
        <w:spacing w:line="360" w:lineRule="auto"/>
        <w:rPr>
          <w:rFonts w:hint="default" w:ascii="宋体" w:hAnsi="宋体" w:eastAsia="宋体" w:cs="宋体"/>
          <w:sz w:val="24"/>
          <w:szCs w:val="24"/>
          <w:highlight w:val="none"/>
        </w:rPr>
      </w:pPr>
    </w:p>
    <w:p w14:paraId="6D83D5D0">
      <w:pPr>
        <w:pStyle w:val="5"/>
        <w:spacing w:line="360" w:lineRule="auto"/>
        <w:rPr>
          <w:rFonts w:hint="default" w:ascii="宋体" w:hAnsi="宋体" w:eastAsia="宋体" w:cs="宋体"/>
          <w:sz w:val="24"/>
          <w:szCs w:val="24"/>
          <w:highlight w:val="none"/>
        </w:rPr>
      </w:pPr>
    </w:p>
    <w:p w14:paraId="1C9A433F"/>
    <w:sectPr>
      <w:footerReference r:id="rId3" w:type="default"/>
      <w:pgSz w:w="11906" w:h="16838"/>
      <w:pgMar w:top="1440" w:right="1800" w:bottom="1440" w:left="1800"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65EEC">
    <w:pPr>
      <w:pStyle w:val="2"/>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1D72CE9">
                          <w:pPr>
                            <w:pStyle w:val="2"/>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31D72CE9">
                    <w:pPr>
                      <w:pStyle w:val="2"/>
                    </w:pPr>
                    <w:r>
                      <w:fldChar w:fldCharType="begin"/>
                    </w:r>
                    <w:r>
                      <w:instrText xml:space="preserve"> PAGE  \* MERGEFORMAT </w:instrText>
                    </w:r>
                    <w:r>
                      <w:fldChar w:fldCharType="separate"/>
                    </w:r>
                    <w:r>
                      <w:t>71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F84DF5"/>
    <w:rsid w:val="42F84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2026-07-21T02:46:00Z</dcterms:created>
  <dc:creator>开瑞</dc:creator>
  <cp:lastModifiedBy>开瑞</cp:lastModifiedBy>
  <dcterms:modified xsi:type="dcterms:W3CDTF">2026-07-21T02:46:29Z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CE2C3186CFBE4683AD2420E483C7AA18_11</vt:lpwstr>
  </property>
  <property fmtid="{D5CDD505-2E9C-101B-9397-08002B2CF9AE}" pid="4" name="KSOTemplateDocerSaveRecord">
    <vt:lpwstr>eyJoZGlkIjoiZmNkYTQxN2FhMzNjOTUyZjc2ODI5ZDk4ZWQwMzRlODgiLCJ1c2VySWQiOiI2Nzc1OTA0NzIifQ==</vt:lpwstr>
  </property>
</Properties>
</file>