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版本号：SXWZ2026ZB-DYJS-05520260604001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红色文化资源挖掘传承项目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SXWZ2026ZB-DYJS-055</w:t>
      </w:r>
      <w:r>
        <w:br/>
      </w:r>
      <w:r>
        <w:br/>
      </w:r>
      <w:r>
        <w:br/>
      </w:r>
    </w:p>
    <w:p>
      <w:pPr>
        <w:pStyle w:val="null3"/>
        <w:jc w:val="center"/>
        <w:outlineLvl w:val="2"/>
      </w:pPr>
      <w:r>
        <w:rPr>
          <w:rFonts w:ascii="仿宋_GB2312" w:hAnsi="仿宋_GB2312" w:cs="仿宋_GB2312" w:eastAsia="仿宋_GB2312"/>
          <w:sz w:val="28"/>
          <w:b/>
        </w:rPr>
        <w:t>中共西安市委党史研究室（本级）</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中共西安市委党史研究室（本级）</w:t>
      </w:r>
      <w:r>
        <w:rPr>
          <w:rFonts w:ascii="仿宋_GB2312" w:hAnsi="仿宋_GB2312" w:cs="仿宋_GB2312" w:eastAsia="仿宋_GB2312"/>
        </w:rPr>
        <w:t>委托，拟对</w:t>
      </w:r>
      <w:r>
        <w:rPr>
          <w:rFonts w:ascii="仿宋_GB2312" w:hAnsi="仿宋_GB2312" w:cs="仿宋_GB2312" w:eastAsia="仿宋_GB2312"/>
        </w:rPr>
        <w:t>红色文化资源挖掘传承项目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SXWZ2026ZB-DYJS-055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红色文化资源挖掘传承项目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红色文化资源挖掘传承项目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开标前近一年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3、税收缴纳证明：供应商提供开标前近一年内已缴纳的至少一个月的纳税证明或完税证明，依法免税的单位应提供相关证明材料（以税款所属期为准）</w:t>
      </w:r>
    </w:p>
    <w:p>
      <w:pPr>
        <w:pStyle w:val="null3"/>
      </w:pPr>
      <w:r>
        <w:rPr>
          <w:rFonts w:ascii="仿宋_GB2312" w:hAnsi="仿宋_GB2312" w:cs="仿宋_GB2312" w:eastAsia="仿宋_GB2312"/>
        </w:rPr>
        <w:t>4、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开标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7、法定代表人授权委托书：非法定代表人参加投标，须提供法定代表人授权委托书及被授权人身份证；法定代表人参加投标时,须提供法定代表人身份证</w:t>
      </w:r>
    </w:p>
    <w:p>
      <w:pPr>
        <w:pStyle w:val="null3"/>
      </w:pPr>
      <w:r>
        <w:rPr>
          <w:rFonts w:ascii="仿宋_GB2312" w:hAnsi="仿宋_GB2312" w:cs="仿宋_GB2312" w:eastAsia="仿宋_GB2312"/>
        </w:rPr>
        <w:t>8、测绘甲级资质：具有国家测绘行政主管部门颁发的测绘甲级资质，且包含地图编制专业</w:t>
      </w:r>
    </w:p>
    <w:p>
      <w:pPr>
        <w:pStyle w:val="null3"/>
      </w:pPr>
      <w:r>
        <w:rPr>
          <w:rFonts w:ascii="仿宋_GB2312" w:hAnsi="仿宋_GB2312" w:cs="仿宋_GB2312" w:eastAsia="仿宋_GB2312"/>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中共西安市委党史研究室（本级）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87222532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代理服务费收费标准：以本采购项目成交价为基数，按《招标代理服务收费管理暂行办法》（计价格[2002]1980号）的有关规定下浮30%，向采购代理机构一次付清代理服务费。 中标单位按以下账户缴纳服务费（对公转账）： 户名:陕西万泽招标有限公司 账号:2110 1158 0000 0154 89 开户行:西安银行朝阳门支行 转账备注：党史研究室-055-服务费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中共西安市委党史研究室（本级）</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中共西安市委党史研究室（本级）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中共西安市委党史研究室（本级）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红色文化资源挖掘传承项目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1,067,500.00</w:t>
      </w:r>
    </w:p>
    <w:p>
      <w:pPr>
        <w:pStyle w:val="null3"/>
      </w:pPr>
      <w:r>
        <w:rPr>
          <w:rFonts w:ascii="仿宋_GB2312" w:hAnsi="仿宋_GB2312" w:cs="仿宋_GB2312" w:eastAsia="仿宋_GB2312"/>
        </w:rPr>
        <w:t>采购包最高限价（元）: 1,067,500.00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红色文化资源挖掘传承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标的名称：红色文化资源挖掘传承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在迎接红军长征胜利</w:t>
            </w:r>
            <w:r>
              <w:rPr>
                <w:rFonts w:ascii="仿宋_GB2312" w:hAnsi="仿宋_GB2312" w:cs="仿宋_GB2312" w:eastAsia="仿宋_GB2312"/>
                <w:sz w:val="24"/>
              </w:rPr>
              <w:t>90周年之际，我市现有的传统的红色文化宣传产品已难以适应广大人民群众的精神文化需求。为此，迫切需要创作顺应传播规律、满足人民多样化精神需要、具有西安特色的新锐红色精神文化产品</w:t>
            </w:r>
            <w:r>
              <w:rPr>
                <w:rFonts w:ascii="仿宋_GB2312" w:hAnsi="仿宋_GB2312" w:cs="仿宋_GB2312" w:eastAsia="仿宋_GB2312"/>
                <w:sz w:val="24"/>
              </w:rPr>
              <w:t>。现就有关参数如下：</w:t>
            </w:r>
          </w:p>
          <w:p>
            <w:pPr>
              <w:pStyle w:val="null3"/>
              <w:ind w:firstLine="480"/>
            </w:pPr>
            <w:r>
              <w:rPr>
                <w:rFonts w:ascii="仿宋_GB2312" w:hAnsi="仿宋_GB2312" w:cs="仿宋_GB2312" w:eastAsia="仿宋_GB2312"/>
                <w:sz w:val="24"/>
              </w:rPr>
              <w:t>项目制作要求</w:t>
            </w:r>
          </w:p>
          <w:p>
            <w:pPr>
              <w:pStyle w:val="null3"/>
              <w:ind w:firstLine="482"/>
            </w:pPr>
            <w:r>
              <w:rPr>
                <w:rFonts w:ascii="仿宋_GB2312" w:hAnsi="仿宋_GB2312" w:cs="仿宋_GB2312" w:eastAsia="仿宋_GB2312"/>
                <w:sz w:val="24"/>
                <w:b/>
              </w:rPr>
              <w:t>1.《精神图谱—从延安走向未来》（暂定名）画册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1）内容要求</w:t>
            </w:r>
          </w:p>
          <w:p>
            <w:pPr>
              <w:pStyle w:val="null3"/>
              <w:ind w:firstLine="480"/>
            </w:pPr>
            <w:r>
              <w:rPr>
                <w:rFonts w:ascii="仿宋_GB2312" w:hAnsi="仿宋_GB2312" w:cs="仿宋_GB2312" w:eastAsia="仿宋_GB2312"/>
                <w:sz w:val="24"/>
              </w:rPr>
              <w:t>需收集相关老照片，且所收集照片不得存在版权纠纷，同时编制必要的地图，并通过实地拍摄照片进行补充；</w:t>
            </w:r>
          </w:p>
          <w:p>
            <w:pPr>
              <w:pStyle w:val="null3"/>
              <w:ind w:firstLine="480"/>
            </w:pPr>
            <w:r>
              <w:rPr>
                <w:rFonts w:ascii="仿宋_GB2312" w:hAnsi="仿宋_GB2312" w:cs="仿宋_GB2312" w:eastAsia="仿宋_GB2312"/>
                <w:sz w:val="24"/>
              </w:rPr>
              <w:t>全册应具备完整的逻辑体系，主题与主线需鲜明突出；</w:t>
            </w:r>
          </w:p>
          <w:p>
            <w:pPr>
              <w:pStyle w:val="null3"/>
              <w:ind w:firstLine="480"/>
            </w:pPr>
            <w:r>
              <w:rPr>
                <w:rFonts w:ascii="仿宋_GB2312" w:hAnsi="仿宋_GB2312" w:cs="仿宋_GB2312" w:eastAsia="仿宋_GB2312"/>
                <w:sz w:val="24"/>
              </w:rPr>
              <w:t>篇幅不少于</w:t>
            </w:r>
            <w:r>
              <w:rPr>
                <w:rFonts w:ascii="仿宋_GB2312" w:hAnsi="仿宋_GB2312" w:cs="仿宋_GB2312" w:eastAsia="仿宋_GB2312"/>
                <w:sz w:val="24"/>
              </w:rPr>
              <w:t>10个印张（即100页）。</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2）设计风格</w:t>
            </w:r>
          </w:p>
          <w:p>
            <w:pPr>
              <w:pStyle w:val="null3"/>
              <w:ind w:firstLine="480"/>
            </w:pPr>
            <w:r>
              <w:rPr>
                <w:rFonts w:ascii="仿宋_GB2312" w:hAnsi="仿宋_GB2312" w:cs="仿宋_GB2312" w:eastAsia="仿宋_GB2312"/>
                <w:sz w:val="24"/>
              </w:rPr>
              <w:t>文字方面要确保精神主线连贯，视觉呈现上以图片为主，整体风格简约端庄。融媒体入口设计需巧妙和谐，</w:t>
            </w:r>
            <w:r>
              <w:rPr>
                <w:rFonts w:ascii="仿宋_GB2312" w:hAnsi="仿宋_GB2312" w:cs="仿宋_GB2312" w:eastAsia="仿宋_GB2312"/>
                <w:sz w:val="24"/>
              </w:rPr>
              <w:t>H5 形态的产品是对印刷品进行媒体化与网络化开发的成果。</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3）规格</w:t>
            </w:r>
          </w:p>
          <w:p>
            <w:pPr>
              <w:pStyle w:val="null3"/>
              <w:ind w:firstLine="480"/>
            </w:pPr>
            <w:r>
              <w:rPr>
                <w:rFonts w:ascii="仿宋_GB2312" w:hAnsi="仿宋_GB2312" w:cs="仿宋_GB2312" w:eastAsia="仿宋_GB2312"/>
                <w:sz w:val="24"/>
              </w:rPr>
              <w:t>10开，成品尺寸约 322mm×233mm。</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4）成果形态</w:t>
            </w:r>
          </w:p>
          <w:p>
            <w:pPr>
              <w:pStyle w:val="null3"/>
              <w:ind w:firstLine="480"/>
            </w:pPr>
            <w:r>
              <w:rPr>
                <w:rFonts w:ascii="仿宋_GB2312" w:hAnsi="仿宋_GB2312" w:cs="仿宋_GB2312" w:eastAsia="仿宋_GB2312"/>
                <w:sz w:val="24"/>
              </w:rPr>
              <w:t>需提交印刷品、</w:t>
            </w:r>
            <w:r>
              <w:rPr>
                <w:rFonts w:ascii="仿宋_GB2312" w:hAnsi="仿宋_GB2312" w:cs="仿宋_GB2312" w:eastAsia="仿宋_GB2312"/>
                <w:sz w:val="24"/>
              </w:rPr>
              <w:t>H5及 PDF 电子文件。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5）融媒体版（H5）</w:t>
            </w:r>
          </w:p>
          <w:p>
            <w:pPr>
              <w:pStyle w:val="null3"/>
              <w:ind w:firstLine="480"/>
            </w:pPr>
            <w:r>
              <w:rPr>
                <w:rFonts w:ascii="仿宋_GB2312" w:hAnsi="仿宋_GB2312" w:cs="仿宋_GB2312" w:eastAsia="仿宋_GB2312"/>
                <w:sz w:val="24"/>
              </w:rPr>
              <w:t>发</w:t>
            </w:r>
            <w:r>
              <w:rPr>
                <w:rFonts w:ascii="仿宋_GB2312" w:hAnsi="仿宋_GB2312" w:cs="仿宋_GB2312" w:eastAsia="仿宋_GB2312"/>
                <w:sz w:val="24"/>
              </w:rPr>
              <w:t xml:space="preserve">    </w:t>
            </w:r>
            <w:r>
              <w:rPr>
                <w:rFonts w:ascii="仿宋_GB2312" w:hAnsi="仿宋_GB2312" w:cs="仿宋_GB2312" w:eastAsia="仿宋_GB2312"/>
                <w:sz w:val="24"/>
              </w:rPr>
              <w:t>布：网络发布，支持手机、电脑等多终端自适应查看。</w:t>
            </w:r>
          </w:p>
          <w:p>
            <w:pPr>
              <w:pStyle w:val="null3"/>
              <w:ind w:firstLine="480"/>
            </w:pPr>
            <w:r>
              <w:rPr>
                <w:rFonts w:ascii="仿宋_GB2312" w:hAnsi="仿宋_GB2312" w:cs="仿宋_GB2312" w:eastAsia="仿宋_GB2312"/>
                <w:sz w:val="24"/>
              </w:rPr>
              <w:t>版权保护：有相应的版权保护和舆论监测措施。</w:t>
            </w:r>
          </w:p>
          <w:p>
            <w:pPr>
              <w:pStyle w:val="null3"/>
              <w:ind w:firstLine="480"/>
            </w:pPr>
            <w:r>
              <w:rPr>
                <w:rFonts w:ascii="仿宋_GB2312" w:hAnsi="仿宋_GB2312" w:cs="仿宋_GB2312" w:eastAsia="仿宋_GB2312"/>
                <w:sz w:val="24"/>
              </w:rPr>
              <w:t>功能指标：界面可互动、数据库可编辑、阅读可批注、可检索、可一键跳转，地图可动态展示。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6）印刷需求</w:t>
            </w:r>
          </w:p>
          <w:p>
            <w:pPr>
              <w:pStyle w:val="null3"/>
              <w:ind w:firstLine="480"/>
            </w:pPr>
            <w:r>
              <w:rPr>
                <w:rFonts w:ascii="仿宋_GB2312" w:hAnsi="仿宋_GB2312" w:cs="仿宋_GB2312" w:eastAsia="仿宋_GB2312"/>
                <w:sz w:val="24"/>
              </w:rPr>
              <w:t>用</w:t>
            </w:r>
            <w:r>
              <w:rPr>
                <w:rFonts w:ascii="仿宋_GB2312" w:hAnsi="仿宋_GB2312" w:cs="仿宋_GB2312" w:eastAsia="仿宋_GB2312"/>
                <w:sz w:val="24"/>
              </w:rPr>
              <w:t xml:space="preserve">    </w:t>
            </w:r>
            <w:r>
              <w:rPr>
                <w:rFonts w:ascii="仿宋_GB2312" w:hAnsi="仿宋_GB2312" w:cs="仿宋_GB2312" w:eastAsia="仿宋_GB2312"/>
                <w:sz w:val="24"/>
              </w:rPr>
              <w:t>纸：内文用</w:t>
            </w:r>
            <w:r>
              <w:rPr>
                <w:rFonts w:ascii="仿宋_GB2312" w:hAnsi="仿宋_GB2312" w:cs="仿宋_GB2312" w:eastAsia="仿宋_GB2312"/>
                <w:sz w:val="24"/>
              </w:rPr>
              <w:t>135g极致高白（特种纸），封面250g珠光紫铜，护封用160g冰白特种纸。</w:t>
            </w:r>
          </w:p>
          <w:p>
            <w:pPr>
              <w:pStyle w:val="null3"/>
              <w:ind w:firstLine="480"/>
            </w:pPr>
            <w:r>
              <w:rPr>
                <w:rFonts w:ascii="仿宋_GB2312" w:hAnsi="仿宋_GB2312" w:cs="仿宋_GB2312" w:eastAsia="仿宋_GB2312"/>
                <w:sz w:val="24"/>
              </w:rPr>
              <w:t>印刷方式：四色印刷。</w:t>
            </w:r>
          </w:p>
          <w:p>
            <w:pPr>
              <w:pStyle w:val="null3"/>
              <w:ind w:firstLine="480"/>
            </w:pPr>
            <w:r>
              <w:rPr>
                <w:rFonts w:ascii="仿宋_GB2312" w:hAnsi="仿宋_GB2312" w:cs="仿宋_GB2312" w:eastAsia="仿宋_GB2312"/>
                <w:sz w:val="24"/>
              </w:rPr>
              <w:t>装订方式：软精装，独立塑封。</w:t>
            </w:r>
          </w:p>
          <w:p>
            <w:pPr>
              <w:pStyle w:val="null3"/>
              <w:ind w:firstLine="480"/>
            </w:pPr>
            <w:r>
              <w:rPr>
                <w:rFonts w:ascii="仿宋_GB2312" w:hAnsi="仿宋_GB2312" w:cs="仿宋_GB2312" w:eastAsia="仿宋_GB2312"/>
                <w:sz w:val="24"/>
              </w:rPr>
              <w:t>印刷数量：</w:t>
            </w:r>
            <w:r>
              <w:rPr>
                <w:rFonts w:ascii="仿宋_GB2312" w:hAnsi="仿宋_GB2312" w:cs="仿宋_GB2312" w:eastAsia="仿宋_GB2312"/>
                <w:sz w:val="24"/>
              </w:rPr>
              <w:t>2000 册。</w:t>
            </w:r>
          </w:p>
          <w:p>
            <w:pPr>
              <w:pStyle w:val="null3"/>
              <w:ind w:firstLine="482"/>
            </w:pPr>
            <w:r>
              <w:rPr>
                <w:rFonts w:ascii="仿宋_GB2312" w:hAnsi="仿宋_GB2312" w:cs="仿宋_GB2312" w:eastAsia="仿宋_GB2312"/>
                <w:sz w:val="24"/>
                <w:b/>
              </w:rPr>
              <w:t>2.“五支红军队伍在西安”活动路线图</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1）内容要求</w:t>
            </w:r>
          </w:p>
          <w:p>
            <w:pPr>
              <w:pStyle w:val="null3"/>
              <w:ind w:firstLine="480"/>
            </w:pPr>
            <w:r>
              <w:rPr>
                <w:rFonts w:ascii="仿宋_GB2312" w:hAnsi="仿宋_GB2312" w:cs="仿宋_GB2312" w:eastAsia="仿宋_GB2312"/>
                <w:sz w:val="24"/>
              </w:rPr>
              <w:t>地图主要呈现红四方面军、红</w:t>
            </w:r>
            <w:r>
              <w:rPr>
                <w:rFonts w:ascii="仿宋_GB2312" w:hAnsi="仿宋_GB2312" w:cs="仿宋_GB2312" w:eastAsia="仿宋_GB2312"/>
                <w:sz w:val="24"/>
              </w:rPr>
              <w:t>25军、红26军、红15军团、红74师五支红军在西安地区的活动轨迹与历史贡献，填补相关历史地理可视化呈现的空白，为党史学习教育和爱国主义教育提供一份权威、直观的实物载体。</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2）设计风格</w:t>
            </w:r>
          </w:p>
          <w:p>
            <w:pPr>
              <w:pStyle w:val="null3"/>
              <w:ind w:firstLine="480"/>
            </w:pPr>
            <w:r>
              <w:rPr>
                <w:rFonts w:ascii="仿宋_GB2312" w:hAnsi="仿宋_GB2312" w:cs="仿宋_GB2312" w:eastAsia="仿宋_GB2312"/>
                <w:sz w:val="24"/>
              </w:rPr>
              <w:t>本图设计风格以庄重简朴为整体基调，采用具有革命历史象征意义的深红色与棕黄色作为主色调，搭配浅色调底色，确保视觉清晰美观。地图的表达运用测绘地理信息技术生成还原红军长征途经地的地形场景，立体、生动呈现制图区域山川地貌。红军长征路线以醒目的暗红色线条准确绘制，关键历史地点则辅以简约的线描插图点缀，在还原历史场景、增强视觉叙事的同时，始终保持着凝练、肃穆的历史严肃性。要求点位位置准确、名称标注规范，线条绘制流畅，整体风格在简洁中蕴含积极向上的力量。</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3）规格</w:t>
            </w:r>
          </w:p>
          <w:p>
            <w:pPr>
              <w:pStyle w:val="null3"/>
              <w:ind w:firstLine="480"/>
            </w:pPr>
            <w:r>
              <w:rPr>
                <w:rFonts w:ascii="仿宋_GB2312" w:hAnsi="仿宋_GB2312" w:cs="仿宋_GB2312" w:eastAsia="仿宋_GB2312"/>
                <w:sz w:val="24"/>
              </w:rPr>
              <w:t>地图设计为对开双面，成品尺寸为</w:t>
            </w:r>
            <w:r>
              <w:rPr>
                <w:rFonts w:ascii="仿宋_GB2312" w:hAnsi="仿宋_GB2312" w:cs="仿宋_GB2312" w:eastAsia="仿宋_GB2312"/>
                <w:sz w:val="24"/>
              </w:rPr>
              <w:t>590mm×882mm。</w:t>
            </w:r>
          </w:p>
          <w:p>
            <w:pPr>
              <w:pStyle w:val="null3"/>
              <w:ind w:firstLine="480"/>
            </w:pPr>
            <w:r>
              <w:rPr>
                <w:rFonts w:ascii="仿宋_GB2312" w:hAnsi="仿宋_GB2312" w:cs="仿宋_GB2312" w:eastAsia="仿宋_GB2312"/>
                <w:sz w:val="24"/>
              </w:rPr>
              <w:t>封套设计为纸质信封式</w:t>
            </w:r>
            <w:r>
              <w:rPr>
                <w:rFonts w:ascii="仿宋_GB2312" w:hAnsi="仿宋_GB2312" w:cs="仿宋_GB2312" w:eastAsia="仿宋_GB2312"/>
                <w:sz w:val="24"/>
              </w:rPr>
              <w:t>A4文件袋。</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4）成果形态</w:t>
            </w:r>
          </w:p>
          <w:p>
            <w:pPr>
              <w:pStyle w:val="null3"/>
              <w:ind w:firstLine="480"/>
            </w:pPr>
            <w:r>
              <w:rPr>
                <w:rFonts w:ascii="仿宋_GB2312" w:hAnsi="仿宋_GB2312" w:cs="仿宋_GB2312" w:eastAsia="仿宋_GB2312"/>
                <w:sz w:val="24"/>
              </w:rPr>
              <w:t>需提交印刷品、融媒体版（网络发布）及</w:t>
            </w:r>
            <w:r>
              <w:rPr>
                <w:rFonts w:ascii="仿宋_GB2312" w:hAnsi="仿宋_GB2312" w:cs="仿宋_GB2312" w:eastAsia="仿宋_GB2312"/>
                <w:sz w:val="24"/>
              </w:rPr>
              <w:t>PDF电子文件。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5）融媒体版（数字地图）</w:t>
            </w:r>
          </w:p>
          <w:p>
            <w:pPr>
              <w:pStyle w:val="null3"/>
              <w:ind w:firstLine="480"/>
            </w:pPr>
            <w:r>
              <w:rPr>
                <w:rFonts w:ascii="仿宋_GB2312" w:hAnsi="仿宋_GB2312" w:cs="仿宋_GB2312" w:eastAsia="仿宋_GB2312"/>
                <w:sz w:val="24"/>
              </w:rPr>
              <w:t>发</w:t>
            </w:r>
            <w:r>
              <w:rPr>
                <w:rFonts w:ascii="仿宋_GB2312" w:hAnsi="仿宋_GB2312" w:cs="仿宋_GB2312" w:eastAsia="仿宋_GB2312"/>
                <w:sz w:val="24"/>
              </w:rPr>
              <w:t xml:space="preserve">    </w:t>
            </w:r>
            <w:r>
              <w:rPr>
                <w:rFonts w:ascii="仿宋_GB2312" w:hAnsi="仿宋_GB2312" w:cs="仿宋_GB2312" w:eastAsia="仿宋_GB2312"/>
                <w:sz w:val="24"/>
              </w:rPr>
              <w:t>布：网络发布，支持手机、电脑等多终端查看。</w:t>
            </w:r>
          </w:p>
          <w:p>
            <w:pPr>
              <w:pStyle w:val="null3"/>
              <w:ind w:firstLine="480"/>
            </w:pPr>
            <w:r>
              <w:rPr>
                <w:rFonts w:ascii="仿宋_GB2312" w:hAnsi="仿宋_GB2312" w:cs="仿宋_GB2312" w:eastAsia="仿宋_GB2312"/>
                <w:sz w:val="24"/>
              </w:rPr>
              <w:t>版权保护：有相应的版权保护和舆论监测措施。</w:t>
            </w:r>
          </w:p>
          <w:p>
            <w:pPr>
              <w:pStyle w:val="null3"/>
              <w:ind w:firstLine="480"/>
            </w:pPr>
            <w:r>
              <w:rPr>
                <w:rFonts w:ascii="仿宋_GB2312" w:hAnsi="仿宋_GB2312" w:cs="仿宋_GB2312" w:eastAsia="仿宋_GB2312"/>
                <w:sz w:val="24"/>
              </w:rPr>
              <w:t>功能指标：界面可互动、数据库可编辑、可检索、可一键跳转。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6）印刷要求</w:t>
            </w:r>
          </w:p>
          <w:p>
            <w:pPr>
              <w:pStyle w:val="null3"/>
              <w:ind w:firstLine="480"/>
            </w:pPr>
            <w:r>
              <w:rPr>
                <w:rFonts w:ascii="仿宋_GB2312" w:hAnsi="仿宋_GB2312" w:cs="仿宋_GB2312" w:eastAsia="仿宋_GB2312"/>
                <w:sz w:val="24"/>
              </w:rPr>
              <w:t>用纸：地图采用</w:t>
            </w:r>
            <w:r>
              <w:rPr>
                <w:rFonts w:ascii="仿宋_GB2312" w:hAnsi="仿宋_GB2312" w:cs="仿宋_GB2312" w:eastAsia="仿宋_GB2312"/>
                <w:sz w:val="24"/>
              </w:rPr>
              <w:t>100克极致浅米特种纸，四色正反印刷。封套采用130克特种纸四色印刷，卡、糊成型，配套。</w:t>
            </w:r>
          </w:p>
          <w:p>
            <w:pPr>
              <w:pStyle w:val="null3"/>
              <w:ind w:firstLine="480"/>
            </w:pPr>
            <w:r>
              <w:rPr>
                <w:rFonts w:ascii="仿宋_GB2312" w:hAnsi="仿宋_GB2312" w:cs="仿宋_GB2312" w:eastAsia="仿宋_GB2312"/>
                <w:sz w:val="24"/>
              </w:rPr>
              <w:t>印刷方式：双面四色印刷</w:t>
            </w:r>
          </w:p>
          <w:p>
            <w:pPr>
              <w:pStyle w:val="null3"/>
              <w:ind w:firstLine="480"/>
            </w:pPr>
            <w:r>
              <w:rPr>
                <w:rFonts w:ascii="仿宋_GB2312" w:hAnsi="仿宋_GB2312" w:cs="仿宋_GB2312" w:eastAsia="仿宋_GB2312"/>
                <w:sz w:val="24"/>
              </w:rPr>
              <w:t>装订方式：成品折叠为</w:t>
            </w:r>
            <w:r>
              <w:rPr>
                <w:rFonts w:ascii="仿宋_GB2312" w:hAnsi="仿宋_GB2312" w:cs="仿宋_GB2312" w:eastAsia="仿宋_GB2312"/>
                <w:sz w:val="24"/>
              </w:rPr>
              <w:t>A4大小，与封套配套封装，独立塑封</w:t>
            </w:r>
          </w:p>
          <w:p>
            <w:pPr>
              <w:pStyle w:val="null3"/>
              <w:ind w:firstLine="480"/>
            </w:pPr>
            <w:r>
              <w:rPr>
                <w:rFonts w:ascii="仿宋_GB2312" w:hAnsi="仿宋_GB2312" w:cs="仿宋_GB2312" w:eastAsia="仿宋_GB2312"/>
                <w:sz w:val="24"/>
              </w:rPr>
              <w:t>印刷数量：</w:t>
            </w:r>
            <w:r>
              <w:rPr>
                <w:rFonts w:ascii="仿宋_GB2312" w:hAnsi="仿宋_GB2312" w:cs="仿宋_GB2312" w:eastAsia="仿宋_GB2312"/>
                <w:sz w:val="24"/>
              </w:rPr>
              <w:t>10000套。</w:t>
            </w:r>
          </w:p>
          <w:p>
            <w:pPr>
              <w:pStyle w:val="null3"/>
              <w:ind w:firstLine="482"/>
            </w:pPr>
            <w:r>
              <w:rPr>
                <w:rFonts w:ascii="仿宋_GB2312" w:hAnsi="仿宋_GB2312" w:cs="仿宋_GB2312" w:eastAsia="仿宋_GB2312"/>
                <w:sz w:val="24"/>
                <w:b/>
              </w:rPr>
              <w:t>3.《金色号角—长征与西安》（暂定名）短视频</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1）内容要求</w:t>
            </w:r>
          </w:p>
          <w:p>
            <w:pPr>
              <w:pStyle w:val="null3"/>
              <w:ind w:firstLine="480"/>
            </w:pPr>
            <w:r>
              <w:rPr>
                <w:rFonts w:ascii="仿宋_GB2312" w:hAnsi="仿宋_GB2312" w:cs="仿宋_GB2312" w:eastAsia="仿宋_GB2312"/>
                <w:sz w:val="24"/>
              </w:rPr>
              <w:t>短视频由两部短片构成，分别适用于不同的场合和不同的用途，每部短片成片</w:t>
            </w:r>
            <w:r>
              <w:rPr>
                <w:rFonts w:ascii="仿宋_GB2312" w:hAnsi="仿宋_GB2312" w:cs="仿宋_GB2312" w:eastAsia="仿宋_GB2312"/>
                <w:sz w:val="24"/>
              </w:rPr>
              <w:t>5分钟。</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2）视频格式</w:t>
            </w:r>
          </w:p>
          <w:p>
            <w:pPr>
              <w:pStyle w:val="null3"/>
              <w:ind w:firstLine="480"/>
            </w:pPr>
            <w:r>
              <w:rPr>
                <w:rFonts w:ascii="仿宋_GB2312" w:hAnsi="仿宋_GB2312" w:cs="仿宋_GB2312" w:eastAsia="仿宋_GB2312"/>
                <w:sz w:val="24"/>
              </w:rPr>
              <w:t>分辨率</w:t>
            </w:r>
            <w:r>
              <w:rPr>
                <w:rFonts w:ascii="仿宋_GB2312" w:hAnsi="仿宋_GB2312" w:cs="仿宋_GB2312" w:eastAsia="仿宋_GB2312"/>
                <w:sz w:val="24"/>
              </w:rPr>
              <w:t>:不低于4K(3840x2160)。</w:t>
            </w:r>
          </w:p>
          <w:p>
            <w:pPr>
              <w:pStyle w:val="null3"/>
              <w:ind w:firstLine="480"/>
            </w:pPr>
            <w:r>
              <w:rPr>
                <w:rFonts w:ascii="仿宋_GB2312" w:hAnsi="仿宋_GB2312" w:cs="仿宋_GB2312" w:eastAsia="仿宋_GB2312"/>
                <w:sz w:val="24"/>
              </w:rPr>
              <w:t>帧率</w:t>
            </w:r>
            <w:r>
              <w:rPr>
                <w:rFonts w:ascii="仿宋_GB2312" w:hAnsi="仿宋_GB2312" w:cs="仿宋_GB2312" w:eastAsia="仿宋_GB2312"/>
                <w:sz w:val="24"/>
              </w:rPr>
              <w:t>:25/30fps。</w:t>
            </w:r>
          </w:p>
          <w:p>
            <w:pPr>
              <w:pStyle w:val="null3"/>
              <w:ind w:firstLine="480"/>
            </w:pPr>
            <w:r>
              <w:rPr>
                <w:rFonts w:ascii="仿宋_GB2312" w:hAnsi="仿宋_GB2312" w:cs="仿宋_GB2312" w:eastAsia="仿宋_GB2312"/>
                <w:sz w:val="24"/>
              </w:rPr>
              <w:t>编码</w:t>
            </w:r>
            <w:r>
              <w:rPr>
                <w:rFonts w:ascii="仿宋_GB2312" w:hAnsi="仿宋_GB2312" w:cs="仿宋_GB2312" w:eastAsia="仿宋_GB2312"/>
                <w:sz w:val="24"/>
              </w:rPr>
              <w:t>:H.264/H.265，码率不低于50Mbps。</w:t>
            </w:r>
          </w:p>
          <w:p>
            <w:pPr>
              <w:pStyle w:val="null3"/>
              <w:ind w:firstLine="480"/>
            </w:pPr>
            <w:r>
              <w:rPr>
                <w:rFonts w:ascii="仿宋_GB2312" w:hAnsi="仿宋_GB2312" w:cs="仿宋_GB2312" w:eastAsia="仿宋_GB2312"/>
                <w:sz w:val="24"/>
              </w:rPr>
              <w:t>交付格式</w:t>
            </w:r>
            <w:r>
              <w:rPr>
                <w:rFonts w:ascii="仿宋_GB2312" w:hAnsi="仿宋_GB2312" w:cs="仿宋_GB2312" w:eastAsia="仿宋_GB2312"/>
                <w:sz w:val="24"/>
              </w:rPr>
              <w:t>:MP4/MOV。</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3）音频格式</w:t>
            </w:r>
          </w:p>
          <w:p>
            <w:pPr>
              <w:pStyle w:val="null3"/>
              <w:ind w:firstLine="480"/>
            </w:pPr>
            <w:r>
              <w:rPr>
                <w:rFonts w:ascii="仿宋_GB2312" w:hAnsi="仿宋_GB2312" w:cs="仿宋_GB2312" w:eastAsia="仿宋_GB2312"/>
                <w:sz w:val="24"/>
              </w:rPr>
              <w:t>采样率</w:t>
            </w:r>
            <w:r>
              <w:rPr>
                <w:rFonts w:ascii="仿宋_GB2312" w:hAnsi="仿宋_GB2312" w:cs="仿宋_GB2312" w:eastAsia="仿宋_GB2312"/>
                <w:sz w:val="24"/>
              </w:rPr>
              <w:t>:48kHz。</w:t>
            </w:r>
          </w:p>
          <w:p>
            <w:pPr>
              <w:pStyle w:val="null3"/>
              <w:ind w:firstLine="480"/>
            </w:pPr>
            <w:r>
              <w:rPr>
                <w:rFonts w:ascii="仿宋_GB2312" w:hAnsi="仿宋_GB2312" w:cs="仿宋_GB2312" w:eastAsia="仿宋_GB2312"/>
                <w:sz w:val="24"/>
              </w:rPr>
              <w:t>声道</w:t>
            </w:r>
            <w:r>
              <w:rPr>
                <w:rFonts w:ascii="仿宋_GB2312" w:hAnsi="仿宋_GB2312" w:cs="仿宋_GB2312" w:eastAsia="仿宋_GB2312"/>
                <w:sz w:val="24"/>
              </w:rPr>
              <w:t>:立体声。</w:t>
            </w:r>
          </w:p>
          <w:p>
            <w:pPr>
              <w:pStyle w:val="null3"/>
              <w:ind w:firstLine="480"/>
            </w:pPr>
            <w:r>
              <w:rPr>
                <w:rFonts w:ascii="仿宋_GB2312" w:hAnsi="仿宋_GB2312" w:cs="仿宋_GB2312" w:eastAsia="仿宋_GB2312"/>
                <w:sz w:val="24"/>
              </w:rPr>
              <w:t>配音要求</w:t>
            </w:r>
            <w:r>
              <w:rPr>
                <w:rFonts w:ascii="仿宋_GB2312" w:hAnsi="仿宋_GB2312" w:cs="仿宋_GB2312" w:eastAsia="仿宋_GB2312"/>
                <w:sz w:val="24"/>
              </w:rPr>
              <w:t>:普通话标准，情感充沛。</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4）视觉风格</w:t>
            </w:r>
          </w:p>
          <w:p>
            <w:pPr>
              <w:pStyle w:val="null3"/>
              <w:ind w:firstLine="480"/>
            </w:pPr>
            <w:r>
              <w:rPr>
                <w:rFonts w:ascii="仿宋_GB2312" w:hAnsi="仿宋_GB2312" w:cs="仿宋_GB2312" w:eastAsia="仿宋_GB2312"/>
                <w:sz w:val="24"/>
              </w:rPr>
              <w:t>色调</w:t>
            </w:r>
            <w:r>
              <w:rPr>
                <w:rFonts w:ascii="仿宋_GB2312" w:hAnsi="仿宋_GB2312" w:cs="仿宋_GB2312" w:eastAsia="仿宋_GB2312"/>
                <w:sz w:val="24"/>
              </w:rPr>
              <w:t>:厚重温暖，兼具历史感与明快节奏。</w:t>
            </w:r>
          </w:p>
          <w:p>
            <w:pPr>
              <w:pStyle w:val="null3"/>
              <w:ind w:firstLine="480"/>
            </w:pPr>
            <w:r>
              <w:rPr>
                <w:rFonts w:ascii="仿宋_GB2312" w:hAnsi="仿宋_GB2312" w:cs="仿宋_GB2312" w:eastAsia="仿宋_GB2312"/>
                <w:sz w:val="24"/>
              </w:rPr>
              <w:t>拍摄手法</w:t>
            </w:r>
            <w:r>
              <w:rPr>
                <w:rFonts w:ascii="仿宋_GB2312" w:hAnsi="仿宋_GB2312" w:cs="仿宋_GB2312" w:eastAsia="仿宋_GB2312"/>
                <w:sz w:val="24"/>
              </w:rPr>
              <w:t>:需包含无人机航拍、地面实拍。</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5）后期剪辑</w:t>
            </w:r>
          </w:p>
          <w:p>
            <w:pPr>
              <w:pStyle w:val="null3"/>
              <w:ind w:firstLine="480"/>
            </w:pPr>
            <w:r>
              <w:rPr>
                <w:rFonts w:ascii="仿宋_GB2312" w:hAnsi="仿宋_GB2312" w:cs="仿宋_GB2312" w:eastAsia="仿宋_GB2312"/>
                <w:sz w:val="24"/>
              </w:rPr>
              <w:t>剪辑：舒缓、厚重的叙事节奏，转场自然无卡顿、音图文匹配。</w:t>
            </w:r>
          </w:p>
          <w:p>
            <w:pPr>
              <w:pStyle w:val="null3"/>
              <w:ind w:firstLine="480"/>
            </w:pPr>
            <w:r>
              <w:rPr>
                <w:rFonts w:ascii="仿宋_GB2312" w:hAnsi="仿宋_GB2312" w:cs="仿宋_GB2312" w:eastAsia="仿宋_GB2312"/>
                <w:sz w:val="24"/>
              </w:rPr>
              <w:t>特效：自然流畅。</w:t>
            </w:r>
          </w:p>
          <w:p>
            <w:pPr>
              <w:pStyle w:val="null3"/>
            </w:pPr>
            <w:r>
              <w:rPr>
                <w:rFonts w:ascii="仿宋_GB2312" w:hAnsi="仿宋_GB2312" w:cs="仿宋_GB2312" w:eastAsia="仿宋_GB2312"/>
                <w:sz w:val="24"/>
              </w:rPr>
              <w:t>调色：契合主题的电影感风格。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中共西安市委党史研究室。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预付款，合同签订后，乙方开具等额增值税发票，甲方验票无误后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进度款，所有服务内容通过验收后，达到付款条件起10个工作日内，支付合同总金额的20.0%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 （2）在诉讼期间，除正在进行诉讼部分外，合同其他部分继续执行。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贰份。若电子投标文件 与纸质投标文件不一致的，以线上提交的电子投标文件为准。 1.线下提交投标文件地点：西安市高新区唐延路旺座现代城C座25楼2502室 2.联系电话：029-88319689转8003/8005；邮箱：sxwzzb04@163.com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近一年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供应商提供开标前近一年内已缴纳的至少一个月的纳税证明或完税证明，依法免税的单位应提供相关证明材料（以税款所属期为准）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开标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测绘甲级资质</w:t>
            </w:r>
          </w:p>
        </w:tc>
        <w:tc>
          <w:tcPr>
            <w:tcW w:type="dxa" w:w="3322"/>
          </w:tcPr>
          <w:p>
            <w:pPr>
              <w:pStyle w:val="null3"/>
            </w:pPr>
            <w:r>
              <w:rPr>
                <w:rFonts w:ascii="仿宋_GB2312" w:hAnsi="仿宋_GB2312" w:cs="仿宋_GB2312" w:eastAsia="仿宋_GB2312"/>
              </w:rPr>
              <w:t>具有国家测绘行政主管部门颁发的测绘甲级资质，且包含地图编制专业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供应商名称是否与主体资格证书及公章一致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画册项目方案.docx 业绩.docx 中小企业声明函 承诺书.docx 报价表 拟投入人员.docx 响应文件封面 短视频项目方案.docx 供应商应提交的相关资格证明材料.docx 残疾人福利性单位声明函 服务响应偏离表.docx 总体服务方案.docx 供应商认为有必要说明的其他问题.docx 标的清单 路线图项目方案.docx 响应函 商务偏离表.docx 监狱企业的证明文件 服务质量保障.docx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评审内容：供应商提出针对于本项目的总体服务方案，方案内容包含：①对本项目服务背景、目标的理解；②对本项目服务内容及要求理解；③技术力量的配备；④进度计划；⑤技术保障措施。 扣分规则：未涵盖上述核心内容中任意一类的，扣3.0分；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画册项目方案</w:t>
            </w:r>
          </w:p>
        </w:tc>
        <w:tc>
          <w:tcPr>
            <w:tcW w:type="dxa" w:w="2492"/>
          </w:tcPr>
          <w:p>
            <w:pPr>
              <w:pStyle w:val="null3"/>
            </w:pPr>
            <w:r>
              <w:rPr>
                <w:rFonts w:ascii="仿宋_GB2312" w:hAnsi="仿宋_GB2312" w:cs="仿宋_GB2312" w:eastAsia="仿宋_GB2312"/>
              </w:rPr>
              <w:t>评审内容：①符合画册内容要求，老照片、地图、实地拍摄补充方案合理，版权无纠纷，逻辑体系完整，主题突出；②设计风格符合简约端庄要求，融媒体入口设计巧妙，规格、用纸、印刷、装订等符合要求；③H5功能、发布要求、版权保护符合规定，成果形态（印刷品、H5、PDF）齐全，交付方案合理。 扣分规则：未涵盖上述核心内容中任意一类的，扣6.0分；方案存在以下缺陷之一的，扣1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画册项目方案.docx</w:t>
            </w:r>
          </w:p>
        </w:tc>
      </w:tr>
      <w:tr>
        <w:tc>
          <w:tcPr>
            <w:tcW w:type="dxa" w:w="831"/>
            <w:vMerge/>
          </w:tcPr>
          <w:p/>
        </w:tc>
        <w:tc>
          <w:tcPr>
            <w:tcW w:type="dxa" w:w="1661"/>
          </w:tcPr>
          <w:p>
            <w:pPr>
              <w:pStyle w:val="null3"/>
            </w:pPr>
            <w:r>
              <w:rPr>
                <w:rFonts w:ascii="仿宋_GB2312" w:hAnsi="仿宋_GB2312" w:cs="仿宋_GB2312" w:eastAsia="仿宋_GB2312"/>
              </w:rPr>
              <w:t>路线图项目方案</w:t>
            </w:r>
          </w:p>
        </w:tc>
        <w:tc>
          <w:tcPr>
            <w:tcW w:type="dxa" w:w="2492"/>
          </w:tcPr>
          <w:p>
            <w:pPr>
              <w:pStyle w:val="null3"/>
            </w:pPr>
            <w:r>
              <w:rPr>
                <w:rFonts w:ascii="仿宋_GB2312" w:hAnsi="仿宋_GB2312" w:cs="仿宋_GB2312" w:eastAsia="仿宋_GB2312"/>
              </w:rPr>
              <w:t>评审内容：①准确呈现五支红军活动轨迹与历史贡献，点位准确、名称规范，填补历史地理可视化空白；②设计风格庄重简朴，主色调、地形还原、路线绘制、线描插图符合要求，规格、封套设计符合规定；③数字地图功能、发布要求、版权保护符合规定，成果形态齐全，交付方案合理。 扣分规则：未涵盖上述核心内容中任意一类的，扣6.0分；方案存在以下缺陷之一的，扣1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路线图项目方案.docx</w:t>
            </w:r>
          </w:p>
        </w:tc>
      </w:tr>
      <w:tr>
        <w:tc>
          <w:tcPr>
            <w:tcW w:type="dxa" w:w="831"/>
            <w:vMerge/>
          </w:tcPr>
          <w:p/>
        </w:tc>
        <w:tc>
          <w:tcPr>
            <w:tcW w:type="dxa" w:w="1661"/>
          </w:tcPr>
          <w:p>
            <w:pPr>
              <w:pStyle w:val="null3"/>
            </w:pPr>
            <w:r>
              <w:rPr>
                <w:rFonts w:ascii="仿宋_GB2312" w:hAnsi="仿宋_GB2312" w:cs="仿宋_GB2312" w:eastAsia="仿宋_GB2312"/>
              </w:rPr>
              <w:t>短视频项目方案</w:t>
            </w:r>
          </w:p>
        </w:tc>
        <w:tc>
          <w:tcPr>
            <w:tcW w:type="dxa" w:w="2492"/>
          </w:tcPr>
          <w:p>
            <w:pPr>
              <w:pStyle w:val="null3"/>
            </w:pPr>
            <w:r>
              <w:rPr>
                <w:rFonts w:ascii="仿宋_GB2312" w:hAnsi="仿宋_GB2312" w:cs="仿宋_GB2312" w:eastAsia="仿宋_GB2312"/>
              </w:rPr>
              <w:t>评审内容：①符合两部10分钟短片要求，视频、音频格式（分辨率、帧率、编码等）全部达标；②色调贴合主题，包含无人机航拍、地面实拍，视觉效果厚重有历史感；③剪辑流畅、转场自然，特效贴合主题，配音标准有情感，调色符合电影感风格。 扣分规则：未涵盖上述核心内容中任意一类的，扣4.0分；方案存在以下缺陷之一的，扣1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短视频项目方案.docx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评审内容：①项目相关组织策划人员配置；②项目设计人员配置；③项目文案编辑人员配置评审；④项目视频图片拍摄、制作人员配置评审。 扣分规则：未涵盖上述核心内容中任意一类的，扣3.0分；存在以下缺陷之一的，扣0.5分/处，扣完为止：①人员配备不合理或不完善；②表述前后不一致；③可实施性、针对性不强；④不能满足本项目采购需求；⑤与本项目需求不匹配；⑥其他不利于项目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评审内容：①有完善的服务保障措施，包括组织保障、人员保障、设备保障；②制定严格的内容发布、审核流程，项目实施进度安排具体、合理。 扣分规则：未涵盖上述核心内容中任意一类的，扣5.0分；方案存在以下缺陷之一的，扣1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供应商提供2023年1月1日（以合同签订时间为准）至今类似项目业绩，业绩以合同为依据，响应文件中附有其证明资料，每提供一个业绩证明计1分，满分5分。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满足磋商文件要求,以本次最低有效报价为基准价，其价格分为满分。报价得分=（评审基准价 ／投标报价）×10%×100。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详见附件：画册项目方案.docx</w:t>
      </w:r>
    </w:p>
    <w:p>
      <w:pPr>
        <w:pStyle w:val="null3"/>
        <w:ind w:firstLine="960"/>
      </w:pPr>
      <w:r>
        <w:rPr>
          <w:rFonts w:ascii="仿宋_GB2312" w:hAnsi="仿宋_GB2312" w:cs="仿宋_GB2312" w:eastAsia="仿宋_GB2312"/>
        </w:rPr>
        <w:t>详见附件：路线图项目方案.docx</w:t>
      </w:r>
    </w:p>
    <w:p>
      <w:pPr>
        <w:pStyle w:val="null3"/>
        <w:ind w:firstLine="960"/>
      </w:pPr>
      <w:r>
        <w:rPr>
          <w:rFonts w:ascii="仿宋_GB2312" w:hAnsi="仿宋_GB2312" w:cs="仿宋_GB2312" w:eastAsia="仿宋_GB2312"/>
        </w:rPr>
        <w:t>详见附件：短视频项目方案.docx</w:t>
      </w:r>
    </w:p>
    <w:p>
      <w:pPr>
        <w:pStyle w:val="null3"/>
        <w:ind w:firstLine="960"/>
      </w:pPr>
      <w:r>
        <w:rPr>
          <w:rFonts w:ascii="仿宋_GB2312" w:hAnsi="仿宋_GB2312" w:cs="仿宋_GB2312" w:eastAsia="仿宋_GB2312"/>
        </w:rPr>
        <w:t>详见附件：拟投入人员.docx</w:t>
      </w:r>
    </w:p>
    <w:p>
      <w:pPr>
        <w:pStyle w:val="null3"/>
        <w:ind w:firstLine="960"/>
      </w:pPr>
      <w:r>
        <w:rPr>
          <w:rFonts w:ascii="仿宋_GB2312" w:hAnsi="仿宋_GB2312" w:cs="仿宋_GB2312" w:eastAsia="仿宋_GB2312"/>
        </w:rPr>
        <w:t>详见附件：服务质量保障.docx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