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版本号：XHZB-26-02220260428001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郭杜卫生院餐饮服务项目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XHZB-26-022</w:t>
      </w:r>
      <w:r>
        <w:br/>
      </w:r>
      <w:r>
        <w:br/>
      </w:r>
      <w:r>
        <w:br/>
      </w:r>
    </w:p>
    <w:p>
      <w:pPr>
        <w:pStyle w:val="null3"/>
        <w:jc w:val="center"/>
        <w:outlineLvl w:val="2"/>
      </w:pPr>
      <w:r>
        <w:rPr>
          <w:rFonts w:ascii="仿宋_GB2312" w:hAnsi="仿宋_GB2312" w:cs="仿宋_GB2312" w:eastAsia="仿宋_GB2312"/>
          <w:sz w:val="28"/>
          <w:b/>
        </w:rPr>
        <w:t>西安市长安区郭杜街道中心卫生院</w:t>
      </w:r>
    </w:p>
    <w:p>
      <w:pPr>
        <w:pStyle w:val="null3"/>
        <w:jc w:val="center"/>
        <w:outlineLvl w:val="2"/>
      </w:pPr>
      <w:r>
        <w:rPr>
          <w:rFonts w:ascii="仿宋_GB2312" w:hAnsi="仿宋_GB2312" w:cs="仿宋_GB2312" w:eastAsia="仿宋_GB2312"/>
          <w:sz w:val="28"/>
          <w:b/>
        </w:rPr>
        <w:t>信宏工程咨询有限公司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信宏工程咨询有限公司</w:t>
      </w:r>
      <w:r>
        <w:rPr>
          <w:rFonts w:ascii="仿宋_GB2312" w:hAnsi="仿宋_GB2312" w:cs="仿宋_GB2312" w:eastAsia="仿宋_GB2312"/>
        </w:rPr>
        <w:t>（以下简称“代理机构”）受</w:t>
      </w:r>
      <w:r>
        <w:rPr>
          <w:rFonts w:ascii="仿宋_GB2312" w:hAnsi="仿宋_GB2312" w:cs="仿宋_GB2312" w:eastAsia="仿宋_GB2312"/>
        </w:rPr>
        <w:t>西安市长安区郭杜街道中心卫生院</w:t>
      </w:r>
      <w:r>
        <w:rPr>
          <w:rFonts w:ascii="仿宋_GB2312" w:hAnsi="仿宋_GB2312" w:cs="仿宋_GB2312" w:eastAsia="仿宋_GB2312"/>
        </w:rPr>
        <w:t>委托，拟对</w:t>
      </w:r>
      <w:r>
        <w:rPr>
          <w:rFonts w:ascii="仿宋_GB2312" w:hAnsi="仿宋_GB2312" w:cs="仿宋_GB2312" w:eastAsia="仿宋_GB2312"/>
        </w:rPr>
        <w:t>郭杜卫生院餐饮服务项目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XHZB-26-022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郭杜卫生院餐饮服务项目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郭杜卫生院餐饮服务项目主要为全院三个餐厅提供三餐服务（包含餐食加工，食材存储管理，餐厅人员管理，餐厅及餐厅、储物间、洗涤间及餐厅周边等卫生保洁消毒等），因医疗行业特殊，节假日也需要提供相应餐饮服务保障医院职工正常用餐。且服务人员需要具备健康证件，确保餐饮服务的质量和食品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采购包1（郭杜卫生院餐饮服务项目）：属于专门面向中小企业采购。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财务状况报告：法人提供经审计的2024年度或2025年度完整的财务报告（带二维码），应满足以下要求：须提供会计师事务所出具的审计报告复印件,复印件至少须包括报告正文、资产负债表、现金流量表、利润表、附注和会计师事务所营业执照，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3、社会保障资金缴纳证明：截止磋商时间前六个月内任意一个月的社会保障资金缴存单据或社保机构开具的社会保险参保缴费情况证明；依法不需要缴纳社会保障资金的投标人应提供相关文件证明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4、税收缴纳证明：截止磋商时间前六个月内任意一个月的纳税证明或完税证明（任意税种），纳税证明或完税证明上应有代收机构或税务机关的公章或业务专用章；依法免税的投标人应提供相关文件证明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5、信用主体查询及声明：供应商供应商不得为“信用中国”列入重大税收违法失信主体的供应商，不得为“中国执行信息公开网”网站中失信被执行人，不得为“中国政府采购网”政府采购严重违法失信行为记录名单中被财政部门禁止参加政府采购活动的供应商；供应商应提供参加本次政府采购活动前3年内在经营活动中没有重大违纪、未被列入失信被执行人、重大税收违法案件当事人名单、政府采购严重违法失信行为记录名单的书面声明。（以采购代理机构在响应文件递交截止时间后当天查询记录为准）</w:t>
      </w:r>
    </w:p>
    <w:p>
      <w:pPr>
        <w:pStyle w:val="null3"/>
      </w:pPr>
      <w:r>
        <w:rPr>
          <w:rFonts w:ascii="仿宋_GB2312" w:hAnsi="仿宋_GB2312" w:cs="仿宋_GB2312" w:eastAsia="仿宋_GB2312"/>
        </w:rPr>
        <w:t>6、提供具有履行本项目合同所必需的设备和专业能力的证明材料：提供具有履行本项目合同所必需的设备和专业能力的承诺</w:t>
      </w:r>
    </w:p>
    <w:p>
      <w:pPr>
        <w:pStyle w:val="null3"/>
      </w:pPr>
      <w:r>
        <w:rPr>
          <w:rFonts w:ascii="仿宋_GB2312" w:hAnsi="仿宋_GB2312" w:cs="仿宋_GB2312" w:eastAsia="仿宋_GB2312"/>
        </w:rPr>
        <w:t>7、法定代表人身份证明书/法定代表人授权委托书：法定代表人授权书及被授权人截止磋商时间前六个月内任意一个月的社保缴纳证明（法定代表人直接参加磋商，须提供法定代表人身份证明）</w:t>
      </w:r>
    </w:p>
    <w:p>
      <w:pPr>
        <w:pStyle w:val="null3"/>
      </w:pPr>
      <w:r>
        <w:rPr>
          <w:rFonts w:ascii="仿宋_GB2312" w:hAnsi="仿宋_GB2312" w:cs="仿宋_GB2312" w:eastAsia="仿宋_GB2312"/>
        </w:rPr>
        <w:t>8、其他要求：（1）单位负责人为同一人或者存在直接控股、管理关系的不同供应商，不得同时参加同一合同项下的政府采购活动。供应商需在项目电子化交易系统中按要求填写《响应函》完成承诺并进行电子签章； （2）为本项目提供整体设计、规范编制或者项目管理、监理、检测等服务的供应商，不得再参加该采购项目的其他采购活动。供应商需在项目电子化交易系统中按要求填写《响应函》完成承诺并进行电子签章</w:t>
      </w:r>
    </w:p>
    <w:p>
      <w:pPr>
        <w:pStyle w:val="null3"/>
      </w:pPr>
      <w:r>
        <w:rPr>
          <w:rFonts w:ascii="仿宋_GB2312" w:hAnsi="仿宋_GB2312" w:cs="仿宋_GB2312" w:eastAsia="仿宋_GB2312"/>
        </w:rPr>
        <w:t>9、联合体：本项目不接受联合体磋商，不允许分包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西安市长安区郭杜街道中心卫生院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西安市长安区郭杜东街104号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029-85843338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信宏工程咨询有限公司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西安市曲江新区雁翔路曲江文创中心第7幢1单元24层12404号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万仕彬、耿萍、田丰原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029-88185520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成交)服务费以中标（成交）金额为基数，参照国家计委关于印发《招标代理服务收费管理暂行办法》的通知（计价格〔2002〕1980号）、《国家发展和改革委员会办公厅关于招标代理服务收费有关问题的通知》（发改办价格〔2003〕857号）计算收取采购代理服务费（属性：服务类）。 2、费用由中标（成交）供应商向代理人支付。 3、中标（成交）供应商在领取中标（成交）通知书前，须一次性向代理人支付中标（成交）代理服务费。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西安市长安区郭杜街道中心卫生院</w:t>
      </w:r>
      <w:r>
        <w:rPr>
          <w:rFonts w:ascii="仿宋_GB2312" w:hAnsi="仿宋_GB2312" w:cs="仿宋_GB2312" w:eastAsia="仿宋_GB2312"/>
        </w:rPr>
        <w:t>和</w:t>
      </w:r>
      <w:r>
        <w:rPr>
          <w:rFonts w:ascii="仿宋_GB2312" w:hAnsi="仿宋_GB2312" w:cs="仿宋_GB2312" w:eastAsia="仿宋_GB2312"/>
        </w:rPr>
        <w:t>信宏工程咨询有限公司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西安市长安区郭杜街道中心卫生院</w:t>
      </w:r>
      <w:r>
        <w:rPr>
          <w:rFonts w:ascii="仿宋_GB2312" w:hAnsi="仿宋_GB2312" w:cs="仿宋_GB2312" w:eastAsia="仿宋_GB2312"/>
        </w:rPr>
        <w:t>负责解释。除上述磋商文件内容，其他内容由</w:t>
      </w:r>
      <w:r>
        <w:rPr>
          <w:rFonts w:ascii="仿宋_GB2312" w:hAnsi="仿宋_GB2312" w:cs="仿宋_GB2312" w:eastAsia="仿宋_GB2312"/>
        </w:rPr>
        <w:t>信宏工程咨询有限公司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西安市长安区郭杜街道中心卫生院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信宏工程咨询有限公司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联系人：万仕彬、耿萍、田丰原</w:t>
      </w:r>
    </w:p>
    <w:p>
      <w:pPr>
        <w:pStyle w:val="null3"/>
      </w:pPr>
      <w:r>
        <w:rPr>
          <w:rFonts w:ascii="仿宋_GB2312" w:hAnsi="仿宋_GB2312" w:cs="仿宋_GB2312" w:eastAsia="仿宋_GB2312"/>
        </w:rPr>
        <w:t>联系电话：029-88185520</w:t>
      </w:r>
    </w:p>
    <w:p>
      <w:pPr>
        <w:pStyle w:val="null3"/>
      </w:pPr>
      <w:r>
        <w:rPr>
          <w:rFonts w:ascii="仿宋_GB2312" w:hAnsi="仿宋_GB2312" w:cs="仿宋_GB2312" w:eastAsia="仿宋_GB2312"/>
        </w:rPr>
        <w:t>地址：西安市曲江新区雁翔路曲江文创中心第7幢1单元24层12404号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郭杜卫生院餐饮服务项目主要为全院三个餐厅提供三餐服务（包含餐食加工，食材存储管理，餐厅人员管理，餐厅及餐厅、储物间、洗涤间及餐厅周边等卫生保洁消毒等），因医疗行业特殊，节假日也需要提供相应餐饮服务保障医院职工正常用餐。且服务人员需要具备健康证件，确保餐饮服务的质量和食品安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餐饮服务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标的名称：餐饮服务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b/>
              </w:rPr>
              <w:t>服务内容：</w:t>
            </w:r>
          </w:p>
          <w:p>
            <w:pPr>
              <w:pStyle w:val="null3"/>
              <w:jc w:val="both"/>
            </w:pPr>
            <w:r>
              <w:rPr>
                <w:rFonts w:ascii="仿宋_GB2312" w:hAnsi="仿宋_GB2312" w:cs="仿宋_GB2312" w:eastAsia="仿宋_GB2312"/>
                <w:sz w:val="18"/>
              </w:rPr>
              <w:t>西安市长安区郭杜街道中心卫生院餐饮服务项目主要包含为以下三个餐厅提供劳务服务：</w:t>
            </w:r>
          </w:p>
          <w:p>
            <w:pPr>
              <w:pStyle w:val="null3"/>
              <w:jc w:val="both"/>
            </w:pPr>
            <w:r>
              <w:rPr>
                <w:rFonts w:ascii="仿宋_GB2312" w:hAnsi="仿宋_GB2312" w:cs="仿宋_GB2312" w:eastAsia="仿宋_GB2312"/>
                <w:sz w:val="18"/>
              </w:rPr>
              <w:t>1、悅美国际职工餐厅就餐人数70到80人，配备大厨不少于1名，帮厨不少干2名；</w:t>
            </w:r>
          </w:p>
          <w:p>
            <w:pPr>
              <w:pStyle w:val="null3"/>
              <w:jc w:val="both"/>
            </w:pPr>
            <w:r>
              <w:rPr>
                <w:rFonts w:ascii="仿宋_GB2312" w:hAnsi="仿宋_GB2312" w:cs="仿宋_GB2312" w:eastAsia="仿宋_GB2312"/>
                <w:sz w:val="18"/>
              </w:rPr>
              <w:t>2、郭杜翰林社区卫生服务站餐厅，就餐人数45到50人，配备大厨不少于1名，帮厨不少于1名；</w:t>
            </w:r>
          </w:p>
          <w:p>
            <w:pPr>
              <w:pStyle w:val="null3"/>
              <w:jc w:val="both"/>
            </w:pPr>
            <w:r>
              <w:rPr>
                <w:rFonts w:ascii="仿宋_GB2312" w:hAnsi="仿宋_GB2312" w:cs="仿宋_GB2312" w:eastAsia="仿宋_GB2312"/>
                <w:sz w:val="18"/>
              </w:rPr>
              <w:t>3、锦湖社区卫生服务中心餐厅，就餐人数23人到28人，配备大厨不少于1名。</w:t>
            </w:r>
          </w:p>
          <w:p>
            <w:pPr>
              <w:pStyle w:val="null3"/>
              <w:jc w:val="left"/>
            </w:pPr>
            <w:r>
              <w:rPr>
                <w:rFonts w:ascii="仿宋_GB2312" w:hAnsi="仿宋_GB2312" w:cs="仿宋_GB2312" w:eastAsia="仿宋_GB2312"/>
                <w:sz w:val="18"/>
              </w:rPr>
              <w:t>服务商接受委托后不得再转包或分包给第三方。服务商主要负责餐食加工（一日三餐），食材存储管理，餐厅人员管理，餐厅、储物间、洗涤间周边等卫生保洁消毒以及送餐等</w:t>
            </w:r>
            <w:r>
              <w:rPr>
                <w:rFonts w:ascii="仿宋_GB2312" w:hAnsi="仿宋_GB2312" w:cs="仿宋_GB2312" w:eastAsia="仿宋_GB2312"/>
                <w:sz w:val="18"/>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b/>
              </w:rPr>
              <w:t>服务期限、地点：</w:t>
            </w:r>
          </w:p>
          <w:p>
            <w:pPr>
              <w:pStyle w:val="null3"/>
              <w:jc w:val="left"/>
            </w:pPr>
            <w:r>
              <w:rPr>
                <w:rFonts w:ascii="仿宋_GB2312" w:hAnsi="仿宋_GB2312" w:cs="仿宋_GB2312" w:eastAsia="仿宋_GB2312"/>
                <w:sz w:val="18"/>
              </w:rPr>
              <w:t>服务期限：合同签订后</w:t>
            </w:r>
            <w:r>
              <w:rPr>
                <w:rFonts w:ascii="仿宋_GB2312" w:hAnsi="仿宋_GB2312" w:cs="仿宋_GB2312" w:eastAsia="仿宋_GB2312"/>
                <w:sz w:val="18"/>
              </w:rPr>
              <w:t>12个月；</w:t>
            </w:r>
          </w:p>
          <w:p>
            <w:pPr>
              <w:pStyle w:val="null3"/>
            </w:pPr>
            <w:r>
              <w:rPr>
                <w:rFonts w:ascii="仿宋_GB2312" w:hAnsi="仿宋_GB2312" w:cs="仿宋_GB2312" w:eastAsia="仿宋_GB2312"/>
                <w:sz w:val="18"/>
              </w:rPr>
              <w:t>服务地点：采购人指定地点。</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b/>
              </w:rPr>
              <w:t>服务要求：</w:t>
            </w:r>
          </w:p>
          <w:p>
            <w:pPr>
              <w:pStyle w:val="null3"/>
              <w:jc w:val="both"/>
            </w:pPr>
            <w:r>
              <w:rPr>
                <w:rFonts w:ascii="仿宋_GB2312" w:hAnsi="仿宋_GB2312" w:cs="仿宋_GB2312" w:eastAsia="仿宋_GB2312"/>
              </w:rPr>
              <w:t>1、供餐要求：</w:t>
            </w:r>
          </w:p>
          <w:p>
            <w:pPr>
              <w:pStyle w:val="null3"/>
              <w:jc w:val="both"/>
            </w:pPr>
            <w:r>
              <w:rPr>
                <w:rFonts w:ascii="仿宋_GB2312" w:hAnsi="仿宋_GB2312" w:cs="仿宋_GB2312" w:eastAsia="仿宋_GB2312"/>
              </w:rPr>
              <w:t>全年</w:t>
            </w:r>
            <w:r>
              <w:rPr>
                <w:rFonts w:ascii="仿宋_GB2312" w:hAnsi="仿宋_GB2312" w:cs="仿宋_GB2312" w:eastAsia="仿宋_GB2312"/>
              </w:rPr>
              <w:t>365天运营，24小时供餐保障。</w:t>
            </w:r>
          </w:p>
          <w:p>
            <w:pPr>
              <w:pStyle w:val="null3"/>
              <w:jc w:val="both"/>
            </w:pPr>
            <w:r>
              <w:rPr>
                <w:rFonts w:ascii="仿宋_GB2312" w:hAnsi="仿宋_GB2312" w:cs="仿宋_GB2312" w:eastAsia="仿宋_GB2312"/>
              </w:rPr>
              <w:t>2、供餐内容：</w:t>
            </w:r>
          </w:p>
          <w:p>
            <w:pPr>
              <w:pStyle w:val="null3"/>
              <w:jc w:val="both"/>
            </w:pPr>
            <w:r>
              <w:rPr>
                <w:rFonts w:ascii="仿宋_GB2312" w:hAnsi="仿宋_GB2312" w:cs="仿宋_GB2312" w:eastAsia="仿宋_GB2312"/>
              </w:rPr>
              <w:t>早餐：菜品</w:t>
            </w:r>
            <w:r>
              <w:rPr>
                <w:rFonts w:ascii="仿宋_GB2312" w:hAnsi="仿宋_GB2312" w:cs="仿宋_GB2312" w:eastAsia="仿宋_GB2312"/>
              </w:rPr>
              <w:t>2种，其中热菜1种、手拌菜1种；稀饭1种；五谷豆浆／牛奶】种：主食1种、小吃1种（炸、蒸、烙类小吃）；鸡蛋1种（蒸、五香、煎）。</w:t>
            </w:r>
          </w:p>
          <w:p>
            <w:pPr>
              <w:pStyle w:val="null3"/>
              <w:jc w:val="both"/>
            </w:pPr>
            <w:r>
              <w:rPr>
                <w:rFonts w:ascii="仿宋_GB2312" w:hAnsi="仿宋_GB2312" w:cs="仿宋_GB2312" w:eastAsia="仿宋_GB2312"/>
              </w:rPr>
              <w:t>午餐：菜品不少于</w:t>
            </w:r>
            <w:r>
              <w:rPr>
                <w:rFonts w:ascii="仿宋_GB2312" w:hAnsi="仿宋_GB2312" w:cs="仿宋_GB2312" w:eastAsia="仿宋_GB2312"/>
              </w:rPr>
              <w:t>3种，其中主荤菜1种、半荤菜1种、素菜1种；汤品1种；主食1种、面食1种；小吃杂粮1种；奶制品1种。</w:t>
            </w:r>
          </w:p>
          <w:p>
            <w:pPr>
              <w:pStyle w:val="null3"/>
              <w:jc w:val="both"/>
            </w:pPr>
            <w:r>
              <w:rPr>
                <w:rFonts w:ascii="仿宋_GB2312" w:hAnsi="仿宋_GB2312" w:cs="仿宋_GB2312" w:eastAsia="仿宋_GB2312"/>
              </w:rPr>
              <w:t>晚餐：热菜</w:t>
            </w:r>
            <w:r>
              <w:rPr>
                <w:rFonts w:ascii="仿宋_GB2312" w:hAnsi="仿宋_GB2312" w:cs="仿宋_GB2312" w:eastAsia="仿宋_GB2312"/>
              </w:rPr>
              <w:t>1种；主食1种；稀饭1种、饼类1种。</w:t>
            </w:r>
          </w:p>
          <w:p>
            <w:pPr>
              <w:pStyle w:val="null3"/>
              <w:jc w:val="both"/>
            </w:pPr>
            <w:r>
              <w:rPr>
                <w:rFonts w:ascii="仿宋_GB2312" w:hAnsi="仿宋_GB2312" w:cs="仿宋_GB2312" w:eastAsia="仿宋_GB2312"/>
              </w:rPr>
              <w:t>3、质量要求：</w:t>
            </w:r>
          </w:p>
          <w:p>
            <w:pPr>
              <w:pStyle w:val="null3"/>
              <w:jc w:val="both"/>
            </w:pPr>
            <w:r>
              <w:rPr>
                <w:rFonts w:ascii="仿宋_GB2312" w:hAnsi="仿宋_GB2312" w:cs="仿宋_GB2312" w:eastAsia="仿宋_GB2312"/>
              </w:rPr>
              <w:t>（</w:t>
            </w:r>
            <w:r>
              <w:rPr>
                <w:rFonts w:ascii="仿宋_GB2312" w:hAnsi="仿宋_GB2312" w:cs="仿宋_GB2312" w:eastAsia="仿宋_GB2312"/>
              </w:rPr>
              <w:t>1）操作环境要求：干净、干燥、无污染、无杂物、无残渣、无异味、无油垢、无蝇虫、无老鼠。厨房垃圾要做到日产日清，垃圾桶加盖、内外袋无外溢。</w:t>
            </w:r>
          </w:p>
          <w:p>
            <w:pPr>
              <w:pStyle w:val="null3"/>
              <w:jc w:val="both"/>
            </w:pPr>
            <w:r>
              <w:rPr>
                <w:rFonts w:ascii="仿宋_GB2312" w:hAnsi="仿宋_GB2312" w:cs="仿宋_GB2312" w:eastAsia="仿宋_GB2312"/>
              </w:rPr>
              <w:t>（</w:t>
            </w:r>
            <w:r>
              <w:rPr>
                <w:rFonts w:ascii="仿宋_GB2312" w:hAnsi="仿宋_GB2312" w:cs="仿宋_GB2312" w:eastAsia="仿宋_GB2312"/>
              </w:rPr>
              <w:t>2）服务商必须严格按照《食品卫生法》和《安全生产法》开展餐饮服务工作。</w:t>
            </w:r>
          </w:p>
          <w:p>
            <w:pPr>
              <w:pStyle w:val="null3"/>
              <w:jc w:val="both"/>
            </w:pPr>
            <w:r>
              <w:rPr>
                <w:rFonts w:ascii="仿宋_GB2312" w:hAnsi="仿宋_GB2312" w:cs="仿宋_GB2312" w:eastAsia="仿宋_GB2312"/>
              </w:rPr>
              <w:t>（</w:t>
            </w:r>
            <w:r>
              <w:rPr>
                <w:rFonts w:ascii="仿宋_GB2312" w:hAnsi="仿宋_GB2312" w:cs="仿宋_GB2312" w:eastAsia="仿宋_GB2312"/>
              </w:rPr>
              <w:t>3）由于服务商原因所造成误餐、断供、食品安全（食物不洁或霉变引发的细菌性食物中毒和食源性疾病等所发生的治疗费用）等问题，由服务商承担全部责任，并进行相应处罚。</w:t>
            </w:r>
          </w:p>
          <w:p>
            <w:pPr>
              <w:pStyle w:val="null3"/>
            </w:pPr>
            <w:r>
              <w:rPr>
                <w:rFonts w:ascii="仿宋_GB2312" w:hAnsi="仿宋_GB2312" w:cs="仿宋_GB2312" w:eastAsia="仿宋_GB2312"/>
                <w:sz w:val="21"/>
              </w:rPr>
              <w:t>（</w:t>
            </w:r>
            <w:r>
              <w:rPr>
                <w:rFonts w:ascii="仿宋_GB2312" w:hAnsi="仿宋_GB2312" w:cs="仿宋_GB2312" w:eastAsia="仿宋_GB2312"/>
                <w:sz w:val="21"/>
              </w:rPr>
              <w:t>4）服务商所制作的全部餐品，必须提供48小时留样备查。</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餐厅员工数量、专业技术要求：(1）餐厅总编制：不少于6人（其中大厨不少于3人，帮厨不少于3人）。（2）坚决不允许竞标时借用他人资质或证书，一旦确认成交，组建运行团队时必须保持稳定、持续在岗工作，如有人员变动，需提前1月告知采购方。 2、员工身体健康要求。餐厅所有员工上岗前必须通过当地卫生部门指定医院或防疫站的体检，领取饮食行业健康证。无健康合格证者，不准在餐厅工作。人员必须身体健康，无各种遗传性疾病。 3、员工品德要求。要有敬业精神；要有良好的职业道德，诚实；讲信用，相貌端正，身体健康，无伤残或重大疾病，有健康的身体条件。 4、服务商所配备员工年龄必须遵守国家劳动法规定的年龄要求。不得配备超龄或不足年龄的员工。 5、餐厅所有员工由服务商自行招聘，餐厅员工的工资、工装和福利、保险均由服务商承担。</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（1）供餐合同模式：人员劳务外包； （2）运营所需的设备、场地、能源由采购人提供； （3）运营过程中的消耗品如一次性手套、口罩、清洁剂等消耗品由采购人提供； （4）所有加工用食材由采购人提供； （5）服务商负责员工工服、工帽等的配发及更换； （6）服务商负责员工培训、健康证件办理等； （7）服务商负责员工人身安全，包括在工作岗位上的人身财产安全； （8）服务期间，如有投诉情况，服务商应及时上报解决方案 （9）服务商须上报完备的突发事件和安全事故处理预案。 （10）服务商不得擅自拆改厨房和设备间房屋。 （11）服务商要节约水、电的使用，杜绝长明灯。要做好防火、防盗、消防和安全用电、用气等安全工作，确保就餐人员和自身的安全，如出现食物中毒和各种安全事故，责任和经济赔偿均由服务商自行承担。工作期间员工一切管理、安全责任及损失自负，采购人概不负责。 （12）服务商如因工作量增加需加配人员等问题，采购人不再承担任何费用。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（一）由甲方组织验收 （二）验收依据：1、竞争性磋商文件、响应文件、澄清表（函）； 2、本合同及附件文本；3、国家相应的标准、规范。（三）双方拟定的其他条款。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合同签订后，采购人按月支付合同价款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合同签订后，采购人按月支付合同价款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合同签订后，采购人按月支付合同价款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合同签订后，采购人按月支付合同价款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合同签订后，采购人按月支付合同价款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合同签订后，采购人按月支付合同价款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合同签订后，采购人按月支付合同价款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合同签订后，采购人按月支付合同价款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合同签订后，采购人按月支付合同价款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合同签订后，采购人按月支付合同价款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合同签订后，采购人按月支付合同价款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合同签订后，采购人按月支付合同价款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8.70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1、本协议执行期间，甲乙双方应履行承诺，任何一方未履行合同造成对方损失时，违约方应承担违约责任。 2、乙方未能认真履行甲方提出的改进意见，甲方可在履约保证金中扣除部分保证金。如在一个月连续三次书面警告乙方改进无效，甲方有权终止本合同，由此造成的损失由乙方承担。 3、乙方未按时提交甲方所需的相关资料，甲方可在履约保证金中扣除部分保证金。 4、因乙方原因造成断供或发生食物中毒事故应全额赔偿损失，造成严重后果的，应追究乙方的法律责任，乙方承担由此产生的一切损失，甲方可单方终止合同，并扣除全部履约保证金。 5、乙方有意终止合作而没有提前一个月通知对方，需赔偿对方最后一个月餐费的10%。 6、对甲方提出更换的劳务人员，乙方必须在甲方制定期限内更换，否则以违约论处。 7、因不可抗力原因发生造成的双方损失由双方各自承担自己的损失。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报价：本项目磋商报价为总价包干。磋商报价是供应商为完成本项目要求的全部服务内容最终价格的体现，包括人工费、服务费、服装费、管理费、社保费、税金等其他一切相关费用。供应商所报的价格应考虑到可能发生的所有与完成本项目相关服务及履行合同义务有关的一切费用。 2、供应商所报的价格应考虑到可能发生的所有与完成本项目相关服务及履行合同义务有关的一切费用，任何有选择的报价将不予接受，按无效磋商处理。 3、本项目所属行业为：餐饮业。根据《工业和信息化部、国家统计局、国家发展和改革委员会、财政部关于印发中小企业划型标准规定的通知》《工信部联企业(2011)300 号)规定的划分标准,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年度或2025年度完整的财务报告（带二维码），应满足以下要求：须提供会计师事务所出具的审计报告复印件,复印件至少须包括报告正文、资产负债表、现金流量表、利润表、附注和会计师事务所营业执照，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截止磋商时间前六个月内任意一个月的社会保障资金缴存单据或社保机构开具的社会保险参保缴费情况证明；依法不需要缴纳社会保障资金的投标人应提供相关文件证明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截止磋商时间前六个月内任意一个月的纳税证明或完税证明（任意税种），纳税证明或完税证明上应有代收机构或税务机关的公章或业务专用章；依法免税的投标人应提供相关文件证明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信用主体查询及声明</w:t>
            </w:r>
          </w:p>
        </w:tc>
        <w:tc>
          <w:tcPr>
            <w:tcW w:type="dxa" w:w="3322"/>
          </w:tcPr>
          <w:p>
            <w:pPr>
              <w:pStyle w:val="null3"/>
            </w:pPr>
            <w:r>
              <w:rPr>
                <w:rFonts w:ascii="仿宋_GB2312" w:hAnsi="仿宋_GB2312" w:cs="仿宋_GB2312" w:eastAsia="仿宋_GB2312"/>
              </w:rPr>
              <w:t>供应商供应商不得为“信用中国”列入重大税收违法失信主体的供应商，不得为“中国执行信息公开网”网站中失信被执行人，不得为“中国政府采购网”政府采购严重违法失信行为记录名单中被财政部门禁止参加政府采购活动的供应商；供应商应提供参加本次政府采购活动前3年内在经营活动中没有重大违纪、未被列入失信被执行人、重大税收违法案件当事人名单、政府采购严重违法失信行为记录名单的书面声明。（以采购代理机构在响应文件递交截止时间后当天查询记录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提供具有履行本项目合同所必需的设备和专业能力的证明材料</w:t>
            </w:r>
          </w:p>
        </w:tc>
        <w:tc>
          <w:tcPr>
            <w:tcW w:type="dxa" w:w="3322"/>
          </w:tcPr>
          <w:p>
            <w:pPr>
              <w:pStyle w:val="null3"/>
            </w:pPr>
            <w:r>
              <w:rPr>
                <w:rFonts w:ascii="仿宋_GB2312" w:hAnsi="仿宋_GB2312" w:cs="仿宋_GB2312" w:eastAsia="仿宋_GB2312"/>
              </w:rPr>
              <w:t>提供具有履行本项目合同所必需的设备和专业能力的承诺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法定代表人身份证明书/法定代表人授权委托书</w:t>
            </w:r>
          </w:p>
        </w:tc>
        <w:tc>
          <w:tcPr>
            <w:tcW w:type="dxa" w:w="3322"/>
          </w:tcPr>
          <w:p>
            <w:pPr>
              <w:pStyle w:val="null3"/>
            </w:pPr>
            <w:r>
              <w:rPr>
                <w:rFonts w:ascii="仿宋_GB2312" w:hAnsi="仿宋_GB2312" w:cs="仿宋_GB2312" w:eastAsia="仿宋_GB2312"/>
              </w:rPr>
              <w:t>法定代表人授权书及被授权人截止磋商时间前六个月内任意一个月的社保缴纳证明（法定代表人直接参加磋商，须提供法定代表人身份证明）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（1）单位负责人为同一人或者存在直接控股、管理关系的不同供应商，不得同时参加同一合同项下的政府采购活动。供应商需在项目电子化交易系统中按要求填写《响应函》完成承诺并进行电子签章； （2）为本项目提供整体设计、规范编制或者项目管理、监理、检测等服务的供应商，不得再参加该采购项目的其他采购活动。供应商需在项目电子化交易系统中按要求填写《响应函》完成承诺并进行电子签章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本项目不接受联合体磋商，不允许分包</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 评审委员会启动异常低价投标（响应）审查程序后，要求投标人在评标委员会规定的期限内提供书面文件予以解释说明，并提交相关证明材料；如果其不能够在评标委员会规定时间内提供相关材料证明其报价的合理性，其最后报价为无效报价。 质询工作应当由全体评标委员会成员参加。对于实质性不符合招标文件的，评标委员会有权予以拒绝。质询工作应做书面记录，采购人代表、评标委员会成员及投标人应在记录上签字确认。</w:t>
            </w:r>
          </w:p>
        </w:tc>
        <w:tc>
          <w:tcPr>
            <w:tcW w:type="dxa" w:w="1661"/>
          </w:tcPr>
          <w:p>
            <w:pPr>
              <w:pStyle w:val="null3"/>
            </w:pPr>
            <w:r>
              <w:rPr>
                <w:rFonts w:ascii="仿宋_GB2312" w:hAnsi="仿宋_GB2312" w:cs="仿宋_GB2312" w:eastAsia="仿宋_GB2312"/>
              </w:rPr>
              <w:t>报价一览表及分项报价表.docx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报价一览表及分项报价表.docx 供应商应提交的相关资格证明材料.docx 中小企业声明函 残疾人福利性单位声明函 标的清单 报价表 响应函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是否专门面向中小企业采购</w:t>
            </w:r>
          </w:p>
        </w:tc>
        <w:tc>
          <w:tcPr>
            <w:tcW w:type="dxa" w:w="3322"/>
          </w:tcPr>
          <w:p>
            <w:pPr>
              <w:pStyle w:val="null3"/>
            </w:pPr>
            <w:r>
              <w:rPr>
                <w:rFonts w:ascii="仿宋_GB2312" w:hAnsi="仿宋_GB2312" w:cs="仿宋_GB2312" w:eastAsia="仿宋_GB2312"/>
              </w:rPr>
              <w:t>本项目专门面向中小企业采购</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报价一览表及分项报价表.docx 供应商应提交的相关资格证明材料.docx 中小企业声明函 残疾人福利性单位声明函 标的清单 报价表 响应函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报价一览表及分项报价表.docx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报价一览表及分项报价表.docx 供应商应提交的相关资格证明材料.docx 中小企业声明函 残疾人福利性单位声明函 标的清单 报价表 响应函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报价一览表及分项报价表.docx 供应商应提交的相关资格证明材料.docx 中小企业声明函 残疾人福利性单位声明函 标的清单 报价表 响应函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报价一览表及分项报价表.docx 标的清单 报价表 响应函 服务方案.docx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提出针对于本项目的餐饮保障运营总体方案及措施，方案内容包含：①食材贮存②食品制作、加工③食堂供餐④公务接待及日常服务⑤节能节水节气⑥食品质量及食品卫生。 二、评审标准 1、完整性：方案须全面，对评审内容中的要求有详细描述及说明； 2、可实施性：切合本项目实际情况，实施步骤清晰、合理； 3、针对性：方案能够紧扣项目实际情况，内容科学合理。 三、赋分标准（满分30分） ①食材贮存：完全满足评审标准得5分，每有一项不满足扣2分，扣完为止； ②食品制作、加工：完全满足评审标准得5分，每有一项不满足扣2分，扣完为止； ③食堂供餐：完全满足评审标准得5分，每有一项不满足扣2分，扣完为止； ④公务接待及日常服务：完全满足评审标准得5分，每有一项不满足扣2分，扣完为止； ⑤节能节水节气：完全满足评审标准得5分，每有一项不满足扣2分，扣完为止； ⑥食品质量及食品卫生：完全满足评审标准得5分，每有一项不满足扣2分，扣完为止。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提出针对于本项目的管理制度，制度内容包含①食堂留样管理制度、食品安全管理制度②环境卫生管理及培训、检查制度③加工场所及工器具消毒管理④厨房管理制度（生产安全、库房管理、设施设备管理、消防安全等）⑤人员管理、培训学习⑥满意度调查及投诉管理。 二、评审标准 1、完整性：方案须全面，对评审内容中的要求有详细描述及说明； 2、可实施性：切合本项目实际情况，实施步骤清晰、合理； 3、针对性：方案能够紧扣项目实际情况，内容科学合理。 三、赋分标准（满分24分） ①食堂留样管理制度、食品安全管理制度：完全满足评审标准得4分，每有一项不满足扣1.5分，扣完为止； ②环境卫生管理及培训、检查制度:完全满足评审标准得4分，每有一项不满足扣1.5分，扣完为止； ③加工场所及工器具消毒管理：完全满足评审标准得4分，每有一项不满足扣1.5分，扣完为止； ④厨房管理制度（生产安全、库房管理、设施设备管理、消防安全等）：完全满足评审标准得4分，每有一项不满足扣1.5分，扣完为止； ⑤人员管理、培训学习：完全满足评审标准得4分，每有一项不满足扣1.5分，扣完为止； ⑥满意度调查及投诉管理：完全满足评审标准得4分，每有一项不满足扣1.5分，扣完为止。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提出针对于本项目的应急预案，预案内容包含①停水停电停气②食物中毒③防火防盗④临时用餐。 二、评审标准 1、完整性：方案须全面，对评审内容中的要求有详细描述及说明； 2、可实施性：切合本项目实际情况，实施步骤清晰、合理； 3、针对性：方案能够紧扣项目实际情况，内容科学合理。 三、赋分标准（满分12分） ①停水停电停气：完全满足评审标准得3分，每有一项不满足扣1分，扣完为止； ②食物中毒:完全满足评审标准得3分，每有一项不满足扣1分，扣完为止； ③防火防盗：完全满足评审标准得3分，每有一项不满足扣1分，扣完为止； ④临时用餐：完全满足评审标准得3分，每有一项不满足扣1分，扣完为止。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一、评审内容 提出针对于本项目的人员配置方案，方案内容包含①人员的组织及职责分配②主要负责人名单，人员明确分工（以响应文件中的供应商人员情况表为依据）③人员配备标准要求。 二、评审标准 1、完整性：方案须全面，对评审内容中的要求有详细描述及说明； 2、可实施性：切合本项目实际情况，实施步骤清晰、合理； 3、针对性：方案能够紧扣项目实际情况，内容科学合理。 三、赋分标准（满分12分） ①人员的组织及职责分配：完全满足评审标准得4分，每有一项不满足扣1.5分，扣完为止； ②主要负责人名单，人员明确分工（以响应文件中的供应商人员情况表为依据）:完全满足评审标准得4分，每有一项不满足扣1.5分，扣完为止； ③人员配备标准要求：完全满足评审标准得4分，每有一项不满足扣1.5分，扣完为止。 注：需要提供相关证书扫描件，不提供本项评审内容不得分。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提出针对于本项目的服务承诺，承诺内容包含①服务的响应时间②所提供服务的重点及难点解决措施③安全质量承诺。 二、评审标准 1、完整性：方案须全面，对评审内容中的要求有详细描述及说明； 2、可实施性：切合本项目实际情况，实施步骤清晰、合理； 3、针对性：方案能够紧扣项目实际情况，内容科学合理。 三、赋分标准（满分6分） ①服务的响应时间：完全满足评审标准得2分，每有一项不满足扣1分，扣完为止； ②所提供服务的重点及难点解决措施:完全满足评审标准得2分，每有一项不满足扣1分，扣完为止； ③安全质量承诺：完全满足评审标准得2分，每有一项不满足扣1分，扣完为止。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供应商提供2023年01月1日（以合同签订日期为准）至今的类似项目业绩，每提供一份得2分，最高得6分。(合同复印件加盖公章附在响应文件中，否则不作为评审依据）。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以最后磋商报价最低的报价为评审基准价，其价格分为满分。其他供应商的价格分统一按照下列公式计算：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详见附件：报价一览表及分项报价表.docx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