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版本号：JQ-ZFCG-20260720260713003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2026年富平县荆山塬智慧农业产业园配套建设项目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JQ-ZFCG-202607</w:t>
      </w:r>
      <w:r>
        <w:br/>
      </w:r>
      <w:r>
        <w:br/>
      </w:r>
      <w:r>
        <w:br/>
      </w:r>
    </w:p>
    <w:p>
      <w:pPr>
        <w:pStyle w:val="null3"/>
        <w:jc w:val="center"/>
        <w:outlineLvl w:val="2"/>
      </w:pPr>
      <w:r>
        <w:rPr>
          <w:rFonts w:ascii="仿宋_GB2312" w:hAnsi="仿宋_GB2312" w:cs="仿宋_GB2312" w:eastAsia="仿宋_GB2312"/>
          <w:sz w:val="28"/>
          <w:b/>
        </w:rPr>
        <w:t>富平县人民政府城关街道办事处</w:t>
      </w:r>
    </w:p>
    <w:p>
      <w:pPr>
        <w:pStyle w:val="null3"/>
        <w:jc w:val="center"/>
        <w:outlineLvl w:val="2"/>
      </w:pPr>
      <w:r>
        <w:rPr>
          <w:rFonts w:ascii="仿宋_GB2312" w:hAnsi="仿宋_GB2312" w:cs="仿宋_GB2312" w:eastAsia="仿宋_GB2312"/>
          <w:sz w:val="28"/>
          <w:b/>
        </w:rPr>
        <w:t>泾清项目管理有限公司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泾清项目管理有限公司</w:t>
      </w:r>
      <w:r>
        <w:rPr>
          <w:rFonts w:ascii="仿宋_GB2312" w:hAnsi="仿宋_GB2312" w:cs="仿宋_GB2312" w:eastAsia="仿宋_GB2312"/>
        </w:rPr>
        <w:t>（以下简称“代理机构”）受</w:t>
      </w:r>
      <w:r>
        <w:rPr>
          <w:rFonts w:ascii="仿宋_GB2312" w:hAnsi="仿宋_GB2312" w:cs="仿宋_GB2312" w:eastAsia="仿宋_GB2312"/>
        </w:rPr>
        <w:t>富平县人民政府城关街道办事处</w:t>
      </w:r>
      <w:r>
        <w:rPr>
          <w:rFonts w:ascii="仿宋_GB2312" w:hAnsi="仿宋_GB2312" w:cs="仿宋_GB2312" w:eastAsia="仿宋_GB2312"/>
        </w:rPr>
        <w:t>委托，拟对</w:t>
      </w:r>
      <w:r>
        <w:rPr>
          <w:rFonts w:ascii="仿宋_GB2312" w:hAnsi="仿宋_GB2312" w:cs="仿宋_GB2312" w:eastAsia="仿宋_GB2312"/>
        </w:rPr>
        <w:t>2026年富平县荆山塬智慧农业产业园配套建设项目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JQ-ZFCG-202607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2026年富平县荆山塬智慧农业产业园配套建设项目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为产业园区25000m²温室大棚配套建设箱式变压器(含基础)2座，配套电杆组立4组、电力变压器系统、送配电装置系统各2套 以及相关设施。</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2、资质证书：投标人须具备以下任一类有效资质：电力工程施工总承包三级及以上或输变电工程专业承包三级及以上（提供资质证书扫描件）。</w:t>
      </w:r>
    </w:p>
    <w:p>
      <w:pPr>
        <w:pStyle w:val="null3"/>
      </w:pPr>
      <w:r>
        <w:rPr>
          <w:rFonts w:ascii="仿宋_GB2312" w:hAnsi="仿宋_GB2312" w:cs="仿宋_GB2312" w:eastAsia="仿宋_GB2312"/>
        </w:rPr>
        <w:t>3、安全生产许可证：投标人须具备有效《安全生产许可证》</w:t>
      </w:r>
    </w:p>
    <w:p>
      <w:pPr>
        <w:pStyle w:val="null3"/>
      </w:pPr>
      <w:r>
        <w:rPr>
          <w:rFonts w:ascii="仿宋_GB2312" w:hAnsi="仿宋_GB2312" w:cs="仿宋_GB2312" w:eastAsia="仿宋_GB2312"/>
        </w:rPr>
        <w:t>4、项目负责人：拟派项目负责人须具备：机电工程或电力工程二级及以上注册建造师（提供注册证书扫描件）；有效安全生产考核合格证书（B证）。</w:t>
      </w:r>
    </w:p>
    <w:p>
      <w:pPr>
        <w:pStyle w:val="null3"/>
      </w:pPr>
      <w:r>
        <w:rPr>
          <w:rFonts w:ascii="仿宋_GB2312" w:hAnsi="仿宋_GB2312" w:cs="仿宋_GB2312" w:eastAsia="仿宋_GB2312"/>
        </w:rPr>
        <w:t>5、财务报告：须提供2024年至今任意一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6、税收缴纳证明：须提供依法缴纳税收的良好记录（提供投标截止时间前六个月内任意一个月份的缴纳凭据复印件并加盖单位公章，依法免税或开标前一年内零申报的供应商应提供相关证明文件）；</w:t>
      </w:r>
    </w:p>
    <w:p>
      <w:pPr>
        <w:pStyle w:val="null3"/>
      </w:pPr>
      <w:r>
        <w:rPr>
          <w:rFonts w:ascii="仿宋_GB2312" w:hAnsi="仿宋_GB2312" w:cs="仿宋_GB2312" w:eastAsia="仿宋_GB2312"/>
        </w:rPr>
        <w:t>7、社会养老保障资金缴纳证明：须提供依法缴纳社会保障资金的良好记录（提供投标截止时间前六个月内任意一个月份的缴纳凭据复印件并加盖单位公章）；</w:t>
      </w:r>
    </w:p>
    <w:p>
      <w:pPr>
        <w:pStyle w:val="null3"/>
      </w:pPr>
      <w:r>
        <w:rPr>
          <w:rFonts w:ascii="仿宋_GB2312" w:hAnsi="仿宋_GB2312" w:cs="仿宋_GB2312" w:eastAsia="仿宋_GB2312"/>
        </w:rPr>
        <w:t>8、书面声明：提供具有履行本合同所必需的设备和专业技术能力的声明；</w:t>
      </w:r>
    </w:p>
    <w:p>
      <w:pPr>
        <w:pStyle w:val="null3"/>
      </w:pPr>
      <w:r>
        <w:rPr>
          <w:rFonts w:ascii="仿宋_GB2312" w:hAnsi="仿宋_GB2312" w:cs="仿宋_GB2312" w:eastAsia="仿宋_GB2312"/>
        </w:rPr>
        <w:t>9、法定代表人授权委托书：法定代表人参加投标的，须提供法定代表人资格证明书；法定代表人授权他人参加投标的，须提供法定代表人授权委托书；</w:t>
      </w:r>
    </w:p>
    <w:p>
      <w:pPr>
        <w:pStyle w:val="null3"/>
      </w:pPr>
      <w:r>
        <w:rPr>
          <w:rFonts w:ascii="仿宋_GB2312" w:hAnsi="仿宋_GB2312" w:cs="仿宋_GB2312" w:eastAsia="仿宋_GB2312"/>
        </w:rPr>
        <w:t>10、网站截图：供应商应在投标截止日前未被列入失信被执行人、重大税收违法案件当事人名单、政府采购严重违法失信行为记录名单（处罚期限届满的除外（以“信用中国”网站（www.creditchina.gov.cn）查询结果为准）；中国政府采购网（www.ccgp.gov.cn）提供政府采购严重违法失信行为记录名单（处罚期限届满的除外）网站截图并加盖单位公章；</w:t>
      </w:r>
    </w:p>
    <w:p>
      <w:pPr>
        <w:pStyle w:val="null3"/>
      </w:pPr>
      <w:r>
        <w:rPr>
          <w:rFonts w:ascii="仿宋_GB2312" w:hAnsi="仿宋_GB2312" w:cs="仿宋_GB2312" w:eastAsia="仿宋_GB2312"/>
        </w:rPr>
        <w:t>11、保证金缴纳凭据：保证金缴纳凭据提供银行转账凭证、基本存款账户信息资料复印件或金融机构、担保机构出具的保函复印件，复印件均须加盖公章；</w:t>
      </w:r>
    </w:p>
    <w:p>
      <w:pPr>
        <w:pStyle w:val="null3"/>
      </w:pPr>
      <w:r>
        <w:rPr>
          <w:rFonts w:ascii="仿宋_GB2312" w:hAnsi="仿宋_GB2312" w:cs="仿宋_GB2312" w:eastAsia="仿宋_GB2312"/>
        </w:rPr>
        <w:t>12、书面声明：供应商提供参加政府采购活动前三年内在经营活动中没有重大违法记录的书面声明；</w:t>
      </w:r>
    </w:p>
    <w:p>
      <w:pPr>
        <w:pStyle w:val="null3"/>
      </w:pPr>
      <w:r>
        <w:rPr>
          <w:rFonts w:ascii="仿宋_GB2312" w:hAnsi="仿宋_GB2312" w:cs="仿宋_GB2312" w:eastAsia="仿宋_GB2312"/>
        </w:rPr>
        <w:t>13、供应商企业关系关联及联合体说明：本项目不接受联合体投标，单位负责人为同一人或者存在直接控股、管理关系的不同供应商，不得同时参加本项目同一标段投标。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富平县人民政府城关街道办事处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富平县莲湖大街47号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李延飞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09132267111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泾清项目管理有限公司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陕西省西安市高陵区东环路土地局家属院2幢6号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19992553727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开户名称：泾清项目管理有限公司富平分公司</w:t>
            </w:r>
          </w:p>
          <w:p>
            <w:pPr>
              <w:pStyle w:val="null3"/>
            </w:pPr>
            <w:r>
              <w:rPr>
                <w:rFonts w:ascii="仿宋_GB2312" w:hAnsi="仿宋_GB2312" w:cs="仿宋_GB2312" w:eastAsia="仿宋_GB2312"/>
              </w:rPr>
              <w:t>开户银行：中国建设银行股份有限公司富平县支行</w:t>
            </w:r>
          </w:p>
          <w:p>
            <w:pPr>
              <w:pStyle w:val="null3"/>
            </w:pPr>
            <w:r>
              <w:rPr>
                <w:rFonts w:ascii="仿宋_GB2312" w:hAnsi="仿宋_GB2312" w:cs="仿宋_GB2312" w:eastAsia="仿宋_GB2312"/>
              </w:rPr>
              <w:t>银行账号：61050164830800002007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代理服务费收费标准：招标代理费参照国家计委关于印发《招标代理服务收费管理暂行办法》的通知（计价格〔2002〕1980号）、《国家发展和改革委员会办公厅关于招标代理服务收费有关问题的通知》（发改办价格〔2003〕857号）文件规定，代理服务费优惠后按中标价格的6‰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富平县人民政府城关街道办事处</w:t>
      </w:r>
      <w:r>
        <w:rPr>
          <w:rFonts w:ascii="仿宋_GB2312" w:hAnsi="仿宋_GB2312" w:cs="仿宋_GB2312" w:eastAsia="仿宋_GB2312"/>
        </w:rPr>
        <w:t>和</w:t>
      </w:r>
      <w:r>
        <w:rPr>
          <w:rFonts w:ascii="仿宋_GB2312" w:hAnsi="仿宋_GB2312" w:cs="仿宋_GB2312" w:eastAsia="仿宋_GB2312"/>
        </w:rPr>
        <w:t>泾清项目管理有限公司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富平县人民政府城关街道办事处</w:t>
      </w:r>
      <w:r>
        <w:rPr>
          <w:rFonts w:ascii="仿宋_GB2312" w:hAnsi="仿宋_GB2312" w:cs="仿宋_GB2312" w:eastAsia="仿宋_GB2312"/>
        </w:rPr>
        <w:t>负责解释。除上述招标文件内容，其他内容由</w:t>
      </w:r>
      <w:r>
        <w:rPr>
          <w:rFonts w:ascii="仿宋_GB2312" w:hAnsi="仿宋_GB2312" w:cs="仿宋_GB2312" w:eastAsia="仿宋_GB2312"/>
        </w:rPr>
        <w:t>泾清项目管理有限公司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富平县人民政府城关街道办事处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泾清项目管理有限公司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以招标文件及合同约定为准。验收依据：合同文本，招标文件，投标响应文件，供应商所出具的检验报告满足国家或行业规范执行标准。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联系人：许倩</w:t>
      </w:r>
    </w:p>
    <w:p>
      <w:pPr>
        <w:pStyle w:val="null3"/>
      </w:pPr>
      <w:r>
        <w:rPr>
          <w:rFonts w:ascii="仿宋_GB2312" w:hAnsi="仿宋_GB2312" w:cs="仿宋_GB2312" w:eastAsia="仿宋_GB2312"/>
        </w:rPr>
        <w:t>联系电话：19992553727</w:t>
      </w:r>
    </w:p>
    <w:p>
      <w:pPr>
        <w:pStyle w:val="null3"/>
      </w:pPr>
      <w:r>
        <w:rPr>
          <w:rFonts w:ascii="仿宋_GB2312" w:hAnsi="仿宋_GB2312" w:cs="仿宋_GB2312" w:eastAsia="仿宋_GB2312"/>
        </w:rPr>
        <w:t>地址：陕西省西安市高陵区东环路土地局家属院2幢6号</w:t>
      </w:r>
    </w:p>
    <w:p>
      <w:pPr>
        <w:pStyle w:val="null3"/>
      </w:pPr>
      <w:r>
        <w:rPr>
          <w:rFonts w:ascii="仿宋_GB2312" w:hAnsi="仿宋_GB2312" w:cs="仿宋_GB2312" w:eastAsia="仿宋_GB2312"/>
        </w:rPr>
        <w:t>邮编：710200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为产业园区25000m²温室大棚配套建设箱式变压器(含基础)2座，配套电杆组立4组、电力变压器系统、送配电装置系统各2套 以及相关设施。</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2026年富平县荆山塬智慧农业产业园配套建设项目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标的名称：2026年富平县荆山塬智慧农业产业园配套建设项目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141"/>
              <w:gridCol w:w="291"/>
              <w:gridCol w:w="146"/>
              <w:gridCol w:w="139"/>
              <w:gridCol w:w="524"/>
              <w:gridCol w:w="1154"/>
              <w:gridCol w:w="146"/>
            </w:tblGrid>
            <w:tr>
              <w:tc>
                <w:tcPr>
                  <w:tcW w:type="dxa" w:w="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名称</w:t>
                  </w:r>
                </w:p>
              </w:tc>
              <w:tc>
                <w:tcPr>
                  <w:tcW w:type="dxa" w:w="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单位</w:t>
                  </w:r>
                </w:p>
              </w:tc>
              <w:tc>
                <w:tcPr>
                  <w:tcW w:type="dxa" w:w="1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数量</w:t>
                  </w:r>
                </w:p>
              </w:tc>
              <w:tc>
                <w:tcPr>
                  <w:tcW w:type="dxa" w:w="5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规格型号</w:t>
                  </w:r>
                </w:p>
              </w:tc>
              <w:tc>
                <w:tcPr>
                  <w:tcW w:type="dxa" w:w="1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参数</w:t>
                  </w:r>
                </w:p>
              </w:tc>
              <w:tc>
                <w:tcPr>
                  <w:tcW w:type="dxa" w:w="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备注</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箱式</w:t>
                  </w:r>
                  <w:r>
                    <w:rPr>
                      <w:rFonts w:ascii="仿宋_GB2312" w:hAnsi="仿宋_GB2312" w:cs="仿宋_GB2312" w:eastAsia="仿宋_GB2312"/>
                      <w:sz w:val="28"/>
                    </w:rPr>
                    <w:t>变压器</w:t>
                  </w:r>
                  <w:r>
                    <w:rPr>
                      <w:rFonts w:ascii="仿宋_GB2312" w:hAnsi="仿宋_GB2312" w:cs="仿宋_GB2312" w:eastAsia="仿宋_GB2312"/>
                      <w:sz w:val="28"/>
                    </w:rPr>
                    <w:t>(</w:t>
                  </w:r>
                  <w:r>
                    <w:rPr>
                      <w:rFonts w:ascii="仿宋_GB2312" w:hAnsi="仿宋_GB2312" w:cs="仿宋_GB2312" w:eastAsia="仿宋_GB2312"/>
                      <w:sz w:val="28"/>
                    </w:rPr>
                    <w:t>含基础</w:t>
                  </w:r>
                  <w:r>
                    <w:rPr>
                      <w:rFonts w:ascii="仿宋_GB2312" w:hAnsi="仿宋_GB2312" w:cs="仿宋_GB2312" w:eastAsia="仿宋_GB2312"/>
                      <w:sz w:val="28"/>
                    </w:rPr>
                    <w:t>)</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座</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YBW-1250KVA-12/0.4KV</w:t>
                  </w:r>
                </w:p>
                <w:p>
                  <w:pPr>
                    <w:pStyle w:val="null3"/>
                    <w:jc w:val="center"/>
                  </w:pPr>
                  <w:r>
                    <w:rPr>
                      <w:rFonts w:ascii="仿宋_GB2312" w:hAnsi="仿宋_GB2312" w:cs="仿宋_GB2312" w:eastAsia="仿宋_GB2312"/>
                      <w:sz w:val="28"/>
                      <w:color w:val="000000"/>
                    </w:rPr>
                    <w:t>基础尺寸：</w:t>
                  </w:r>
                  <w:r>
                    <w:rPr>
                      <w:rFonts w:ascii="仿宋_GB2312" w:hAnsi="仿宋_GB2312" w:cs="仿宋_GB2312" w:eastAsia="仿宋_GB2312"/>
                      <w:sz w:val="28"/>
                      <w:color w:val="000000"/>
                    </w:rPr>
                    <w:t>3*4.5*3</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8"/>
                    </w:rPr>
                    <w:t>1</w:t>
                  </w:r>
                  <w:r>
                    <w:rPr>
                      <w:rFonts w:ascii="仿宋_GB2312" w:hAnsi="仿宋_GB2312" w:cs="仿宋_GB2312" w:eastAsia="仿宋_GB2312"/>
                      <w:sz w:val="28"/>
                    </w:rPr>
                    <w:t>、额定容量：</w:t>
                  </w:r>
                  <w:r>
                    <w:rPr>
                      <w:rFonts w:ascii="仿宋_GB2312" w:hAnsi="仿宋_GB2312" w:cs="仿宋_GB2312" w:eastAsia="仿宋_GB2312"/>
                      <w:sz w:val="28"/>
                    </w:rPr>
                    <w:t>1</w:t>
                  </w:r>
                  <w:r>
                    <w:rPr>
                      <w:rFonts w:ascii="仿宋_GB2312" w:hAnsi="仿宋_GB2312" w:cs="仿宋_GB2312" w:eastAsia="仿宋_GB2312"/>
                      <w:sz w:val="28"/>
                    </w:rPr>
                    <w:t>250kVA</w:t>
                  </w:r>
                  <w:r>
                    <w:rPr>
                      <w:rFonts w:ascii="仿宋_GB2312" w:hAnsi="仿宋_GB2312" w:cs="仿宋_GB2312" w:eastAsia="仿宋_GB2312"/>
                      <w:sz w:val="28"/>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8"/>
                    </w:rPr>
                    <w:t>2</w:t>
                  </w:r>
                  <w:r>
                    <w:rPr>
                      <w:rFonts w:ascii="仿宋_GB2312" w:hAnsi="仿宋_GB2312" w:cs="仿宋_GB2312" w:eastAsia="仿宋_GB2312"/>
                      <w:sz w:val="28"/>
                    </w:rPr>
                    <w:t>、额定电压：</w:t>
                  </w:r>
                  <w:r>
                    <w:rPr>
                      <w:rFonts w:ascii="仿宋_GB2312" w:hAnsi="仿宋_GB2312" w:cs="仿宋_GB2312" w:eastAsia="仿宋_GB2312"/>
                      <w:sz w:val="28"/>
                    </w:rPr>
                    <w:t>12/0.4kV</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、联结组别：</w:t>
                  </w:r>
                  <w:r>
                    <w:rPr>
                      <w:rFonts w:ascii="仿宋_GB2312" w:hAnsi="仿宋_GB2312" w:cs="仿宋_GB2312" w:eastAsia="仿宋_GB2312"/>
                      <w:sz w:val="28"/>
                    </w:rPr>
                    <w:t>Dyn11</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、短路阻抗：</w:t>
                  </w:r>
                  <w:r>
                    <w:rPr>
                      <w:rFonts w:ascii="仿宋_GB2312" w:hAnsi="仿宋_GB2312" w:cs="仿宋_GB2312" w:eastAsia="仿宋_GB2312"/>
                      <w:sz w:val="28"/>
                    </w:rPr>
                    <w:t>Uk=6%</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5</w:t>
                  </w:r>
                  <w:r>
                    <w:rPr>
                      <w:rFonts w:ascii="仿宋_GB2312" w:hAnsi="仿宋_GB2312" w:cs="仿宋_GB2312" w:eastAsia="仿宋_GB2312"/>
                      <w:sz w:val="28"/>
                    </w:rPr>
                    <w:t>、防护等级：</w:t>
                  </w:r>
                  <w:r>
                    <w:rPr>
                      <w:rFonts w:ascii="仿宋_GB2312" w:hAnsi="仿宋_GB2312" w:cs="仿宋_GB2312" w:eastAsia="仿宋_GB2312"/>
                      <w:sz w:val="28"/>
                    </w:rPr>
                    <w:t>IP54</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6</w:t>
                  </w:r>
                  <w:r>
                    <w:rPr>
                      <w:rFonts w:ascii="仿宋_GB2312" w:hAnsi="仿宋_GB2312" w:cs="仿宋_GB2312" w:eastAsia="仿宋_GB2312"/>
                      <w:sz w:val="28"/>
                    </w:rPr>
                    <w:t>、冷却方式：油浸自冷（</w:t>
                  </w:r>
                  <w:r>
                    <w:rPr>
                      <w:rFonts w:ascii="仿宋_GB2312" w:hAnsi="仿宋_GB2312" w:cs="仿宋_GB2312" w:eastAsia="仿宋_GB2312"/>
                      <w:sz w:val="28"/>
                    </w:rPr>
                    <w:t>ONAN</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7</w:t>
                  </w:r>
                  <w:r>
                    <w:rPr>
                      <w:rFonts w:ascii="仿宋_GB2312" w:hAnsi="仿宋_GB2312" w:cs="仿宋_GB2312" w:eastAsia="仿宋_GB2312"/>
                      <w:sz w:val="28"/>
                    </w:rPr>
                    <w:t>、户外预装式：含基础浇筑、接地装置及配套辅材</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电杆组立</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组</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12</w:t>
                  </w:r>
                  <w:r>
                    <w:rPr>
                      <w:rFonts w:ascii="仿宋_GB2312" w:hAnsi="仿宋_GB2312" w:cs="仿宋_GB2312" w:eastAsia="仿宋_GB2312"/>
                      <w:sz w:val="28"/>
                    </w:rPr>
                    <w:t>米混凝土杆 抱箍 线夹 接线端子</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2m</w:t>
                  </w:r>
                  <w:r>
                    <w:rPr>
                      <w:rFonts w:ascii="仿宋_GB2312" w:hAnsi="仿宋_GB2312" w:cs="仿宋_GB2312" w:eastAsia="仿宋_GB2312"/>
                      <w:sz w:val="28"/>
                    </w:rPr>
                    <w:t>钢筋混凝土电杆（梢径</w:t>
                  </w:r>
                  <w:r>
                    <w:rPr>
                      <w:rFonts w:ascii="仿宋_GB2312" w:hAnsi="仿宋_GB2312" w:cs="仿宋_GB2312" w:eastAsia="仿宋_GB2312"/>
                      <w:sz w:val="28"/>
                    </w:rPr>
                    <w:t>190mm</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、配套混凝土基座、底盘、卡盘、拉线盘；</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、含</w:t>
                  </w:r>
                  <w:r>
                    <w:rPr>
                      <w:rFonts w:ascii="仿宋_GB2312" w:hAnsi="仿宋_GB2312" w:cs="仿宋_GB2312" w:eastAsia="仿宋_GB2312"/>
                      <w:sz w:val="28"/>
                    </w:rPr>
                    <w:t>220/240/260/340U</w:t>
                  </w:r>
                  <w:r>
                    <w:rPr>
                      <w:rFonts w:ascii="仿宋_GB2312" w:hAnsi="仿宋_GB2312" w:cs="仿宋_GB2312" w:eastAsia="仿宋_GB2312"/>
                      <w:sz w:val="28"/>
                    </w:rPr>
                    <w:t>型抱箍、</w:t>
                  </w:r>
                  <w:r>
                    <w:rPr>
                      <w:rFonts w:ascii="仿宋_GB2312" w:hAnsi="仿宋_GB2312" w:cs="仿宋_GB2312" w:eastAsia="仿宋_GB2312"/>
                      <w:sz w:val="28"/>
                    </w:rPr>
                    <w:t>SLG-1</w:t>
                  </w:r>
                  <w:r>
                    <w:rPr>
                      <w:rFonts w:ascii="仿宋_GB2312" w:hAnsi="仿宋_GB2312" w:cs="仿宋_GB2312" w:eastAsia="仿宋_GB2312"/>
                      <w:sz w:val="28"/>
                    </w:rPr>
                    <w:t>设备线夹、</w:t>
                  </w:r>
                  <w:r>
                    <w:rPr>
                      <w:rFonts w:ascii="仿宋_GB2312" w:hAnsi="仿宋_GB2312" w:cs="仿宋_GB2312" w:eastAsia="仿宋_GB2312"/>
                      <w:sz w:val="28"/>
                    </w:rPr>
                    <w:t>120#</w:t>
                  </w:r>
                  <w:r>
                    <w:rPr>
                      <w:rFonts w:ascii="仿宋_GB2312" w:hAnsi="仿宋_GB2312" w:cs="仿宋_GB2312" w:eastAsia="仿宋_GB2312"/>
                      <w:sz w:val="28"/>
                    </w:rPr>
                    <w:t>铝接线端子、</w:t>
                  </w:r>
                  <w:r>
                    <w:rPr>
                      <w:rFonts w:ascii="仿宋_GB2312" w:hAnsi="仿宋_GB2312" w:cs="仿宋_GB2312" w:eastAsia="仿宋_GB2312"/>
                      <w:sz w:val="28"/>
                    </w:rPr>
                    <w:t>350#</w:t>
                  </w:r>
                  <w:r>
                    <w:rPr>
                      <w:rFonts w:ascii="仿宋_GB2312" w:hAnsi="仿宋_GB2312" w:cs="仿宋_GB2312" w:eastAsia="仿宋_GB2312"/>
                      <w:sz w:val="28"/>
                    </w:rPr>
                    <w:t>拉线抱箍及全套拉线金具；</w:t>
                  </w:r>
                </w:p>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、含电杆组立、校正、拉线安装及接地施工</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电力变压器系统</w:t>
                  </w:r>
                  <w:r>
                    <w:rPr>
                      <w:rFonts w:ascii="仿宋_GB2312" w:hAnsi="仿宋_GB2312" w:cs="仿宋_GB2312" w:eastAsia="仿宋_GB2312"/>
                      <w:sz w:val="28"/>
                    </w:rPr>
                    <w:t>（</w:t>
                  </w:r>
                  <w:r>
                    <w:rPr>
                      <w:rFonts w:ascii="仿宋_GB2312" w:hAnsi="仿宋_GB2312" w:cs="仿宋_GB2312" w:eastAsia="仿宋_GB2312"/>
                      <w:sz w:val="28"/>
                    </w:rPr>
                    <w:t>含施工</w:t>
                  </w:r>
                  <w:r>
                    <w:rPr>
                      <w:rFonts w:ascii="仿宋_GB2312" w:hAnsi="仿宋_GB2312" w:cs="仿宋_GB2312" w:eastAsia="仿宋_GB2312"/>
                      <w:sz w:val="28"/>
                    </w:rPr>
                    <w:t>）</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套</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1250kVA 12/0.4kV</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8"/>
                    </w:rPr>
                    <w:t>1</w:t>
                  </w:r>
                  <w:r>
                    <w:rPr>
                      <w:rFonts w:ascii="仿宋_GB2312" w:hAnsi="仿宋_GB2312" w:cs="仿宋_GB2312" w:eastAsia="仿宋_GB2312"/>
                      <w:sz w:val="28"/>
                    </w:rPr>
                    <w:t>、额定容量</w:t>
                  </w:r>
                  <w:r>
                    <w:rPr>
                      <w:rFonts w:ascii="仿宋_GB2312" w:hAnsi="仿宋_GB2312" w:cs="仿宋_GB2312" w:eastAsia="仿宋_GB2312"/>
                      <w:sz w:val="28"/>
                    </w:rPr>
                    <w:t>1250kVA</w:t>
                  </w:r>
                  <w:r>
                    <w:rPr>
                      <w:rFonts w:ascii="仿宋_GB2312" w:hAnsi="仿宋_GB2312" w:cs="仿宋_GB2312" w:eastAsia="仿宋_GB2312"/>
                      <w:sz w:val="28"/>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8"/>
                    </w:rPr>
                    <w:t>2</w:t>
                  </w:r>
                  <w:r>
                    <w:rPr>
                      <w:rFonts w:ascii="仿宋_GB2312" w:hAnsi="仿宋_GB2312" w:cs="仿宋_GB2312" w:eastAsia="仿宋_GB2312"/>
                      <w:sz w:val="28"/>
                    </w:rPr>
                    <w:t>、额定电压：</w:t>
                  </w:r>
                  <w:r>
                    <w:rPr>
                      <w:rFonts w:ascii="仿宋_GB2312" w:hAnsi="仿宋_GB2312" w:cs="仿宋_GB2312" w:eastAsia="仿宋_GB2312"/>
                      <w:sz w:val="28"/>
                    </w:rPr>
                    <w:t>12/0.4kV</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、额定频率：</w:t>
                  </w:r>
                  <w:r>
                    <w:rPr>
                      <w:rFonts w:ascii="仿宋_GB2312" w:hAnsi="仿宋_GB2312" w:cs="仿宋_GB2312" w:eastAsia="仿宋_GB2312"/>
                      <w:sz w:val="28"/>
                    </w:rPr>
                    <w:t>50Hz</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、联结组别：</w:t>
                  </w:r>
                  <w:r>
                    <w:rPr>
                      <w:rFonts w:ascii="仿宋_GB2312" w:hAnsi="仿宋_GB2312" w:cs="仿宋_GB2312" w:eastAsia="仿宋_GB2312"/>
                      <w:sz w:val="28"/>
                    </w:rPr>
                    <w:t>Dyn11</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5</w:t>
                  </w:r>
                  <w:r>
                    <w:rPr>
                      <w:rFonts w:ascii="仿宋_GB2312" w:hAnsi="仿宋_GB2312" w:cs="仿宋_GB2312" w:eastAsia="仿宋_GB2312"/>
                      <w:sz w:val="28"/>
                    </w:rPr>
                    <w:t>、阻抗电压</w:t>
                  </w:r>
                  <w:r>
                    <w:rPr>
                      <w:rFonts w:ascii="仿宋_GB2312" w:hAnsi="仿宋_GB2312" w:cs="仿宋_GB2312" w:eastAsia="仿宋_GB2312"/>
                      <w:sz w:val="28"/>
                    </w:rPr>
                    <w:t>Uk=6%</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6</w:t>
                  </w:r>
                  <w:r>
                    <w:rPr>
                      <w:rFonts w:ascii="仿宋_GB2312" w:hAnsi="仿宋_GB2312" w:cs="仿宋_GB2312" w:eastAsia="仿宋_GB2312"/>
                      <w:sz w:val="28"/>
                    </w:rPr>
                    <w:t>、户外式，防护等级</w:t>
                  </w:r>
                  <w:r>
                    <w:rPr>
                      <w:rFonts w:ascii="仿宋_GB2312" w:hAnsi="仿宋_GB2312" w:cs="仿宋_GB2312" w:eastAsia="仿宋_GB2312"/>
                      <w:sz w:val="28"/>
                    </w:rPr>
                    <w:t>IP54</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7</w:t>
                  </w:r>
                  <w:r>
                    <w:rPr>
                      <w:rFonts w:ascii="仿宋_GB2312" w:hAnsi="仿宋_GB2312" w:cs="仿宋_GB2312" w:eastAsia="仿宋_GB2312"/>
                      <w:sz w:val="28"/>
                    </w:rPr>
                    <w:t>、含变压器就位、接线、试验、调试及接地</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201030"/>
                    </w:rPr>
                    <w:t>配电装置系统</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套</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GGD-2500A</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8"/>
                    </w:rPr>
                    <w:t>1</w:t>
                  </w:r>
                  <w:r>
                    <w:rPr>
                      <w:rFonts w:ascii="仿宋_GB2312" w:hAnsi="仿宋_GB2312" w:cs="仿宋_GB2312" w:eastAsia="仿宋_GB2312"/>
                      <w:sz w:val="28"/>
                    </w:rPr>
                    <w:t>、额定电流</w:t>
                  </w:r>
                  <w:r>
                    <w:rPr>
                      <w:rFonts w:ascii="仿宋_GB2312" w:hAnsi="仿宋_GB2312" w:cs="仿宋_GB2312" w:eastAsia="仿宋_GB2312"/>
                      <w:sz w:val="28"/>
                    </w:rPr>
                    <w:t>2500A</w:t>
                  </w:r>
                  <w:r>
                    <w:rPr>
                      <w:rFonts w:ascii="仿宋_GB2312" w:hAnsi="仿宋_GB2312" w:cs="仿宋_GB2312" w:eastAsia="仿宋_GB2312"/>
                      <w:sz w:val="28"/>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额定电压</w:t>
                  </w:r>
                  <w:r>
                    <w:rPr>
                      <w:rFonts w:ascii="仿宋_GB2312" w:hAnsi="仿宋_GB2312" w:cs="仿宋_GB2312" w:eastAsia="仿宋_GB2312"/>
                      <w:sz w:val="28"/>
                    </w:rPr>
                    <w:t>380V</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 xml:space="preserve">、防护等级 </w:t>
                  </w:r>
                  <w:r>
                    <w:rPr>
                      <w:rFonts w:ascii="仿宋_GB2312" w:hAnsi="仿宋_GB2312" w:cs="仿宋_GB2312" w:eastAsia="仿宋_GB2312"/>
                      <w:sz w:val="28"/>
                    </w:rPr>
                    <w:t>IP30</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、额定短时耐受电流：</w:t>
                  </w:r>
                  <w:r>
                    <w:rPr>
                      <w:rFonts w:ascii="仿宋_GB2312" w:hAnsi="仿宋_GB2312" w:cs="仿宋_GB2312" w:eastAsia="仿宋_GB2312"/>
                      <w:sz w:val="28"/>
                    </w:rPr>
                    <w:t>35kA</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5</w:t>
                  </w:r>
                  <w:r>
                    <w:rPr>
                      <w:rFonts w:ascii="仿宋_GB2312" w:hAnsi="仿宋_GB2312" w:cs="仿宋_GB2312" w:eastAsia="仿宋_GB2312"/>
                      <w:sz w:val="28"/>
                    </w:rPr>
                    <w:t>、含进线柜、出线柜及配套母线；含安装、接线、调试及接地</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合同签订后60日历天内完成交货及安装调试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进度款，货物安装调试完成并经验收合格后，达到付款条件起10个工作日内，支付合同总金额的97.0%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其余百分之三（3%）留作为质保金（质保期一年结束后退还），达到付款条件起10个工作日内，支付合同总金额的3.0%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以招标文件及合同约定为准。验收依据：合同文本，招标文件，投标响应文件，供应商所出具的检验报告满足国家或行业规范执行标准。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一、质量保修范围 1、非人为损坏情形：保修范围限于货物自身质量问题（如设计缺陷、制造工艺不良），因甲方使用不当（如违规操作、未按说明书维护）、不可抗力（地震、洪水）或第三方原因导致的损坏，一般不在保修范围内。 2、 附加服务：免费维修、更换零件、远程故障诊断。 二、保修期约定自验收合格签字之日起12个月；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2.合同签订后，如乙方擅自中途停止或解除合同，乙方应向甲方赔偿1.5倍的首次付款。 3.实施过程中，乙方未按投标文件约定配备技术人员或乙方派驻技术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 4.乙方不得将本项目的任何部分转包或分包给其他任何单位和个人。若擅自转包或分包本合同标的，甲方有权解除合同，并可要求乙方偿付服务费30%的违约金，同时追究其法律责任。</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资格证明文件.pdf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投标人须具备以下任一类有效资质：电力工程施工总承包三级及以上或输变电工程专业承包三级及以上（提供资质证书扫描件）。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投标人须具备有效《安全生产许可证》</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拟派项目负责人须具备：机电工程或电力工程二级及以上注册建造师（提供注册证书扫描件）；有效安全生产考核合格证书（B证）。</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须提供2024年至今任意一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须提供依法缴纳税收的良好记录（提供投标截止时间前六个月内任意一个月份的缴纳凭据复印件并加盖单位公章，依法免税或开标前一年内零申报的供应商应提供相关证明文件）；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社会养老保障资金缴纳证明</w:t>
            </w:r>
          </w:p>
        </w:tc>
        <w:tc>
          <w:tcPr>
            <w:tcW w:type="dxa" w:w="3322"/>
          </w:tcPr>
          <w:p>
            <w:pPr>
              <w:pStyle w:val="null3"/>
            </w:pPr>
            <w:r>
              <w:rPr>
                <w:rFonts w:ascii="仿宋_GB2312" w:hAnsi="仿宋_GB2312" w:cs="仿宋_GB2312" w:eastAsia="仿宋_GB2312"/>
              </w:rPr>
              <w:t>须提供依法缴纳社会保障资金的良好记录（提供投标截止时间前六个月内任意一个月份的缴纳凭据复印件并加盖单位公章）；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法定代表人参加投标的，须提供法定代表人资格证明书；法定代表人授权他人参加投标的，须提供法定代表人授权委托书；</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网站截图</w:t>
            </w:r>
          </w:p>
        </w:tc>
        <w:tc>
          <w:tcPr>
            <w:tcW w:type="dxa" w:w="3322"/>
          </w:tcPr>
          <w:p>
            <w:pPr>
              <w:pStyle w:val="null3"/>
            </w:pPr>
            <w:r>
              <w:rPr>
                <w:rFonts w:ascii="仿宋_GB2312" w:hAnsi="仿宋_GB2312" w:cs="仿宋_GB2312" w:eastAsia="仿宋_GB2312"/>
              </w:rPr>
              <w:t>供应商应在投标截止日前未被列入失信被执行人、重大税收违法案件当事人名单、政府采购严重违法失信行为记录名单（处罚期限届满的除外（以“信用中国”网站（www.creditchina.gov.cn）查询结果为准）；中国政府采购网（www.ccgp.gov.cn）提供政府采购严重违法失信行为记录名单（处罚期限届满的除外）网站截图并加盖单位公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保证金缴纳凭据</w:t>
            </w:r>
          </w:p>
        </w:tc>
        <w:tc>
          <w:tcPr>
            <w:tcW w:type="dxa" w:w="3322"/>
          </w:tcPr>
          <w:p>
            <w:pPr>
              <w:pStyle w:val="null3"/>
            </w:pPr>
            <w:r>
              <w:rPr>
                <w:rFonts w:ascii="仿宋_GB2312" w:hAnsi="仿宋_GB2312" w:cs="仿宋_GB2312" w:eastAsia="仿宋_GB2312"/>
              </w:rPr>
              <w:t>保证金缴纳凭据提供银行转账凭证、基本存款账户信息资料复印件或金融机构、担保机构出具的保函复印件，复印件均须加盖公章；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本项目不接受联合体投标，单位负责人为同一人或者存在直接控股、管理关系的不同供应商，不得同时参加本项目同一标段投标。</w:t>
            </w:r>
          </w:p>
        </w:tc>
        <w:tc>
          <w:tcPr>
            <w:tcW w:type="dxa" w:w="1661"/>
          </w:tcPr>
          <w:p>
            <w:pPr>
              <w:pStyle w:val="null3"/>
            </w:pPr>
            <w:r>
              <w:rPr>
                <w:rFonts w:ascii="仿宋_GB2312" w:hAnsi="仿宋_GB2312" w:cs="仿宋_GB2312" w:eastAsia="仿宋_GB2312"/>
              </w:rPr>
              <w:t>资格证明文件.pdf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不专门面向中小企业采购</w:t>
            </w:r>
          </w:p>
        </w:tc>
        <w:tc>
          <w:tcPr>
            <w:tcW w:type="dxa" w:w="3322"/>
          </w:tcPr>
          <w:p>
            <w:pPr>
              <w:pStyle w:val="null3"/>
            </w:pPr>
            <w:r>
              <w:rPr>
                <w:rFonts w:ascii="仿宋_GB2312" w:hAnsi="仿宋_GB2312" w:cs="仿宋_GB2312" w:eastAsia="仿宋_GB2312"/>
              </w:rPr>
              <w:t>非专门面向中小企业</w:t>
            </w:r>
          </w:p>
        </w:tc>
        <w:tc>
          <w:tcPr>
            <w:tcW w:type="dxa" w:w="1661"/>
          </w:tcPr>
          <w:p>
            <w:pPr>
              <w:pStyle w:val="null3"/>
            </w:pPr>
            <w:r>
              <w:rPr>
                <w:rFonts w:ascii="仿宋_GB2312" w:hAnsi="仿宋_GB2312" w:cs="仿宋_GB2312" w:eastAsia="仿宋_GB2312"/>
              </w:rPr>
              <w:t>中小企业声明函.pdf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类似项目一览表.pdf 开标一览表 陕西省政府采购供应商拒绝政府采购领域商业贿赂承诺书.pdf 中小企业声明函.pdf 商务应答表 投标人应提交的相关资格证明材料 产品技术参数表 方案.pdf 投标函 残疾人福利性单位声明函 标的清单 投标文件封面 其他应说明事项.pdf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符合招标文件的签字、盖章要求</w:t>
            </w:r>
          </w:p>
        </w:tc>
        <w:tc>
          <w:tcPr>
            <w:tcW w:type="dxa" w:w="1661"/>
          </w:tcPr>
          <w:p>
            <w:pPr>
              <w:pStyle w:val="null3"/>
            </w:pPr>
            <w:r>
              <w:rPr>
                <w:rFonts w:ascii="仿宋_GB2312" w:hAnsi="仿宋_GB2312" w:cs="仿宋_GB2312" w:eastAsia="仿宋_GB2312"/>
              </w:rPr>
              <w:t>类似项目一览表.pdf 开标一览表 陕西省政府采购供应商拒绝政府采购领域商业贿赂承诺书.pdf 中小企业声明函.pdf 商务应答表 投标人应提交的相关资格证明材料 产品技术参数表 方案.pdf 投标函 残疾人福利性单位声明函 标的清单 投标文件封面 其他应说明事项.pdf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 超过采购预算金额和最高限价。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投标文件中项目名称、项目编号与本项目一致</w:t>
            </w:r>
          </w:p>
        </w:tc>
        <w:tc>
          <w:tcPr>
            <w:tcW w:type="dxa" w:w="1661"/>
          </w:tcPr>
          <w:p>
            <w:pPr>
              <w:pStyle w:val="null3"/>
            </w:pPr>
            <w:r>
              <w:rPr>
                <w:rFonts w:ascii="仿宋_GB2312" w:hAnsi="仿宋_GB2312" w:cs="仿宋_GB2312" w:eastAsia="仿宋_GB2312"/>
              </w:rPr>
              <w:t>类似项目一览表.pdf 开标一览表 陕西省政府采购供应商拒绝政府采购领域商业贿赂承诺书.pdf 中小企业声明函.pdf 商务应答表 投标人应提交的相关资格证明材料 产品技术参数表 方案.pdf 投标函 残疾人福利性单位声明函 标的清单 投标文件封面 其他应说明事项.pdf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须完全响应招标文件采购需求中实质性条款（包括技术 参数中“★”采购数量、商务条款），且内容不得含有 采购人不能接受的附加条件</w:t>
            </w:r>
          </w:p>
        </w:tc>
        <w:tc>
          <w:tcPr>
            <w:tcW w:type="dxa" w:w="1661"/>
          </w:tcPr>
          <w:p>
            <w:pPr>
              <w:pStyle w:val="null3"/>
            </w:pPr>
            <w:r>
              <w:rPr>
                <w:rFonts w:ascii="仿宋_GB2312" w:hAnsi="仿宋_GB2312" w:cs="仿宋_GB2312" w:eastAsia="仿宋_GB2312"/>
              </w:rPr>
              <w:t>产品技术参数表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类似项目一览表.pdf 开标一览表 陕西省政府采购供应商拒绝政府采购领域商业贿赂承诺书.pdf 中小企业声明函.pdf 商务应答表 投标人应提交的相关资格证明材料 产品技术参数表 方案.pdf 投标函 残疾人福利性单位声明函 标的清单 投标文件封面 其他应说明事项.pdf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详细评审50.00分</w:t>
            </w:r>
          </w:p>
          <w:p>
            <w:pPr>
              <w:pStyle w:val="null3"/>
            </w:pPr>
            <w:r>
              <w:rPr>
                <w:rFonts w:ascii="仿宋_GB2312" w:hAnsi="仿宋_GB2312" w:cs="仿宋_GB2312" w:eastAsia="仿宋_GB2312"/>
              </w:rPr>
              <w:t>报价得分50.00分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所投产品技术参数清楚、明确并能逐条响应招标文件“技术参数表”中除★项外所有参数要求17项，每项负偏离扣2分，扣完为止。注：证明材料包括但不限于检测报告、产品彩页、产品使用说明书和其他证明资料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方案.pdf</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投标人提供【①箱式变压器(含基础)②电杆组立③电力变压器系统（含施工）④配电装置系统】所投产品的合法来源渠道证明文件，满分6分，不提供不得分。以下资料提供任意一种： 1、如投标人为所投产品代理商：提供货物的合法来源渠道证明文件（例如：产品制造商授权、销售协议、代理协议等证明文件），每提供1项得1.5分，满分6分， 2、如投标人为所投产品的制造商：需提供情况说明（说明某一项产品为制造商自己生产），每提供1项得1.5分，满分6分， 备注：以加盖投标人公章的证明材料复印件为计分依据。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方案.pdf</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一、评审内容投标人需针对本项目提供完整的项目实施方案。内容包含：①供货组织安排②实施计划及进度计划③安装调试及验收方案④物力调配及保障措施。 二、评审标准 1、完整性：方案须全面，对评审内容中的各项要求描述详细；2、可实施性：切合本项目实际情况，实施步骤清晰、合理；3、针对性：方案能够紧扣项目实际情况，内容科学合理。 三、赋分依据（满分 6分） ①供货组织安排：每完全满足一个评审标准得 0.5分，满分 1.5分； ②实施计划及进度计划:每完全满足一个评审标准得 0.5 分，满分 1.5分； ③安装调试及验收方案:每完全满足一个评审标准得0.5分，满分1.5分； ④物力调配及保障措施：每完全满足一个评审标准得0.5分，满分1.5分。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方案.pdf</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一、评审内容根据项目实际需求，提供质量保证方案。内容包含：①产品性能②使用寿命及效果③产品符合行业标准、产品质量检测措施④交货及安装时间。 二、评审标准 1、完整性：方案须全面，对评审内容中的各项要求描述详细；2、可实施性：切合本项目实际情况，实施步骤清晰、合理；3、针对性：方案能够紧扣项目实际情况，内容科学合理。 三、赋分依据（满分 6 分） ①产品性能：每完全满足一个评审标准得0.5分，满分1.5分； ②使用寿命及效果:每完全满足一个评审标准得 0.5 分，满分1.5分； ③产品符合行业标准、产品质量检测措施每完全满足一个评审标准得 0.5 分，满分1.5分，④交货及安装时间:每完全满足一个评审标准得 0.5 分，满分 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提供投标人2023年6月至今（时间以合同签订时间为准）类似项目业绩，每份计3分，满分6分。 备注：需提供完整业绩合同或中标通知书，并加盖投标人公章。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类似项目一览表.pdf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一、评审内容根据项目实际需求提供售后服务方案。内容包含：①售后服务范围及保障措施②售后服务承诺③响应时间④故障处理及补救措施。 二、评审标准 1、完整性：方案须全面，对评审内容中的各项要求描述详细；2、可实施性：切合本项目实际情况，实施步骤清晰、合理；3、针对性：方案能够紧扣项目实际情况，内容科学合理。 三、赋分依据（满分6分） ①售后服务范围及保障措施：每完全满足一个评审标准得 0.5分，满分1.5 分； ②售后服务承诺:每完全满足一个评审标准得0.5分，满分 1.5分； ③响应时间:每完全满足一个评审标准得0.5分，满分1.5分； ④故障处理及补救措施:每完全满足一个评审标准得0.5分，满分1.5分。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 其他投标人的价格分统一按照下列公式计算： 投标报价得分=（评标基准价/投标报价）×价格权值（即50%）×100（因落实政府采购政策进行价格调整的，以调整后的价格计算评标基准价和投标报价）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中小企业声明函.pdf</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详见附件：陕西省政府采购供应商拒绝政府采购领域商业贿赂承诺书.pdf</w:t>
      </w:r>
    </w:p>
    <w:p>
      <w:pPr>
        <w:pStyle w:val="null3"/>
        <w:ind w:firstLine="960"/>
      </w:pPr>
      <w:r>
        <w:rPr>
          <w:rFonts w:ascii="仿宋_GB2312" w:hAnsi="仿宋_GB2312" w:cs="仿宋_GB2312" w:eastAsia="仿宋_GB2312"/>
        </w:rPr>
        <w:t>详见附件：其他应说明事项.pdf</w:t>
      </w:r>
    </w:p>
    <w:p>
      <w:pPr>
        <w:pStyle w:val="null3"/>
        <w:ind w:firstLine="960"/>
      </w:pPr>
      <w:r>
        <w:rPr>
          <w:rFonts w:ascii="仿宋_GB2312" w:hAnsi="仿宋_GB2312" w:cs="仿宋_GB2312" w:eastAsia="仿宋_GB2312"/>
        </w:rPr>
        <w:t>详见附件：类似项目一览表.pdf</w:t>
      </w:r>
    </w:p>
    <w:p>
      <w:pPr>
        <w:pStyle w:val="null3"/>
        <w:ind w:firstLine="960"/>
      </w:pPr>
      <w:r>
        <w:rPr>
          <w:rFonts w:ascii="仿宋_GB2312" w:hAnsi="仿宋_GB2312" w:cs="仿宋_GB2312" w:eastAsia="仿宋_GB2312"/>
        </w:rPr>
        <w:t>详见附件：方案.pdf</w:t>
      </w:r>
    </w:p>
    <w:p>
      <w:pPr>
        <w:pStyle w:val="null3"/>
        <w:ind w:firstLine="960"/>
      </w:pPr>
      <w:r>
        <w:rPr>
          <w:rFonts w:ascii="仿宋_GB2312" w:hAnsi="仿宋_GB2312" w:cs="仿宋_GB2312" w:eastAsia="仿宋_GB2312"/>
        </w:rPr>
        <w:t>详见附件：中小企业声明函.pdf</w:t>
      </w:r>
    </w:p>
    <w:p>
      <w:pPr>
        <w:pStyle w:val="null3"/>
        <w:ind w:firstLine="960"/>
      </w:pPr>
      <w:r>
        <w:rPr>
          <w:rFonts w:ascii="仿宋_GB2312" w:hAnsi="仿宋_GB2312" w:cs="仿宋_GB2312" w:eastAsia="仿宋_GB2312"/>
        </w:rPr>
        <w:t>详见附件：资格证明文件.pdf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