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D3E1A">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u w:val="single"/>
          <w:lang w:val="en-US" w:eastAsia="zh-CN"/>
        </w:rPr>
        <w:t xml:space="preserve">              </w:t>
      </w:r>
    </w:p>
    <w:p w14:paraId="4BF97A0C">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3A37BC4F">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0F42A2BC">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001B2DD6">
      <w:pPr>
        <w:pStyle w:val="5"/>
        <w:rPr>
          <w:rFonts w:hint="eastAsia" w:ascii="Times New Roman" w:hAnsi="Times New Roman" w:eastAsia="宋体" w:cs="Times New Roman"/>
          <w:color w:val="auto"/>
          <w:kern w:val="2"/>
          <w:sz w:val="21"/>
          <w:szCs w:val="21"/>
          <w:highlight w:val="none"/>
          <w:lang w:val="en-US" w:eastAsia="zh-CN" w:bidi="ar-SA"/>
        </w:rPr>
      </w:pPr>
    </w:p>
    <w:p w14:paraId="0390FBD4">
      <w:pPr>
        <w:rPr>
          <w:rFonts w:hint="eastAsia"/>
          <w:lang w:val="en-US" w:eastAsia="zh-CN"/>
        </w:rPr>
      </w:pPr>
    </w:p>
    <w:p w14:paraId="257DACBF">
      <w:pPr>
        <w:pStyle w:val="7"/>
        <w:keepNext w:val="0"/>
        <w:keepLines w:val="0"/>
        <w:pageBreakBefore w:val="0"/>
        <w:widowControl w:val="0"/>
        <w:kinsoku/>
        <w:wordWrap/>
        <w:overflowPunct/>
        <w:topLinePunct w:val="0"/>
        <w:autoSpaceDE/>
        <w:autoSpaceDN/>
        <w:bidi w:val="0"/>
        <w:adjustRightInd/>
        <w:snapToGrid/>
        <w:spacing w:line="240" w:lineRule="auto"/>
        <w:ind w:left="0" w:leftChars="0" w:hanging="6" w:firstLineChars="0"/>
        <w:jc w:val="center"/>
        <w:textAlignment w:val="auto"/>
        <w:rPr>
          <w:rFonts w:hint="default"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（陕西省交通运输科技咨询技术服务）</w:t>
      </w:r>
    </w:p>
    <w:p w14:paraId="1F0C983B">
      <w:pPr>
        <w:pStyle w:val="7"/>
        <w:keepNext w:val="0"/>
        <w:keepLines w:val="0"/>
        <w:pageBreakBefore w:val="0"/>
        <w:widowControl w:val="0"/>
        <w:kinsoku/>
        <w:wordWrap/>
        <w:overflowPunct/>
        <w:topLinePunct w:val="0"/>
        <w:autoSpaceDE/>
        <w:autoSpaceDN/>
        <w:bidi w:val="0"/>
        <w:adjustRightInd/>
        <w:snapToGrid/>
        <w:spacing w:line="240" w:lineRule="auto"/>
        <w:ind w:left="0" w:leftChars="0" w:hanging="6" w:firstLineChars="0"/>
        <w:jc w:val="center"/>
        <w:textAlignment w:val="auto"/>
        <w:rPr>
          <w:rFonts w:hint="eastAsia" w:ascii="宋体" w:hAnsi="宋体" w:eastAsia="宋体" w:cs="宋体"/>
          <w:b/>
          <w:bCs/>
          <w:color w:val="auto"/>
          <w:kern w:val="0"/>
          <w:sz w:val="44"/>
          <w:szCs w:val="44"/>
          <w:highlight w:val="none"/>
          <w:u w:val="none"/>
          <w:lang w:val="en-US" w:eastAsia="zh-CN"/>
        </w:rPr>
      </w:pPr>
    </w:p>
    <w:p w14:paraId="5FFCF72F">
      <w:pPr>
        <w:pStyle w:val="7"/>
        <w:keepNext w:val="0"/>
        <w:keepLines w:val="0"/>
        <w:pageBreakBefore w:val="0"/>
        <w:widowControl w:val="0"/>
        <w:kinsoku/>
        <w:wordWrap/>
        <w:overflowPunct/>
        <w:topLinePunct w:val="0"/>
        <w:autoSpaceDE/>
        <w:autoSpaceDN/>
        <w:bidi w:val="0"/>
        <w:adjustRightInd/>
        <w:snapToGrid/>
        <w:spacing w:line="240" w:lineRule="auto"/>
        <w:ind w:left="0" w:leftChars="0" w:hanging="6" w:firstLineChars="0"/>
        <w:jc w:val="center"/>
        <w:textAlignment w:val="auto"/>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34A84640">
      <w:pPr>
        <w:spacing w:line="324" w:lineRule="auto"/>
        <w:rPr>
          <w:rFonts w:hint="eastAsia" w:ascii="Times New Roman" w:hAnsi="宋体" w:eastAsia="宋体" w:cs="宋体"/>
          <w:color w:val="auto"/>
          <w:sz w:val="18"/>
          <w:szCs w:val="21"/>
          <w:highlight w:val="none"/>
        </w:rPr>
      </w:pPr>
    </w:p>
    <w:p w14:paraId="614CAFBC">
      <w:pPr>
        <w:spacing w:line="324" w:lineRule="auto"/>
        <w:rPr>
          <w:rFonts w:hint="eastAsia" w:ascii="Times New Roman" w:hAnsi="宋体" w:eastAsia="宋体" w:cs="宋体"/>
          <w:color w:val="auto"/>
          <w:sz w:val="18"/>
          <w:szCs w:val="21"/>
          <w:highlight w:val="none"/>
        </w:rPr>
      </w:pPr>
    </w:p>
    <w:p w14:paraId="735C3543">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3F119AFB">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1DE72FBD">
      <w:pPr>
        <w:spacing w:line="324" w:lineRule="auto"/>
        <w:rPr>
          <w:rFonts w:hint="eastAsia" w:ascii="Times New Roman" w:hAnsi="宋体" w:eastAsia="宋体" w:cs="宋体"/>
          <w:color w:val="auto"/>
          <w:sz w:val="18"/>
          <w:szCs w:val="21"/>
          <w:highlight w:val="none"/>
        </w:rPr>
      </w:pPr>
    </w:p>
    <w:p w14:paraId="206D6A34">
      <w:pPr>
        <w:spacing w:line="324" w:lineRule="auto"/>
        <w:rPr>
          <w:rFonts w:hint="eastAsia" w:ascii="Times New Roman" w:hAnsi="宋体" w:eastAsia="宋体" w:cs="宋体"/>
          <w:color w:val="auto"/>
          <w:sz w:val="18"/>
          <w:szCs w:val="21"/>
          <w:highlight w:val="none"/>
        </w:rPr>
      </w:pPr>
    </w:p>
    <w:p w14:paraId="65E4C8E2">
      <w:pPr>
        <w:spacing w:line="324" w:lineRule="auto"/>
        <w:jc w:val="center"/>
        <w:rPr>
          <w:rFonts w:hint="eastAsia" w:ascii="Times New Roman" w:hAnsi="宋体" w:eastAsia="宋体" w:cs="宋体"/>
          <w:b/>
          <w:color w:val="auto"/>
          <w:sz w:val="28"/>
          <w:szCs w:val="28"/>
          <w:highlight w:val="none"/>
        </w:rPr>
      </w:pPr>
    </w:p>
    <w:p w14:paraId="002D50CB">
      <w:pPr>
        <w:spacing w:before="163" w:beforeLines="50" w:line="360" w:lineRule="auto"/>
        <w:rPr>
          <w:rFonts w:hint="eastAsia" w:ascii="Times New Roman" w:hAnsi="宋体" w:eastAsia="宋体" w:cs="宋体"/>
          <w:bCs/>
          <w:color w:val="auto"/>
          <w:sz w:val="40"/>
          <w:szCs w:val="40"/>
          <w:highlight w:val="none"/>
        </w:rPr>
      </w:pPr>
    </w:p>
    <w:p w14:paraId="4DBA7F70">
      <w:pPr>
        <w:spacing w:before="163" w:beforeLines="50" w:line="360" w:lineRule="auto"/>
        <w:jc w:val="center"/>
        <w:rPr>
          <w:rFonts w:hint="eastAsia" w:ascii="Times New Roman" w:hAnsi="宋体" w:eastAsia="宋体" w:cs="宋体"/>
          <w:b/>
          <w:bCs/>
          <w:color w:val="auto"/>
          <w:sz w:val="28"/>
          <w:szCs w:val="28"/>
          <w:highlight w:val="none"/>
        </w:rPr>
      </w:pPr>
    </w:p>
    <w:p w14:paraId="0EC88DFF">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47E95E87">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0D78AE1C">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7F1517BE">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59FB0C2A">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331FC3EA">
      <w:pPr>
        <w:spacing w:line="360" w:lineRule="auto"/>
        <w:ind w:firstLine="482" w:firstLineChars="200"/>
        <w:rPr>
          <w:rFonts w:hint="eastAsia" w:ascii="宋体" w:hAnsi="宋体" w:eastAsia="宋体" w:cs="宋体"/>
          <w:b/>
          <w:bCs/>
          <w:color w:val="auto"/>
          <w:sz w:val="24"/>
          <w:szCs w:val="24"/>
          <w:highlight w:val="none"/>
          <w:u w:val="none"/>
        </w:rPr>
      </w:pPr>
    </w:p>
    <w:p w14:paraId="52679656">
      <w:pPr>
        <w:keepNext w:val="0"/>
        <w:keepLines w:val="0"/>
        <w:pageBreakBefore w:val="0"/>
        <w:widowControl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 xml:space="preserve">                                      </w:t>
      </w:r>
    </w:p>
    <w:p w14:paraId="6BAB5543">
      <w:pPr>
        <w:keepNext w:val="0"/>
        <w:keepLines w:val="0"/>
        <w:pageBreakBefore w:val="0"/>
        <w:widowControl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2DF27349">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00B3C7A1">
      <w:pPr>
        <w:keepNext w:val="0"/>
        <w:keepLines w:val="0"/>
        <w:pageBreakBefore w:val="0"/>
        <w:widowControl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3610A050">
      <w:pPr>
        <w:pStyle w:val="7"/>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single"/>
          <w:lang w:eastAsia="zh-CN"/>
        </w:rPr>
        <w:t>陕西省交通运输科技咨询技术服务</w:t>
      </w:r>
    </w:p>
    <w:p w14:paraId="55783651">
      <w:pPr>
        <w:pStyle w:val="7"/>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default"/>
          <w:b w:val="0"/>
          <w:bCs w:val="0"/>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color w:val="auto"/>
          <w:sz w:val="28"/>
          <w:szCs w:val="28"/>
          <w:highlight w:val="none"/>
          <w:u w:val="single"/>
          <w:lang w:val="en-US" w:eastAsia="zh-CN"/>
        </w:rPr>
        <w:t>采购人指定地点</w:t>
      </w:r>
      <w:r>
        <w:rPr>
          <w:rFonts w:hint="eastAsia" w:ascii="宋体" w:hAnsi="宋体" w:eastAsia="宋体" w:cs="宋体"/>
          <w:b w:val="0"/>
          <w:bCs w:val="0"/>
          <w:color w:val="auto"/>
          <w:sz w:val="28"/>
          <w:szCs w:val="28"/>
          <w:highlight w:val="none"/>
          <w:u w:val="single"/>
          <w:lang w:val="en-US" w:eastAsia="zh-CN"/>
        </w:rPr>
        <w:t xml:space="preserve"> </w:t>
      </w:r>
    </w:p>
    <w:p w14:paraId="59DCAA06">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全面调研、汇总、分析年度陕西交通科技发展情况（包含科技项目研究与成果推广应用、信息化工作进展、标准制修订、重大行业科技交流等方面），形成科技成果汇编，编制年度科技发展报告，并针对陕西省交通运输科技的发展趋势，提出年度科技项目申报指南。按照省交通运输厅要求，开展年度科研项目前期审查，包含形式审查、核查、查重等工作，形成年度科研项目前期审查报告。承担年度科研项目专家盲审网评费用，配合组织开展年度科研项目大纲评审等科研项目管理工作，进一步加强陕西交通科技管理，促进交通行业的科技进步与创新。编制《2026年度陕西省交通运输科技发展报告》《2027年度科技项目申报指南》《2026年度科技成果汇编》。</w:t>
      </w: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61EBA420">
      <w:pPr>
        <w:keepNext w:val="0"/>
        <w:keepLines w:val="0"/>
        <w:pageBreakBefore w:val="0"/>
        <w:widowControl w:val="0"/>
        <w:wordWrap/>
        <w:overflowPunct/>
        <w:topLinePunct w:val="0"/>
        <w:autoSpaceDE/>
        <w:autoSpaceDN/>
        <w:bidi w:val="0"/>
        <w:adjustRightInd/>
        <w:snapToGrid/>
        <w:spacing w:line="360" w:lineRule="auto"/>
        <w:ind w:left="280" w:leftChars="0" w:hanging="280" w:hangingChars="1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015AC37D">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劳务费、国家按现行税收政策征收的一切税</w:t>
      </w:r>
      <w:r>
        <w:rPr>
          <w:rFonts w:hint="eastAsia" w:ascii="宋体" w:hAnsi="宋体" w:eastAsia="宋体" w:cs="宋体"/>
          <w:color w:val="auto"/>
          <w:sz w:val="28"/>
          <w:szCs w:val="28"/>
          <w:highlight w:val="none"/>
          <w:lang w:eastAsia="zh-CN"/>
        </w:rPr>
        <w:t>、服务费、</w:t>
      </w:r>
      <w:r>
        <w:rPr>
          <w:rFonts w:hint="eastAsia" w:ascii="宋体" w:hAnsi="宋体" w:eastAsia="宋体" w:cs="宋体"/>
          <w:color w:val="auto"/>
          <w:sz w:val="28"/>
          <w:szCs w:val="28"/>
          <w:highlight w:val="none"/>
          <w:lang w:val="en-US" w:eastAsia="zh-CN"/>
        </w:rPr>
        <w:t>分析报告出具费用</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080E7207">
      <w:pPr>
        <w:keepNext w:val="0"/>
        <w:keepLines w:val="0"/>
        <w:pageBreakBefore w:val="0"/>
        <w:widowControl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4A7DFB26">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合同服务期为合同签订</w:t>
      </w:r>
      <w:r>
        <w:rPr>
          <w:rFonts w:hint="eastAsia" w:ascii="宋体" w:hAnsi="宋体" w:eastAsia="宋体" w:cs="宋体"/>
          <w:color w:val="auto"/>
          <w:sz w:val="28"/>
          <w:szCs w:val="28"/>
          <w:highlight w:val="none"/>
          <w:lang w:eastAsia="zh-CN"/>
        </w:rPr>
        <w:t>之日起【一年】</w:t>
      </w:r>
    </w:p>
    <w:p w14:paraId="6032FB38">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或合同起止日期</w:t>
      </w:r>
      <w:r>
        <w:rPr>
          <w:rFonts w:hint="eastAsia" w:ascii="宋体" w:hAnsi="宋体" w:eastAsia="宋体" w:cs="宋体"/>
          <w:color w:val="auto"/>
          <w:sz w:val="28"/>
          <w:szCs w:val="28"/>
          <w:highlight w:val="none"/>
          <w:u w:val="single"/>
          <w:lang w:val="en-US" w:eastAsia="zh-CN"/>
        </w:rPr>
        <w:t>（    年    月    日 ----    年    月    日）</w:t>
      </w:r>
      <w:r>
        <w:rPr>
          <w:rFonts w:hint="eastAsia" w:ascii="宋体" w:hAnsi="宋体" w:eastAsia="宋体" w:cs="宋体"/>
          <w:color w:val="auto"/>
          <w:sz w:val="28"/>
          <w:szCs w:val="28"/>
          <w:highlight w:val="none"/>
          <w:u w:val="single"/>
        </w:rPr>
        <w:t>。</w:t>
      </w:r>
    </w:p>
    <w:p w14:paraId="7FA05455">
      <w:pPr>
        <w:keepNext w:val="0"/>
        <w:keepLines w:val="0"/>
        <w:pageBreakBefore w:val="0"/>
        <w:widowControl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5792C759">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74DAC6B8">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0BB31FAF">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6FE1DEB0">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1.合同签订后，甲方在收到乙方缴纳的履约保证金及符合甲方要求的增值税专用/普通发票后一个月内，甲方支付乙方合同总金额的 60%；大写: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；2026年 12月20日前，乙方提交工作总结报告和阶段成果资料，经甲方审核合格后，甲方支付乙方剩余合同总金额的 40%。</w:t>
      </w:r>
    </w:p>
    <w:p w14:paraId="2C4335ED">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44942859">
      <w:pPr>
        <w:keepNext w:val="0"/>
        <w:keepLines w:val="0"/>
        <w:pageBreakBefore w:val="0"/>
        <w:widowControl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07695DF4">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eastAsia="zh-CN"/>
        </w:rPr>
        <w:t>全面调研、汇总、分析年度陕西交通科技发展情况（包含科技项目研究与成果推广应用、信息化工作进展、标准制修订、重大行业科技交流等方面），形成科技成果汇编，编制年度科技发展报告，并针对陕西省交通运输科技的发展趋势，提出年度科技项目申报指南。按照省交通运输厅要求，开展年度科研项目前期审查，包含形式审查、核查、查重等工作，形成年度科研项目前期审查报告。承担年度科研项目专家盲审网评费用，配合组织开展年度科研项目大纲评审等科研项目管理工作，进一步加强陕西交通科技管理，促进交通行业的科技进步与创新。编制《202</w:t>
      </w:r>
      <w:r>
        <w:rPr>
          <w:rFonts w:hint="eastAsia" w:ascii="宋体" w:hAnsi="宋体" w:eastAsia="宋体" w:cs="宋体"/>
          <w:color w:val="auto"/>
          <w:sz w:val="28"/>
          <w:szCs w:val="28"/>
          <w:highlight w:val="none"/>
          <w:u w:val="none"/>
          <w:lang w:val="en-US" w:eastAsia="zh-CN"/>
        </w:rPr>
        <w:t>6</w:t>
      </w:r>
      <w:r>
        <w:rPr>
          <w:rFonts w:hint="eastAsia" w:ascii="宋体" w:hAnsi="宋体" w:eastAsia="宋体" w:cs="宋体"/>
          <w:color w:val="auto"/>
          <w:sz w:val="28"/>
          <w:szCs w:val="28"/>
          <w:highlight w:val="none"/>
          <w:u w:val="none"/>
          <w:lang w:eastAsia="zh-CN"/>
        </w:rPr>
        <w:t>年度陕西省交通运输科技发展报告》《202</w:t>
      </w:r>
      <w:r>
        <w:rPr>
          <w:rFonts w:hint="eastAsia" w:ascii="宋体" w:hAnsi="宋体" w:eastAsia="宋体" w:cs="宋体"/>
          <w:color w:val="auto"/>
          <w:sz w:val="28"/>
          <w:szCs w:val="28"/>
          <w:highlight w:val="none"/>
          <w:u w:val="none"/>
          <w:lang w:val="en-US" w:eastAsia="zh-CN"/>
        </w:rPr>
        <w:t>7</w:t>
      </w:r>
      <w:r>
        <w:rPr>
          <w:rFonts w:hint="eastAsia" w:ascii="宋体" w:hAnsi="宋体" w:eastAsia="宋体" w:cs="宋体"/>
          <w:color w:val="auto"/>
          <w:sz w:val="28"/>
          <w:szCs w:val="28"/>
          <w:highlight w:val="none"/>
          <w:u w:val="none"/>
          <w:lang w:eastAsia="zh-CN"/>
        </w:rPr>
        <w:t>年度科技项目申报指南》《202</w:t>
      </w:r>
      <w:r>
        <w:rPr>
          <w:rFonts w:hint="eastAsia" w:ascii="宋体" w:hAnsi="宋体" w:eastAsia="宋体" w:cs="宋体"/>
          <w:color w:val="auto"/>
          <w:sz w:val="28"/>
          <w:szCs w:val="28"/>
          <w:highlight w:val="none"/>
          <w:u w:val="none"/>
          <w:lang w:val="en-US" w:eastAsia="zh-CN"/>
        </w:rPr>
        <w:t>6</w:t>
      </w:r>
      <w:r>
        <w:rPr>
          <w:rFonts w:hint="eastAsia" w:ascii="宋体" w:hAnsi="宋体" w:eastAsia="宋体" w:cs="宋体"/>
          <w:color w:val="auto"/>
          <w:sz w:val="28"/>
          <w:szCs w:val="28"/>
          <w:highlight w:val="none"/>
          <w:u w:val="none"/>
          <w:lang w:eastAsia="zh-CN"/>
        </w:rPr>
        <w:t>年度科技成果汇编》。</w:t>
      </w:r>
    </w:p>
    <w:p w14:paraId="2B6D32B4">
      <w:pPr>
        <w:keepNext w:val="0"/>
        <w:keepLines w:val="0"/>
        <w:pageBreakBefore w:val="0"/>
        <w:widowControl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2308B313">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满足交通运输部、陕西省交通运输主管部门印发的规范性文件以及招标文件相关技术要求，提交的检测报告需通过咨询单位的技术审查。</w:t>
      </w:r>
    </w:p>
    <w:p w14:paraId="6005C6A9">
      <w:pPr>
        <w:keepNext w:val="0"/>
        <w:keepLines w:val="0"/>
        <w:pageBreakBefore w:val="0"/>
        <w:widowControl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383A62CB">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cs="宋体" w:eastAsiaTheme="minorEastAsia"/>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r>
        <w:rPr>
          <w:rFonts w:hint="eastAsia"/>
          <w:lang w:eastAsia="zh-CN"/>
        </w:rPr>
        <w:t>。</w:t>
      </w:r>
    </w:p>
    <w:p w14:paraId="5526435F">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3DC2580D">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（三）验收依据：①本合同及附件文本；②竞争性磋商文件、磋商响应文件、澄清表（函）；③国家相应的标准、规范。</w:t>
      </w:r>
    </w:p>
    <w:p w14:paraId="67AA32A9">
      <w:pPr>
        <w:keepNext w:val="0"/>
        <w:keepLines w:val="0"/>
        <w:pageBreakBefore w:val="0"/>
        <w:widowControl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007F7CF4">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八、保密</w:t>
      </w:r>
    </w:p>
    <w:p w14:paraId="727EBE20">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70870CD8">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none"/>
          <w:lang w:val="en-US" w:eastAsia="zh-CN"/>
        </w:rPr>
        <w:t>3</w:t>
      </w:r>
      <w:r>
        <w:rPr>
          <w:rFonts w:hint="eastAsia" w:ascii="宋体" w:hAnsi="宋体" w:eastAsia="宋体" w:cs="宋体"/>
          <w:color w:val="auto"/>
          <w:sz w:val="28"/>
          <w:szCs w:val="28"/>
          <w:highlight w:val="none"/>
          <w:lang w:val="en-US" w:eastAsia="zh-CN"/>
        </w:rPr>
        <w:t>%的违约金</w:t>
      </w:r>
      <w:r>
        <w:rPr>
          <w:rFonts w:hint="eastAsia" w:ascii="宋体" w:hAnsi="宋体" w:eastAsia="宋体" w:cs="宋体"/>
          <w:color w:val="auto"/>
          <w:sz w:val="28"/>
          <w:szCs w:val="28"/>
          <w:highlight w:val="none"/>
          <w:lang w:val="en-US" w:eastAsia="zh-CN"/>
        </w:rPr>
        <w:t>，给甲方造成损失的，乙方还应予以赔偿。</w:t>
      </w:r>
    </w:p>
    <w:p w14:paraId="538215F0">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九、知识产权</w:t>
      </w:r>
    </w:p>
    <w:p w14:paraId="2E4B183E">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none"/>
          <w:lang w:val="en-US" w:eastAsia="zh-CN"/>
        </w:rPr>
        <w:t>3</w:t>
      </w:r>
      <w:r>
        <w:rPr>
          <w:rFonts w:hint="eastAsia" w:ascii="宋体" w:hAnsi="宋体" w:eastAsia="宋体" w:cs="宋体"/>
          <w:color w:val="auto"/>
          <w:sz w:val="28"/>
          <w:szCs w:val="28"/>
          <w:highlight w:val="none"/>
          <w:lang w:val="en-US" w:eastAsia="zh-CN"/>
        </w:rPr>
        <w:t>%的违</w:t>
      </w:r>
      <w:r>
        <w:rPr>
          <w:rFonts w:hint="eastAsia" w:ascii="宋体" w:hAnsi="宋体" w:eastAsia="宋体" w:cs="宋体"/>
          <w:color w:val="auto"/>
          <w:sz w:val="28"/>
          <w:szCs w:val="28"/>
          <w:highlight w:val="none"/>
          <w:lang w:val="en-US" w:eastAsia="zh-CN"/>
        </w:rPr>
        <w:t>约金，给甲方造成损失的，乙方应予以赔偿。</w:t>
      </w:r>
    </w:p>
    <w:p w14:paraId="383CB49F">
      <w:pPr>
        <w:pStyle w:val="6"/>
        <w:keepNext w:val="0"/>
        <w:keepLines w:val="0"/>
        <w:pageBreakBefore w:val="0"/>
        <w:widowControl w:val="0"/>
        <w:wordWrap/>
        <w:overflowPunct/>
        <w:topLinePunct w:val="0"/>
        <w:autoSpaceDE/>
        <w:autoSpaceDN/>
        <w:bidi w:val="0"/>
        <w:adjustRightInd/>
        <w:snapToGrid/>
        <w:spacing w:line="360" w:lineRule="auto"/>
        <w:ind w:left="0" w:leftChars="0"/>
        <w:textAlignment w:val="auto"/>
        <w:rPr>
          <w:rFonts w:hint="eastAsia" w:eastAsiaTheme="minorEastAsia"/>
          <w:highlight w:val="none"/>
          <w:lang w:eastAsia="zh-CN"/>
        </w:rPr>
      </w:pPr>
      <w:r>
        <w:rPr>
          <w:rFonts w:hint="eastAsia" w:ascii="宋体" w:hAnsi="宋体" w:eastAsia="宋体" w:cs="宋体"/>
          <w:b/>
          <w:bCs/>
          <w:color w:val="auto"/>
          <w:sz w:val="28"/>
          <w:szCs w:val="28"/>
          <w:highlight w:val="none"/>
          <w:lang w:val="en-US" w:eastAsia="zh-CN"/>
        </w:rPr>
        <w:t xml:space="preserve">     十、违约责任</w:t>
      </w:r>
    </w:p>
    <w:p w14:paraId="56913D7A">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1FD780DF">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F675748">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6518FEBC">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none"/>
          <w:lang w:val="en-US" w:eastAsia="zh-CN"/>
        </w:rPr>
        <w:t>1</w:t>
      </w:r>
      <w:r>
        <w:rPr>
          <w:rFonts w:hint="eastAsia" w:ascii="宋体" w:hAnsi="宋体" w:eastAsia="宋体" w:cs="宋体"/>
          <w:color w:val="auto"/>
          <w:sz w:val="28"/>
          <w:szCs w:val="28"/>
          <w:highlight w:val="none"/>
          <w:lang w:val="en-US" w:eastAsia="zh-CN"/>
        </w:rPr>
        <w:t>%的违约金，逾期</w:t>
      </w:r>
      <w:r>
        <w:rPr>
          <w:rFonts w:hint="eastAsia" w:ascii="宋体" w:hAnsi="宋体" w:eastAsia="宋体" w:cs="宋体"/>
          <w:color w:val="auto"/>
          <w:sz w:val="28"/>
          <w:szCs w:val="28"/>
          <w:highlight w:val="none"/>
          <w:u w:val="none"/>
          <w:lang w:val="en-US" w:eastAsia="zh-CN"/>
        </w:rPr>
        <w:t>30</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4CEFEA89">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none"/>
          <w:lang w:val="en-US" w:eastAsia="zh-CN"/>
        </w:rPr>
        <w:t>3</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的违约金。</w:t>
      </w:r>
    </w:p>
    <w:p w14:paraId="4888877E">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none"/>
          <w:lang w:val="en-US" w:eastAsia="zh-CN"/>
        </w:rPr>
        <w:t>3</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w:t>
      </w:r>
    </w:p>
    <w:p w14:paraId="0ECCBDBD">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3B431D50">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 方要求提供服务的，每出现一次应承担合同总价款【</w:t>
      </w: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rPr>
        <w:t>】%的违约金，</w:t>
      </w:r>
      <w:r>
        <w:rPr>
          <w:rFonts w:hint="eastAsia" w:ascii="宋体" w:hAnsi="宋体" w:eastAsia="宋体" w:cs="宋体"/>
          <w:b w:val="0"/>
          <w:bCs w:val="0"/>
          <w:color w:val="auto"/>
          <w:sz w:val="28"/>
          <w:szCs w:val="28"/>
          <w:highlight w:val="none"/>
        </w:rPr>
        <w:t>出现【</w:t>
      </w: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rPr>
        <w:t>】次的，甲方有权单方解除本合同，给甲方造成损失的，乙方还应予以赔偿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30810FCF">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79948E1D">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十一、合同争议的解决</w:t>
      </w:r>
    </w:p>
    <w:p w14:paraId="3198078C">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32184140">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十二、不可抗力情况下的免责约定</w:t>
      </w:r>
    </w:p>
    <w:p w14:paraId="35769954">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2CDA5108">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w:t>
      </w:r>
      <w:bookmarkStart w:id="0" w:name="_GoBack"/>
      <w:bookmarkEnd w:id="0"/>
      <w:r>
        <w:rPr>
          <w:rFonts w:hint="eastAsia" w:ascii="宋体" w:hAnsi="宋体" w:eastAsia="宋体" w:cs="宋体"/>
          <w:color w:val="auto"/>
          <w:sz w:val="28"/>
          <w:szCs w:val="28"/>
          <w:highlight w:val="none"/>
          <w:lang w:val="en-US" w:eastAsia="zh-CN"/>
        </w:rPr>
        <w:t>履行合同，则合同履行期可延长，其延长期与不可抗力影响期相同。</w:t>
      </w:r>
    </w:p>
    <w:p w14:paraId="7E71D6C3">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678A3973">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7CF79391">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十三、合同订立</w:t>
      </w:r>
    </w:p>
    <w:p w14:paraId="7F5E2370">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259FDE73">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382483E4">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4853FBF5">
      <w:pPr>
        <w:keepNext w:val="0"/>
        <w:keepLines w:val="0"/>
        <w:pageBreakBefore w:val="0"/>
        <w:widowControl w:val="0"/>
        <w:tabs>
          <w:tab w:val="left" w:pos="980"/>
        </w:tabs>
        <w:kinsoku w:val="0"/>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10F10D98">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color w:val="auto"/>
          <w:kern w:val="2"/>
          <w:sz w:val="28"/>
          <w:szCs w:val="28"/>
          <w:highlight w:val="none"/>
          <w:lang w:val="en-US" w:eastAsia="zh-CN" w:bidi="ar-SA"/>
        </w:rPr>
      </w:pPr>
    </w:p>
    <w:p w14:paraId="274C6EF2">
      <w:pPr>
        <w:pageBreakBefore w:val="0"/>
        <w:tabs>
          <w:tab w:val="left" w:pos="980"/>
        </w:tabs>
        <w:kinsoku w:val="0"/>
        <w:wordWrap/>
        <w:overflowPunct/>
        <w:topLinePunct w:val="0"/>
        <w:autoSpaceDE/>
        <w:autoSpaceDN/>
        <w:bidi w:val="0"/>
        <w:spacing w:line="360" w:lineRule="auto"/>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74F2EF9B">
      <w:pPr>
        <w:pageBreakBefore w:val="0"/>
        <w:tabs>
          <w:tab w:val="left" w:pos="980"/>
        </w:tabs>
        <w:kinsoku w:val="0"/>
        <w:wordWrap/>
        <w:overflowPunct/>
        <w:topLinePunct w:val="0"/>
        <w:autoSpaceDE/>
        <w:autoSpaceDN/>
        <w:bidi w:val="0"/>
        <w:spacing w:line="360" w:lineRule="auto"/>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55149750">
      <w:pPr>
        <w:pageBreakBefore w:val="0"/>
        <w:tabs>
          <w:tab w:val="left" w:pos="980"/>
        </w:tabs>
        <w:kinsoku w:val="0"/>
        <w:wordWrap/>
        <w:overflowPunct/>
        <w:topLinePunct w:val="0"/>
        <w:autoSpaceDE/>
        <w:autoSpaceDN/>
        <w:bidi w:val="0"/>
        <w:spacing w:line="360" w:lineRule="auto"/>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4993A53A">
      <w:pPr>
        <w:pageBreakBefore w:val="0"/>
        <w:tabs>
          <w:tab w:val="left" w:pos="980"/>
        </w:tabs>
        <w:kinsoku w:val="0"/>
        <w:wordWrap/>
        <w:overflowPunct/>
        <w:topLinePunct w:val="0"/>
        <w:autoSpaceDE/>
        <w:autoSpaceDN/>
        <w:bidi w:val="0"/>
        <w:spacing w:line="360" w:lineRule="auto"/>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73A548CA">
      <w:pPr>
        <w:pageBreakBefore w:val="0"/>
        <w:tabs>
          <w:tab w:val="left" w:pos="980"/>
        </w:tabs>
        <w:kinsoku w:val="0"/>
        <w:wordWrap/>
        <w:overflowPunct/>
        <w:topLinePunct w:val="0"/>
        <w:autoSpaceDE/>
        <w:autoSpaceDN/>
        <w:bidi w:val="0"/>
        <w:spacing w:line="360" w:lineRule="auto"/>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7D036DBD">
      <w:pPr>
        <w:pageBreakBefore w:val="0"/>
        <w:tabs>
          <w:tab w:val="left" w:pos="980"/>
        </w:tabs>
        <w:kinsoku w:val="0"/>
        <w:wordWrap/>
        <w:overflowPunct/>
        <w:topLinePunct w:val="0"/>
        <w:autoSpaceDE/>
        <w:autoSpaceDN/>
        <w:bidi w:val="0"/>
        <w:spacing w:line="360" w:lineRule="auto"/>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4B56103F">
      <w:pPr>
        <w:pageBreakBefore w:val="0"/>
        <w:widowControl w:val="0"/>
        <w:shd w:val="clear"/>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8"/>
          <w:szCs w:val="28"/>
          <w:highlight w:val="none"/>
          <w:lang w:val="en-US" w:eastAsia="zh-Hans"/>
        </w:rPr>
      </w:pPr>
      <w:r>
        <w:rPr>
          <w:rFonts w:hint="eastAsia"/>
          <w:highlight w:val="none"/>
          <w:lang w:val="en-US" w:eastAsia="zh-CN"/>
        </w:rPr>
        <w:t xml:space="preserve">          </w:t>
      </w:r>
    </w:p>
    <w:p w14:paraId="7DF8C194">
      <w:pPr>
        <w:pStyle w:val="14"/>
        <w:pageBreakBefore w:val="0"/>
        <w:wordWrap/>
        <w:overflowPunct/>
        <w:topLinePunct w:val="0"/>
        <w:autoSpaceDE/>
        <w:autoSpaceDN/>
        <w:bidi w:val="0"/>
        <w:spacing w:line="360" w:lineRule="auto"/>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6C859C2D">
      <w:pPr>
        <w:pStyle w:val="14"/>
        <w:pageBreakBefore w:val="0"/>
        <w:wordWrap/>
        <w:overflowPunct/>
        <w:topLinePunct w:val="0"/>
        <w:autoSpaceDE/>
        <w:autoSpaceDN/>
        <w:bidi w:val="0"/>
        <w:spacing w:line="360" w:lineRule="auto"/>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5D313EC8">
      <w:pPr>
        <w:pageBreakBefore w:val="0"/>
        <w:tabs>
          <w:tab w:val="left" w:pos="980"/>
        </w:tabs>
        <w:kinsoku w:val="0"/>
        <w:wordWrap/>
        <w:overflowPunct/>
        <w:topLinePunct w:val="0"/>
        <w:autoSpaceDE/>
        <w:autoSpaceDN/>
        <w:bidi w:val="0"/>
        <w:spacing w:line="360" w:lineRule="auto"/>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34CA3558">
      <w:pPr>
        <w:spacing w:line="360" w:lineRule="auto"/>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0E0380B4">
      <w:pPr>
        <w:pageBreakBefore w:val="0"/>
        <w:tabs>
          <w:tab w:val="left" w:pos="980"/>
        </w:tabs>
        <w:kinsoku w:val="0"/>
        <w:wordWrap/>
        <w:overflowPunct/>
        <w:topLinePunct w:val="0"/>
        <w:autoSpaceDE/>
        <w:autoSpaceDN/>
        <w:bidi w:val="0"/>
        <w:spacing w:line="360" w:lineRule="auto"/>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45B55652">
      <w:pPr>
        <w:pageBreakBefore w:val="0"/>
        <w:tabs>
          <w:tab w:val="left" w:pos="980"/>
        </w:tabs>
        <w:kinsoku w:val="0"/>
        <w:wordWrap/>
        <w:overflowPunct/>
        <w:topLinePunct w:val="0"/>
        <w:autoSpaceDE/>
        <w:autoSpaceDN/>
        <w:bidi w:val="0"/>
        <w:spacing w:line="360" w:lineRule="auto"/>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32503CB9">
      <w:pPr>
        <w:pageBreakBefore w:val="0"/>
        <w:widowControl w:val="0"/>
        <w:shd w:val="clear"/>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8"/>
          <w:szCs w:val="28"/>
          <w:highlight w:val="none"/>
          <w:lang w:val="en-US" w:eastAsia="zh-CN"/>
        </w:rPr>
      </w:pPr>
      <w:r>
        <w:rPr>
          <w:rFonts w:hint="eastAsia"/>
          <w:highlight w:val="none"/>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1A605981">
      <w:pPr>
        <w:spacing w:line="360" w:lineRule="auto"/>
        <w:rPr>
          <w:rFonts w:hint="eastAsia"/>
          <w:highlight w:val="none"/>
          <w:lang w:val="en-US" w:eastAsia="zh-Hans"/>
        </w:rPr>
      </w:pPr>
      <w:r>
        <w:rPr>
          <w:rFonts w:hint="eastAsia" w:ascii="宋体" w:hAnsi="宋体" w:eastAsia="宋体" w:cs="宋体"/>
          <w:b/>
          <w:bCs/>
          <w:snapToGrid w:val="0"/>
          <w:color w:val="auto"/>
          <w:kern w:val="0"/>
          <w:sz w:val="28"/>
          <w:szCs w:val="28"/>
          <w:highlight w:val="none"/>
          <w:lang w:val="en-US" w:eastAsia="zh-Hans"/>
        </w:rPr>
        <w:br w:type="page"/>
      </w:r>
    </w:p>
    <w:p w14:paraId="46877120">
      <w:pPr>
        <w:spacing w:line="360" w:lineRule="auto"/>
        <w:rPr>
          <w:sz w:val="24"/>
          <w:szCs w:val="24"/>
          <w:highlight w:val="none"/>
        </w:rPr>
      </w:pPr>
      <w:r>
        <w:rPr>
          <w:rFonts w:hint="eastAsia" w:ascii="宋体" w:hAnsi="宋体" w:eastAsia="宋体" w:cs="宋体"/>
          <w:sz w:val="24"/>
          <w:szCs w:val="24"/>
          <w:highlight w:val="none"/>
          <w:lang w:val="en-US" w:eastAsia="zh-CN"/>
        </w:rPr>
        <w:t>注：本合同样本仅供参考，具体内容由采购人在签订时细化修改确定。</w:t>
      </w:r>
      <w:r>
        <w:rPr>
          <w:rFonts w:hint="eastAsia" w:ascii="宋体" w:hAnsi="宋体" w:eastAsia="宋体" w:cs="宋体"/>
          <w:sz w:val="24"/>
          <w:szCs w:val="24"/>
          <w:highlight w:val="none"/>
        </w:rPr>
        <w:t xml:space="preserve"> </w:t>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5BA2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DD9396">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DD9396">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zNjVlOWQxMjlhMmNiNjI5Yjc5MzU3MTRhNWE2MTgifQ=="/>
  </w:docVars>
  <w:rsids>
    <w:rsidRoot w:val="00000000"/>
    <w:rsid w:val="03206EA5"/>
    <w:rsid w:val="064660C2"/>
    <w:rsid w:val="090A3368"/>
    <w:rsid w:val="113D431C"/>
    <w:rsid w:val="127173A1"/>
    <w:rsid w:val="14122A18"/>
    <w:rsid w:val="142F08FC"/>
    <w:rsid w:val="19F142E2"/>
    <w:rsid w:val="1DD77583"/>
    <w:rsid w:val="2C1C3C03"/>
    <w:rsid w:val="2D4C0AA8"/>
    <w:rsid w:val="33FD119B"/>
    <w:rsid w:val="37AF33BA"/>
    <w:rsid w:val="38EC0201"/>
    <w:rsid w:val="3C9E1C4F"/>
    <w:rsid w:val="3E820CD7"/>
    <w:rsid w:val="49730A95"/>
    <w:rsid w:val="49B72B37"/>
    <w:rsid w:val="5C1D4FB4"/>
    <w:rsid w:val="5D461873"/>
    <w:rsid w:val="5ECB647C"/>
    <w:rsid w:val="60D84E80"/>
    <w:rsid w:val="61A1453B"/>
    <w:rsid w:val="6BF608B1"/>
    <w:rsid w:val="71275779"/>
    <w:rsid w:val="76A079ED"/>
    <w:rsid w:val="7F09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jc w:val="center"/>
      <w:outlineLvl w:val="0"/>
    </w:pPr>
    <w:rPr>
      <w:rFonts w:ascii="黑体" w:hAnsi="黑体"/>
      <w:b/>
      <w:kern w:val="0"/>
      <w:sz w:val="36"/>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pPr>
      <w:spacing w:line="360" w:lineRule="exact"/>
    </w:pPr>
    <w:rPr>
      <w:sz w:val="24"/>
    </w:rPr>
  </w:style>
  <w:style w:type="paragraph" w:styleId="8">
    <w:name w:val="Plain Text"/>
    <w:basedOn w:val="1"/>
    <w:qFormat/>
    <w:uiPriority w:val="99"/>
    <w:rPr>
      <w:rFonts w:ascii="宋体" w:hAnsi="Courier New"/>
    </w:rPr>
  </w:style>
  <w:style w:type="paragraph" w:styleId="9">
    <w:name w:val="footer"/>
    <w:basedOn w:val="1"/>
    <w:qFormat/>
    <w:uiPriority w:val="99"/>
    <w:pPr>
      <w:tabs>
        <w:tab w:val="center" w:pos="4153"/>
        <w:tab w:val="right" w:pos="8306"/>
      </w:tabs>
      <w:snapToGrid w:val="0"/>
      <w:jc w:val="left"/>
    </w:pPr>
    <w:rPr>
      <w:sz w:val="18"/>
    </w:rPr>
  </w:style>
  <w:style w:type="paragraph" w:styleId="10">
    <w:name w:val="toc 9"/>
    <w:basedOn w:val="1"/>
    <w:next w:val="1"/>
    <w:qFormat/>
    <w:uiPriority w:val="0"/>
    <w:pPr>
      <w:wordWrap w:val="0"/>
      <w:ind w:left="2975"/>
    </w:pPr>
    <w:rPr>
      <w:rFonts w:ascii="Times New Roman" w:hAnsi="Times New Roman"/>
    </w:rPr>
  </w:style>
  <w:style w:type="paragraph" w:styleId="11">
    <w:name w:val="Body Text First Indent"/>
    <w:basedOn w:val="7"/>
    <w:unhideWhenUsed/>
    <w:qFormat/>
    <w:uiPriority w:val="99"/>
    <w:pPr>
      <w:tabs>
        <w:tab w:val="left" w:pos="567"/>
      </w:tabs>
      <w:ind w:firstLine="420" w:firstLineChars="1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3573</Words>
  <Characters>3638</Characters>
  <Lines>0</Lines>
  <Paragraphs>0</Paragraphs>
  <TotalTime>6</TotalTime>
  <ScaleCrop>false</ScaleCrop>
  <LinksUpToDate>false</LinksUpToDate>
  <CharactersWithSpaces>4256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2022-09-08T01:13:00Z</dcterms:created>
  <dc:creator>AOC</dc:creator>
  <cp:lastModifiedBy>刘倩</cp:lastModifiedBy>
  <dcterms:modified xsi:type="dcterms:W3CDTF">2026-05-12T09:15:07Z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0871048859F441A998A9BDF9ED9F8B10</vt:lpwstr>
  </property>
  <property fmtid="{D5CDD505-2E9C-101B-9397-08002B2CF9AE}" pid="4" name="KSOTemplateDocerSaveRecord">
    <vt:lpwstr>eyJoZGlkIjoiMzNjNGI0MDk1OTY0MzdkYmEzYTU0NzdlYTZiNWNjMGIiLCJ1c2VySWQiOiIyMTc2ODYxNTgifQ==</vt:lpwstr>
  </property>
</Properties>
</file>