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版本号：TZSL26-037Z20260514002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防护装备采购项目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TZSL26-037Z</w:t>
      </w:r>
      <w:r>
        <w:br/>
      </w:r>
      <w:r>
        <w:br/>
      </w:r>
      <w:r>
        <w:br/>
      </w:r>
    </w:p>
    <w:p>
      <w:pPr>
        <w:pStyle w:val="null3"/>
        <w:jc w:val="center"/>
        <w:outlineLvl w:val="2"/>
      </w:pPr>
      <w:r>
        <w:rPr>
          <w:rFonts w:ascii="仿宋_GB2312" w:hAnsi="仿宋_GB2312" w:cs="仿宋_GB2312" w:eastAsia="仿宋_GB2312"/>
          <w:sz w:val="28"/>
          <w:b/>
        </w:rPr>
        <w:t>商洛市公安局</w:t>
      </w:r>
    </w:p>
    <w:p>
      <w:pPr>
        <w:pStyle w:val="null3"/>
        <w:jc w:val="center"/>
        <w:outlineLvl w:val="2"/>
      </w:pPr>
      <w:r>
        <w:rPr>
          <w:rFonts w:ascii="仿宋_GB2312" w:hAnsi="仿宋_GB2312" w:cs="仿宋_GB2312" w:eastAsia="仿宋_GB2312"/>
          <w:sz w:val="28"/>
          <w:b/>
        </w:rPr>
        <w:t>陕西腾正项目管理咨询有限公司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陕西腾正项目管理咨询有限公司</w:t>
      </w:r>
      <w:r>
        <w:rPr>
          <w:rFonts w:ascii="仿宋_GB2312" w:hAnsi="仿宋_GB2312" w:cs="仿宋_GB2312" w:eastAsia="仿宋_GB2312"/>
        </w:rPr>
        <w:t>（以下简称“代理机构”）受</w:t>
      </w:r>
      <w:r>
        <w:rPr>
          <w:rFonts w:ascii="仿宋_GB2312" w:hAnsi="仿宋_GB2312" w:cs="仿宋_GB2312" w:eastAsia="仿宋_GB2312"/>
        </w:rPr>
        <w:t>商洛市公安局</w:t>
      </w:r>
      <w:r>
        <w:rPr>
          <w:rFonts w:ascii="仿宋_GB2312" w:hAnsi="仿宋_GB2312" w:cs="仿宋_GB2312" w:eastAsia="仿宋_GB2312"/>
        </w:rPr>
        <w:t>委托，拟对</w:t>
      </w:r>
      <w:r>
        <w:rPr>
          <w:rFonts w:ascii="仿宋_GB2312" w:hAnsi="仿宋_GB2312" w:cs="仿宋_GB2312" w:eastAsia="仿宋_GB2312"/>
        </w:rPr>
        <w:t>防护装备采购项目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TZSL26-037Z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防护装备采购项目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为有效加强公安机关民警处置公共场所突发事件能力，现需采购一批防护装备（伞式围挡、约束毯）配发公安民警，确保在处置突发事件时“拿得出”、“用得上”，充分保障民警人身安全和社会公共安全。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采购包1（防护装备采购）：属于专门面向中小企业采购。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陕西省商洛市商州区迎宾大道1号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0914-2859088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陕西腾正项目管理咨询有限公司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陕西省西安市雁塔区公园南路89号绿地睿海14幢1单元13层11303室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采购包1：433,060.00元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开户名称：陕西腾正项目管理咨询有限公司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招标代理服务收费管理暂行办法的通知》（计价格【2002】1980号）和《关于招标代理服务收费有关问题的通知》（发改办价格【2003】857号）文件规定标准收取。由成交供应商在领取《成交通知书》之前，向采购代理机构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商洛市公安局</w:t>
      </w:r>
      <w:r>
        <w:rPr>
          <w:rFonts w:ascii="仿宋_GB2312" w:hAnsi="仿宋_GB2312" w:cs="仿宋_GB2312" w:eastAsia="仿宋_GB2312"/>
        </w:rPr>
        <w:t>和</w:t>
      </w:r>
      <w:r>
        <w:rPr>
          <w:rFonts w:ascii="仿宋_GB2312" w:hAnsi="仿宋_GB2312" w:cs="仿宋_GB2312" w:eastAsia="仿宋_GB2312"/>
        </w:rPr>
        <w:t>陕西腾正项目管理咨询有限公司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商洛市公安局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陕西腾正项目管理咨询有限公司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陕西腾正项目管理咨询有限公司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或者行业相应的标准和本合同规定进行验收。项目供货到位，达到使用条件时，由乙方出具验收申请，经甲方同意，由甲方组织乙方和有关技术专家组成验收小组对项目进行完工验收；验收合格的，交接项目实施的全部资料，并填写验收报告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陕西腾正项目管理咨询有限公司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地址：陕西省西安市雁塔区公园南路89号绿地睿海14幢1单元13层11303室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为有效加强公安机关民警处置公共场所突发事件能力，现需采购一批防护装备（伞式围挡、约束毯）配发公安民警，确保在处置突发事件时“拿得出”、“用得上”，充分保障民警人身安全和社会公共安全。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433,060.00</w:t>
      </w:r>
    </w:p>
    <w:p>
      <w:pPr>
        <w:pStyle w:val="null3"/>
      </w:pPr>
      <w:r>
        <w:rPr>
          <w:rFonts w:ascii="仿宋_GB2312" w:hAnsi="仿宋_GB2312" w:cs="仿宋_GB2312" w:eastAsia="仿宋_GB2312"/>
        </w:rPr>
        <w:t>采购包最高限价（元）: 433,060.00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商洛市公安局防护装备采购项目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433,060.00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标的名称：商洛市公安局防护装备采购项目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一、约束毯</w:t>
            </w:r>
            <w:r>
              <w:rPr>
                <w:rFonts w:ascii="仿宋_GB2312" w:hAnsi="仿宋_GB2312" w:cs="仿宋_GB2312" w:eastAsia="仿宋_GB2312"/>
                <w:sz w:val="22"/>
                <w:b/>
              </w:rPr>
              <w:t>118条</w:t>
            </w:r>
          </w:p>
          <w:p>
            <w:pPr>
              <w:pStyle w:val="null3"/>
              <w:jc w:val="both"/>
            </w:pPr>
            <w:r>
              <w:rPr>
                <w:rFonts w:ascii="仿宋_GB2312" w:hAnsi="仿宋_GB2312" w:cs="仿宋_GB2312" w:eastAsia="仿宋_GB2312"/>
                <w:sz w:val="22"/>
              </w:rPr>
              <w:t>1、外观：约束毯色泽均匀，缝纫线路顺直，定位准确，明线距边宽窄一致，结合牢固，包边平整无褶皱，上下线吻合、平直、针距均匀，不得有连续跳线、漏针、线头等缺陷。</w:t>
            </w:r>
          </w:p>
          <w:p>
            <w:pPr>
              <w:pStyle w:val="null3"/>
              <w:jc w:val="both"/>
            </w:pPr>
            <w:r>
              <w:rPr>
                <w:rFonts w:ascii="仿宋_GB2312" w:hAnsi="仿宋_GB2312" w:cs="仿宋_GB2312" w:eastAsia="仿宋_GB2312"/>
                <w:sz w:val="22"/>
              </w:rPr>
              <w:t>2、面料颜色：警蓝色。尺寸：≥1700mm（长）×1100mm（宽）</w:t>
            </w:r>
          </w:p>
          <w:p>
            <w:pPr>
              <w:pStyle w:val="null3"/>
              <w:jc w:val="both"/>
            </w:pPr>
            <w:r>
              <w:rPr>
                <w:rFonts w:ascii="仿宋_GB2312" w:hAnsi="仿宋_GB2312" w:cs="仿宋_GB2312" w:eastAsia="仿宋_GB2312"/>
                <w:sz w:val="22"/>
              </w:rPr>
              <w:t>3、加固带：≥3个。</w:t>
            </w:r>
          </w:p>
          <w:p>
            <w:pPr>
              <w:pStyle w:val="null3"/>
              <w:jc w:val="both"/>
            </w:pPr>
            <w:r>
              <w:rPr>
                <w:rFonts w:ascii="仿宋_GB2312" w:hAnsi="仿宋_GB2312" w:cs="仿宋_GB2312" w:eastAsia="仿宋_GB2312"/>
                <w:sz w:val="22"/>
              </w:rPr>
              <w:t>4、强力提手：≥6个。</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5、面料性能：</w:t>
            </w:r>
          </w:p>
          <w:p>
            <w:pPr>
              <w:pStyle w:val="null3"/>
              <w:jc w:val="both"/>
            </w:pPr>
            <w:r>
              <w:rPr>
                <w:rFonts w:ascii="仿宋_GB2312" w:hAnsi="仿宋_GB2312" w:cs="仿宋_GB2312" w:eastAsia="仿宋_GB2312"/>
                <w:sz w:val="22"/>
              </w:rPr>
              <w:t>5.1、断裂强力：经向≥2500N，纬向≥2500N；</w:t>
            </w:r>
          </w:p>
          <w:p>
            <w:pPr>
              <w:pStyle w:val="null3"/>
              <w:jc w:val="both"/>
            </w:pPr>
            <w:r>
              <w:rPr>
                <w:rFonts w:ascii="仿宋_GB2312" w:hAnsi="仿宋_GB2312" w:cs="仿宋_GB2312" w:eastAsia="仿宋_GB2312"/>
                <w:sz w:val="22"/>
              </w:rPr>
              <w:t>5.2、撕破强力：经向≥150N，纬向≥100N；</w:t>
            </w:r>
          </w:p>
          <w:p>
            <w:pPr>
              <w:pStyle w:val="null3"/>
              <w:jc w:val="both"/>
            </w:pPr>
            <w:r>
              <w:rPr>
                <w:rFonts w:ascii="仿宋_GB2312" w:hAnsi="仿宋_GB2312" w:cs="仿宋_GB2312" w:eastAsia="仿宋_GB2312"/>
                <w:sz w:val="22"/>
              </w:rPr>
              <w:t>5.3、远红外发射率：≥0.95；</w:t>
            </w:r>
          </w:p>
          <w:p>
            <w:pPr>
              <w:pStyle w:val="null3"/>
              <w:jc w:val="both"/>
            </w:pPr>
            <w:r>
              <w:rPr>
                <w:rFonts w:ascii="仿宋_GB2312" w:hAnsi="仿宋_GB2312" w:cs="仿宋_GB2312" w:eastAsia="仿宋_GB2312"/>
                <w:sz w:val="22"/>
              </w:rPr>
              <w:t>5.4、远红外辐射温升值：≥1.4℃；</w:t>
            </w:r>
          </w:p>
          <w:p>
            <w:pPr>
              <w:pStyle w:val="null3"/>
              <w:jc w:val="both"/>
            </w:pPr>
            <w:r>
              <w:rPr>
                <w:rFonts w:ascii="仿宋_GB2312" w:hAnsi="仿宋_GB2312" w:cs="仿宋_GB2312" w:eastAsia="仿宋_GB2312"/>
                <w:sz w:val="22"/>
              </w:rPr>
              <w:t>5.5、燃烧速率：经向、纬向均0mm/min；</w:t>
            </w:r>
          </w:p>
          <w:p>
            <w:pPr>
              <w:pStyle w:val="null3"/>
              <w:jc w:val="both"/>
            </w:pPr>
            <w:r>
              <w:rPr>
                <w:rFonts w:ascii="仿宋_GB2312" w:hAnsi="仿宋_GB2312" w:cs="仿宋_GB2312" w:eastAsia="仿宋_GB2312"/>
                <w:sz w:val="22"/>
              </w:rPr>
              <w:t>5.6、燃烧距离：经向、纬向均0mm。</w:t>
            </w:r>
          </w:p>
          <w:p>
            <w:pPr>
              <w:pStyle w:val="null3"/>
              <w:jc w:val="both"/>
            </w:pPr>
            <w:r>
              <w:rPr>
                <w:rFonts w:ascii="仿宋_GB2312" w:hAnsi="仿宋_GB2312" w:cs="仿宋_GB2312" w:eastAsia="仿宋_GB2312"/>
                <w:sz w:val="22"/>
              </w:rPr>
              <w:t>5.7、耐皂洗、耐摩擦、耐酸汗渍、耐碱汗渍、耐水渍、耐光色牢度：均＞4级。</w:t>
            </w:r>
          </w:p>
          <w:p>
            <w:pPr>
              <w:pStyle w:val="null3"/>
              <w:jc w:val="both"/>
            </w:pPr>
            <w:r>
              <w:rPr>
                <w:rFonts w:ascii="仿宋_GB2312" w:hAnsi="仿宋_GB2312" w:cs="仿宋_GB2312" w:eastAsia="仿宋_GB2312"/>
                <w:sz w:val="22"/>
              </w:rPr>
              <w:t>5.8、接缝滑移：车缝≥200N。</w:t>
            </w:r>
          </w:p>
          <w:p>
            <w:pPr>
              <w:pStyle w:val="null3"/>
              <w:jc w:val="both"/>
            </w:pPr>
            <w:r>
              <w:rPr>
                <w:rFonts w:ascii="仿宋_GB2312" w:hAnsi="仿宋_GB2312" w:cs="仿宋_GB2312" w:eastAsia="仿宋_GB2312"/>
                <w:sz w:val="22"/>
              </w:rPr>
              <w:t>5.9、接缝强力（N）：≥600N。</w:t>
            </w:r>
          </w:p>
          <w:p>
            <w:pPr>
              <w:pStyle w:val="null3"/>
              <w:jc w:val="both"/>
            </w:pPr>
            <w:r>
              <w:rPr>
                <w:rFonts w:ascii="仿宋_GB2312" w:hAnsi="仿宋_GB2312" w:cs="仿宋_GB2312" w:eastAsia="仿宋_GB2312"/>
                <w:sz w:val="22"/>
              </w:rPr>
              <w:t>5.10、易去污性能(洗前) ：初始色差≥2级，结果色差≥4级。</w:t>
            </w:r>
          </w:p>
          <w:p>
            <w:pPr>
              <w:pStyle w:val="null3"/>
              <w:jc w:val="both"/>
            </w:pPr>
            <w:r>
              <w:rPr>
                <w:rFonts w:ascii="仿宋_GB2312" w:hAnsi="仿宋_GB2312" w:cs="仿宋_GB2312" w:eastAsia="仿宋_GB2312"/>
                <w:sz w:val="22"/>
              </w:rPr>
              <w:t>5.11、拒油性(洗前) ：≥6级。</w:t>
            </w:r>
          </w:p>
          <w:p>
            <w:pPr>
              <w:pStyle w:val="null3"/>
              <w:jc w:val="both"/>
            </w:pPr>
            <w:r>
              <w:rPr>
                <w:rFonts w:ascii="仿宋_GB2312" w:hAnsi="仿宋_GB2312" w:cs="仿宋_GB2312" w:eastAsia="仿宋_GB2312"/>
                <w:sz w:val="22"/>
              </w:rPr>
              <w:t>5.12、单位面积质量：≥280g/㎡。</w:t>
            </w:r>
          </w:p>
          <w:p>
            <w:pPr>
              <w:pStyle w:val="null3"/>
              <w:jc w:val="both"/>
            </w:pPr>
            <w:r>
              <w:rPr>
                <w:rFonts w:ascii="仿宋_GB2312" w:hAnsi="仿宋_GB2312" w:cs="仿宋_GB2312" w:eastAsia="仿宋_GB2312"/>
                <w:sz w:val="22"/>
              </w:rPr>
              <w:t>5.13、勾丝性能：经向≥3级，纬向≥4级。</w:t>
            </w:r>
          </w:p>
          <w:p>
            <w:pPr>
              <w:pStyle w:val="null3"/>
              <w:jc w:val="both"/>
            </w:pPr>
            <w:r>
              <w:rPr>
                <w:rFonts w:ascii="仿宋_GB2312" w:hAnsi="仿宋_GB2312" w:cs="仿宋_GB2312" w:eastAsia="仿宋_GB2312"/>
                <w:sz w:val="22"/>
              </w:rPr>
              <w:t>5.14、顶破强力：≥1800N。</w:t>
            </w:r>
          </w:p>
          <w:p>
            <w:pPr>
              <w:pStyle w:val="null3"/>
              <w:jc w:val="both"/>
            </w:pPr>
            <w:r>
              <w:rPr>
                <w:rFonts w:ascii="仿宋_GB2312" w:hAnsi="仿宋_GB2312" w:cs="仿宋_GB2312" w:eastAsia="仿宋_GB2312"/>
                <w:sz w:val="22"/>
              </w:rPr>
              <w:t>5.15、防水性：900-1800mm压力下渗透值0。</w:t>
            </w:r>
          </w:p>
          <w:p>
            <w:pPr>
              <w:pStyle w:val="null3"/>
              <w:jc w:val="both"/>
            </w:pPr>
            <w:r>
              <w:rPr>
                <w:rFonts w:ascii="仿宋_GB2312" w:hAnsi="仿宋_GB2312" w:cs="仿宋_GB2312" w:eastAsia="仿宋_GB2312"/>
                <w:sz w:val="22"/>
              </w:rPr>
              <w:t>5.16、色差：≥4-5级。</w:t>
            </w:r>
          </w:p>
          <w:p>
            <w:pPr>
              <w:pStyle w:val="null3"/>
              <w:jc w:val="both"/>
            </w:pPr>
            <w:r>
              <w:rPr>
                <w:rFonts w:ascii="仿宋_GB2312" w:hAnsi="仿宋_GB2312" w:cs="仿宋_GB2312" w:eastAsia="仿宋_GB2312"/>
                <w:sz w:val="22"/>
              </w:rPr>
              <w:t>5.17、剥离强力（洗前）（经向）：≥16N。</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6、魔术贴性能：</w:t>
            </w:r>
          </w:p>
          <w:p>
            <w:pPr>
              <w:pStyle w:val="null3"/>
              <w:jc w:val="both"/>
            </w:pPr>
            <w:r>
              <w:rPr>
                <w:rFonts w:ascii="仿宋_GB2312" w:hAnsi="仿宋_GB2312" w:cs="仿宋_GB2312" w:eastAsia="仿宋_GB2312"/>
                <w:sz w:val="22"/>
              </w:rPr>
              <w:t>6.1、耐洗色牢度：变色≥4级；沾色≥4级；</w:t>
            </w:r>
          </w:p>
          <w:p>
            <w:pPr>
              <w:pStyle w:val="null3"/>
              <w:jc w:val="both"/>
            </w:pPr>
            <w:r>
              <w:rPr>
                <w:rFonts w:ascii="仿宋_GB2312" w:hAnsi="仿宋_GB2312" w:cs="仿宋_GB2312" w:eastAsia="仿宋_GB2312"/>
                <w:sz w:val="22"/>
              </w:rPr>
              <w:t>6.2、耐摩擦色牢度：干摩≥4级；湿摩≥4级；</w:t>
            </w:r>
          </w:p>
          <w:p>
            <w:pPr>
              <w:pStyle w:val="null3"/>
              <w:jc w:val="both"/>
            </w:pPr>
            <w:r>
              <w:rPr>
                <w:rFonts w:ascii="仿宋_GB2312" w:hAnsi="仿宋_GB2312" w:cs="仿宋_GB2312" w:eastAsia="仿宋_GB2312"/>
                <w:sz w:val="22"/>
              </w:rPr>
              <w:t>6.3、钩面密度：≥14排/10mm；</w:t>
            </w:r>
          </w:p>
          <w:p>
            <w:pPr>
              <w:pStyle w:val="null3"/>
              <w:jc w:val="both"/>
            </w:pPr>
            <w:r>
              <w:rPr>
                <w:rFonts w:ascii="仿宋_GB2312" w:hAnsi="仿宋_GB2312" w:cs="仿宋_GB2312" w:eastAsia="仿宋_GB2312"/>
                <w:sz w:val="22"/>
              </w:rPr>
              <w:t>6.4、剪切强度：≥19.6N/c㎡；</w:t>
            </w:r>
          </w:p>
          <w:p>
            <w:pPr>
              <w:pStyle w:val="null3"/>
              <w:jc w:val="both"/>
            </w:pPr>
            <w:r>
              <w:rPr>
                <w:rFonts w:ascii="仿宋_GB2312" w:hAnsi="仿宋_GB2312" w:cs="仿宋_GB2312" w:eastAsia="仿宋_GB2312"/>
                <w:sz w:val="22"/>
              </w:rPr>
              <w:t>6.5、剥离强度：≥4.0N/cm。</w:t>
            </w:r>
          </w:p>
          <w:p>
            <w:pPr>
              <w:pStyle w:val="null3"/>
              <w:jc w:val="both"/>
            </w:pPr>
            <w:r>
              <w:rPr>
                <w:rFonts w:ascii="仿宋_GB2312" w:hAnsi="仿宋_GB2312" w:cs="仿宋_GB2312" w:eastAsia="仿宋_GB2312"/>
                <w:sz w:val="22"/>
              </w:rPr>
              <w:t>6.6、抗疲劳性能(离合3000次后)：剪切强度≥8.0 N/c㎡；剥离强度≥1.2 N/cm。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b/>
              </w:rPr>
              <w:t>二、伞式围挡</w:t>
            </w:r>
            <w:r>
              <w:rPr>
                <w:rFonts w:ascii="仿宋_GB2312" w:hAnsi="仿宋_GB2312" w:cs="仿宋_GB2312" w:eastAsia="仿宋_GB2312"/>
                <w:sz w:val="22"/>
                <w:b/>
              </w:rPr>
              <w:t>472个</w:t>
            </w:r>
          </w:p>
          <w:p>
            <w:pPr>
              <w:pStyle w:val="null3"/>
              <w:jc w:val="both"/>
            </w:pPr>
            <w:r>
              <w:rPr>
                <w:rFonts w:ascii="仿宋_GB2312" w:hAnsi="仿宋_GB2312" w:cs="仿宋_GB2312" w:eastAsia="仿宋_GB2312"/>
                <w:sz w:val="22"/>
              </w:rPr>
              <w:t>1、构成：有伞面，金属支架和携行提兜构成。</w:t>
            </w:r>
          </w:p>
          <w:p>
            <w:pPr>
              <w:pStyle w:val="null3"/>
              <w:jc w:val="both"/>
            </w:pPr>
            <w:r>
              <w:rPr>
                <w:rFonts w:ascii="仿宋_GB2312" w:hAnsi="仿宋_GB2312" w:cs="仿宋_GB2312" w:eastAsia="仿宋_GB2312"/>
                <w:sz w:val="22"/>
              </w:rPr>
              <w:t>2、展开尺寸:高2000mm（±10mm）x宽2000mm（±10mm）。</w:t>
            </w:r>
          </w:p>
          <w:p>
            <w:pPr>
              <w:pStyle w:val="null3"/>
              <w:jc w:val="both"/>
            </w:pPr>
            <w:r>
              <w:rPr>
                <w:rFonts w:ascii="仿宋_GB2312" w:hAnsi="仿宋_GB2312" w:cs="仿宋_GB2312" w:eastAsia="仿宋_GB2312"/>
                <w:sz w:val="22"/>
              </w:rPr>
              <w:t>3、收纳尺寸:≤长960mmx直径160mm。</w:t>
            </w:r>
          </w:p>
          <w:p>
            <w:pPr>
              <w:pStyle w:val="null3"/>
              <w:jc w:val="both"/>
            </w:pPr>
            <w:r>
              <w:rPr>
                <w:rFonts w:ascii="仿宋_GB2312" w:hAnsi="仿宋_GB2312" w:cs="仿宋_GB2312" w:eastAsia="仿宋_GB2312"/>
                <w:sz w:val="22"/>
              </w:rPr>
              <w:t>4、状态转换时间:单片围挡展开或收缩时间≤30秒。</w:t>
            </w:r>
          </w:p>
          <w:p>
            <w:pPr>
              <w:pStyle w:val="null3"/>
              <w:jc w:val="both"/>
            </w:pPr>
            <w:r>
              <w:rPr>
                <w:rFonts w:ascii="仿宋_GB2312" w:hAnsi="仿宋_GB2312" w:cs="仿宋_GB2312" w:eastAsia="仿宋_GB2312"/>
                <w:sz w:val="22"/>
              </w:rPr>
              <w:t>5、脱卸性能:围挡布与围挡框架可脱卸更换。</w:t>
            </w:r>
          </w:p>
          <w:p>
            <w:pPr>
              <w:pStyle w:val="null3"/>
              <w:jc w:val="both"/>
            </w:pPr>
            <w:r>
              <w:rPr>
                <w:rFonts w:ascii="仿宋_GB2312" w:hAnsi="仿宋_GB2312" w:cs="仿宋_GB2312" w:eastAsia="仿宋_GB2312"/>
                <w:sz w:val="22"/>
              </w:rPr>
              <w:t>6、重 量:≤3.5Kg。</w:t>
            </w:r>
          </w:p>
          <w:p>
            <w:pPr>
              <w:pStyle w:val="null3"/>
              <w:jc w:val="both"/>
            </w:pPr>
            <w:r>
              <w:rPr>
                <w:rFonts w:ascii="仿宋_GB2312" w:hAnsi="仿宋_GB2312" w:cs="仿宋_GB2312" w:eastAsia="仿宋_GB2312"/>
                <w:sz w:val="22"/>
              </w:rPr>
              <w:t>7、颜色和字样：颜色蓝色；警察执法，禁止靠近和禁止拍摄的中英文字样。</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8、伞面面料性能：</w:t>
            </w:r>
          </w:p>
          <w:p>
            <w:pPr>
              <w:pStyle w:val="null3"/>
              <w:jc w:val="both"/>
            </w:pPr>
            <w:r>
              <w:rPr>
                <w:rFonts w:ascii="仿宋_GB2312" w:hAnsi="仿宋_GB2312" w:cs="仿宋_GB2312" w:eastAsia="仿宋_GB2312"/>
                <w:sz w:val="22"/>
              </w:rPr>
              <w:t>8.1、断裂强力：经向≥4600N，纬向≥3600N。</w:t>
            </w:r>
          </w:p>
          <w:p>
            <w:pPr>
              <w:pStyle w:val="null3"/>
              <w:jc w:val="both"/>
            </w:pPr>
            <w:r>
              <w:rPr>
                <w:rFonts w:ascii="仿宋_GB2312" w:hAnsi="仿宋_GB2312" w:cs="仿宋_GB2312" w:eastAsia="仿宋_GB2312"/>
                <w:sz w:val="22"/>
              </w:rPr>
              <w:t>8.2、耐磨性能：≥200000次。</w:t>
            </w:r>
          </w:p>
          <w:p>
            <w:pPr>
              <w:pStyle w:val="null3"/>
              <w:jc w:val="both"/>
            </w:pPr>
            <w:r>
              <w:rPr>
                <w:rFonts w:ascii="仿宋_GB2312" w:hAnsi="仿宋_GB2312" w:cs="仿宋_GB2312" w:eastAsia="仿宋_GB2312"/>
                <w:sz w:val="22"/>
              </w:rPr>
              <w:t>8.3、单位面积质量：≥190g/㎡。</w:t>
            </w:r>
          </w:p>
          <w:p>
            <w:pPr>
              <w:pStyle w:val="null3"/>
              <w:jc w:val="both"/>
            </w:pPr>
            <w:r>
              <w:rPr>
                <w:rFonts w:ascii="仿宋_GB2312" w:hAnsi="仿宋_GB2312" w:cs="仿宋_GB2312" w:eastAsia="仿宋_GB2312"/>
                <w:sz w:val="22"/>
              </w:rPr>
              <w:t>8.4、接缝强力（N）：经向≥1000，纬向≥400。</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9、携行提兜性能：</w:t>
            </w:r>
          </w:p>
          <w:p>
            <w:pPr>
              <w:pStyle w:val="null3"/>
              <w:jc w:val="both"/>
            </w:pPr>
            <w:r>
              <w:rPr>
                <w:rFonts w:ascii="仿宋_GB2312" w:hAnsi="仿宋_GB2312" w:cs="仿宋_GB2312" w:eastAsia="仿宋_GB2312"/>
                <w:sz w:val="22"/>
              </w:rPr>
              <w:t>9.1、撕破强力：经向≥250N；纬向≥120N；</w:t>
            </w:r>
          </w:p>
          <w:p>
            <w:pPr>
              <w:pStyle w:val="null3"/>
              <w:jc w:val="both"/>
            </w:pPr>
            <w:r>
              <w:rPr>
                <w:rFonts w:ascii="仿宋_GB2312" w:hAnsi="仿宋_GB2312" w:cs="仿宋_GB2312" w:eastAsia="仿宋_GB2312"/>
                <w:sz w:val="22"/>
              </w:rPr>
              <w:t>9.2、断裂强力：经向≥1500N；纬向≥1500N；</w:t>
            </w:r>
          </w:p>
          <w:p>
            <w:pPr>
              <w:pStyle w:val="null3"/>
              <w:jc w:val="both"/>
            </w:pPr>
            <w:r>
              <w:rPr>
                <w:rFonts w:ascii="仿宋_GB2312" w:hAnsi="仿宋_GB2312" w:cs="仿宋_GB2312" w:eastAsia="仿宋_GB2312"/>
                <w:sz w:val="22"/>
              </w:rPr>
              <w:t>9.3、耐光、汗复合色牢度：酸汗液原样变色:≥4级；碱汗液原样变色:≥4级；</w:t>
            </w:r>
          </w:p>
          <w:p>
            <w:pPr>
              <w:pStyle w:val="null3"/>
              <w:jc w:val="both"/>
            </w:pPr>
            <w:r>
              <w:rPr>
                <w:rFonts w:ascii="仿宋_GB2312" w:hAnsi="仿宋_GB2312" w:cs="仿宋_GB2312" w:eastAsia="仿宋_GB2312"/>
                <w:sz w:val="22"/>
              </w:rPr>
              <w:t>9.4</w:t>
            </w:r>
            <w:r>
              <w:rPr>
                <w:rFonts w:ascii="仿宋_GB2312" w:hAnsi="仿宋_GB2312" w:cs="仿宋_GB2312" w:eastAsia="仿宋_GB2312"/>
                <w:sz w:val="22"/>
              </w:rPr>
              <w:t>、耐摩擦色牢度：干摩</w:t>
            </w:r>
            <w:r>
              <w:rPr>
                <w:rFonts w:ascii="仿宋_GB2312" w:hAnsi="仿宋_GB2312" w:cs="仿宋_GB2312" w:eastAsia="仿宋_GB2312"/>
                <w:sz w:val="22"/>
              </w:rPr>
              <w:t>≥4级；湿摩≥4级；</w:t>
            </w:r>
          </w:p>
          <w:p>
            <w:pPr>
              <w:pStyle w:val="null3"/>
              <w:jc w:val="both"/>
            </w:pPr>
            <w:r>
              <w:rPr>
                <w:rFonts w:ascii="仿宋_GB2312" w:hAnsi="仿宋_GB2312" w:cs="仿宋_GB2312" w:eastAsia="仿宋_GB2312"/>
                <w:sz w:val="22"/>
              </w:rPr>
              <w:t>9.5</w:t>
            </w:r>
            <w:r>
              <w:rPr>
                <w:rFonts w:ascii="仿宋_GB2312" w:hAnsi="仿宋_GB2312" w:cs="仿宋_GB2312" w:eastAsia="仿宋_GB2312"/>
                <w:sz w:val="22"/>
              </w:rPr>
              <w:t>、静水压：</w:t>
            </w:r>
            <w:r>
              <w:rPr>
                <w:rFonts w:ascii="仿宋_GB2312" w:hAnsi="仿宋_GB2312" w:cs="仿宋_GB2312" w:eastAsia="仿宋_GB2312"/>
                <w:sz w:val="22"/>
              </w:rPr>
              <w:t>≥350.0kPa。</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全部产品供货完毕并验收合格后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项目交付无质量问题</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（1）交货验收时，乙方须提供质检部门产品抽样检查合格的检测报告及所提供货物（产品）的合格证、装箱清单、配件、随机工具、用户使用手册（产品使用说明书）、保修卡等资料交付给甲方； （2）货物到达后，按合同要求的货物清单和装箱单逐一核对，同时检查货物外观，是否有划痕或破损的，并做好相应记录； （3）达到正常使用条件后 30 日内完成最终验收； （4）验收合格，双方签署验收报告。 2.货物验收依据： （1）磋商文件； （2）响应文件； （3）采购合同及补充协议； （4）质检部门抽样检查货物（产品）合格的检测报告。 3.货物验收时发现问题的处理办法： （1）乙方提供不符合文件和合同规定的货物（产品），甲方有权拒绝接受；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（4）货物交货完成后 60 日内，甲方无故不进行验收工作并已使用货物的，视同已验收合格； （5）乙方不能完整交付货物及规定的单证和工具的，必须负责补齐，否则视为未按合同约定交货。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1.乙方须提供全新的、未使用过的合格正品货物（含零部件、配件等），完全符合合同规定的质量、规格和性能的要求。 2.质量标准按照最新颁布的国家标准、行业标准或制造商企业标准确定，上述标准不一致的，以严格标准为准。 3.货物质量出现问题，乙方应负责三包（包修、包换、包退），费用由乙方负担，甲方有权到乙方生产场地检查货物质量和生产进度。 6、质保期：免费提供不少于12个月质保，质保期自甲方验收合格之日起算。质保期内非人为原因，产品出现质量问题，乙方免费保修，质保期满后产品实行有偿维护。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1.甲方违约责任 （1）甲方无正当理由拒收货物的，甲方应偿付合同总价 1%的违约金； （2）甲方逾期支付货款的，除应及时付足货款外，应向乙方每天支付欠款总额 1 ‰的滞纳金；但累计滞纳金总额不超过欠款总额的 2%。 2.乙方违约责任 （1）如乙方不能交付货物，甲方有权扣留全部履约保证金；同时乙方应向甲方支付合同总价5％的违约金； （2）乙方逾期交付货物的，每逾期 1 天，乙方向甲方偿付逾期交货部分货款总额的 5‰的滞纳金。如乙方逾期交货达 2 天，甲方有权解除合同，解除合同的通知自到达乙方时生效； （3）乙方所交付的货物品种、型号、规格不符合合同规定的，甲方有权拒收。甲方拒收的，乙方应向甲方支付货款总额 5%的违约金； （4）乙方货物经甲方送交具有法定资格条件的质量技术监督机构检测后，如检测结果认定货物质量不符合本合同规定标准的，则视为乙方没有按时交货而违约，乙方须在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（6）乙方未按本合同的规定和“服务承诺”提供伴随服务/售后服务的，应按合同总价款的 5 %向甲方承担违约责任； （7）乙方在承担上述 1-6款一项或多项违约责任后，仍应继续履行合同规定的义务（甲方解除合同的除外）。甲方未能及时追究乙方的任何一项违约责任并不表明甲方放弃追究乙方该项或其他违约责任； （8）乙方偿付的违约金不足以弥补甲方损失的，还应按甲方损失尚未弥补的部分，支付赔偿金给甲方。 争议的解决 1.因货物的质量问题发生争议，由质量技术监督部门或其指定的质量鉴定机构进行质量鉴定。 货物符合标准的，鉴定费由甲方承担；货物不符合质量标准的，鉴定费由乙方承担。 2.因履行本合同引起的或与本合同有关的争议，甲、乙双方应首先通过友好协商解决，如果协商不成，则向甲方所在地有管辖权的人民法院提起诉讼； 3.在裁决期间，本合同应继续履行。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为保障政府采购电子化交易平台项目实施，供应商需要在线提交所有通过电子化交易平台实施的政府采购项目的响应文件，成交供应商在中标（成交）结果公示期结束后须向代理机构提交纸质版响应文件正本1套、副本2套、电子版1份。纸质响应文件应与电子响应文件保持一致。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符合《中华人民共和国政府采购法》第二十二条第一款规定，并按照《政府采购法实施条例》第十七条规定提供下列材料：（1）供应商应具有独立承担民事责任的能力：提供营业执照等证明文件；（2）提供法定代表人身份证明及授权委托书（法定代表人参与磋商的无须提供授权委托书）；（3）税收缴纳证明：提供供应商自投标前1年以来已缴纳的任意时段的完税凭证或税务机关开具的完税证明（任意税种）；依法免税的应提供相关文件证明； （4）社会保障资金缴纳证明：提供供应商自投标前1年以来已缴存的任意时段的社会保障资金缴存单据或社保机构开具的社会保险参保缴费情况证明；依法不需要缴纳社会保障资金的投标人应提供相关文件证明；（5）具备履行合同所必需的专业技术能力的证明；（6）供应商参加本次投标前3年内，在经营活动中没有重大违法记录的书面声明；（7）提供供应商缴纳的投标保证金凭证。</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提供2025年度经审计的投标人财务报告（包括 “四表一注”即《资产负债表》《利润表》《现金流量表》《所有者权益变动表》及其附注）或者提供投标文件截止时间3个月内其基本账户开户银行出具的资信证明。</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 异常低价的处理 3.1异常低价投标审查程序 在评审中出现下列情形之一的，磋商小组应当启动异常低价投标审查程序： （1）最终报价低于全部通过符合性审查供应商最终报价平均值50%的，即最终报价&lt;全部通过符合性审查供应商最终报价平均值×50%； （2）最终报价低于通过符合性审查的次低报价供应商最终报价50%的，即最终报价&lt;通过符合性审查的次低报价供应商最终报价×50%； （3）最终报价低于采购项目最高限价45%的，即最终报价&lt;采购项目最高限价×45%； （4）磋商小组基于专业判断，认为供应商报价过低，有可能影响产品质量或者不能诚信履约的其他情形。相关法律法规对供应商报价有规定的，从其规定。 3.2磋商小组启动异常低价投标审查后，属于前述异常低价投标审查程序的启动第1项至第4项情形的，应当要求相关供应商在评审现场对最终价格作出解释，提供项目具体成本测算等与报价合理性相关的书面说明及必要的证明材料，包括但不限于原材料成本、人工成本、制造费用等，磋商小组应当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投标处理。 3.3异常低价投标审查的启动原因、审查意见和审查结果应当在评审报告中记录，并随供应商提供的相关书面说明及证明材料，以及磋商小组有关互联网浏览、查询历史一并归档。 3.4在评标过程中，发现磋商小组未按规定对异常低价开展审查的，采购人、采购代理机构应当予以纠正，拒不改正的，应当及时报告同级财政部门。 3.5磋商小组未按规定对异常低价开展审查的，财政部门依法予以纠正并追究评审专家的法律责任。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产品技术参数表 货物（产品）分项报价表.docx 商务应答表 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按照采购文件要求签署、盖章</w:t>
            </w:r>
          </w:p>
        </w:tc>
        <w:tc>
          <w:tcPr>
            <w:tcW w:type="dxa" w:w="1661"/>
          </w:tcPr>
          <w:p>
            <w:pPr>
              <w:pStyle w:val="null3"/>
            </w:pPr>
            <w:r>
              <w:rPr>
                <w:rFonts w:ascii="仿宋_GB2312" w:hAnsi="仿宋_GB2312" w:cs="仿宋_GB2312" w:eastAsia="仿宋_GB2312"/>
              </w:rPr>
              <w:t>货物（产品）分项报价表.docx 制造商授权书.docx 中小企业声明函 一般资格要求.docx 商务应答表 报价表 财务状况报告.docx 响应文件封面 供应商近3年完成的类似业绩证明材料.docx 产品技术参数表 技术文件.docx 供应商认为有必要补充说明的事项.docx 残疾人福利性单位声明函 标的清单 响应函 磋商报价一览表.docx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只能有一个有效报价，不得提交选择性报价，且报价不超过磋商文件规定的最高限价</w:t>
            </w:r>
          </w:p>
        </w:tc>
        <w:tc>
          <w:tcPr>
            <w:tcW w:type="dxa" w:w="1661"/>
          </w:tcPr>
          <w:p>
            <w:pPr>
              <w:pStyle w:val="null3"/>
            </w:pPr>
            <w:r>
              <w:rPr>
                <w:rFonts w:ascii="仿宋_GB2312" w:hAnsi="仿宋_GB2312" w:cs="仿宋_GB2312" w:eastAsia="仿宋_GB2312"/>
              </w:rPr>
              <w:t>货物（产品）分项报价表.docx 标的清单 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产品技术参数表 货物（产品）分项报价表.docx 商务应答表 标的清单 报价表 响应函 磋商报价一览表.docx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磋商报价一览表.docx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满足磋商文件要求的，得20分，需提供相应佐证资料（佐证资料例如：检验报告、产品彩页等）；“▲”技术指标每有一条负偏离扣0.5分，非“▲”技术指标每有一条负偏离扣0.4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针对本项目内容提出适用于本项目的服务方案，方案包括：①供货与送货时间安排；②设备运输方案；③人员安排。 二、评审标准 1、完整性：方案必须全面，对评审内容中的各项要求有详细描述。 2、可实施性：切合本项目实际情况，提出步骤清晰、合理的方案。 3、针对性：方案能够紧扣项目实际情况，内容科学合理。 三、赋分标准（满分13.5分） ①供货与送货时间安排：每完全满足一个评审标准得1.5分；针对评审标准存在有不合理处的得1分；内容与本项目无关或未提供的得0分。 ②设备运输方案人员安排：每完全满足一个评审标准得1.5分；针对评审标准存在有不合理处的得1分；内容与本项目无关或未提供的得0分。 ③人员安排：每完全满足一个评审标准得1.5分；针对评审标准存在有不合理处的得1分；内容与本项目无关或未提供的得0分。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针对本项目内容提出适用于本项目的质量保障方案，方案包括：①质量保证计划；②供货质量保障措施；③质量保障制度。 二、评审标准 1、完整性：方案必须全面，对评审内容中的各项要求有详细描述。 2、可实施性：切合本项目实际情况，提出步骤清晰、合理的方案。 3、针对性：方案能够紧扣项目实际情况，内容科学合理。 三、赋分标准（满分13.5分） ①质量保证计划：每完全满足一个评审标准得1.5分；针对评审标准存在有不合理处的得1分；内容与本项目无关或未提供的得0分。 ②供货质量保障措施：每完全满足一个评审标准得1.5分；针对评审标准存在有不合理处的得1分；内容与本项目无关或未提供的得0分。 ③质量保障制度：每完全满足一个评审标准得1.5分；针对评审标准存在有不合理处的得1分；内容与本项目无关或未提供的得0分。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针对本项目内容提出适用于本项目的售后服务方案，方案包括：①免费质保范围及质保响应时间；②备品备件方案；③售后服务点安排、售后服务方式及售后服务体系；④售后服务人员结构。 二、评审标准 1、完整性：方案必须全面，对评审内容中的各项要求有详细描述。 2、可实施性：切合本项目实际情况，提出步骤清晰、合理的方案。 3、针对性：方案能够紧扣项目实际情况，内容科学合理。 三、赋分标准（满分12分） ①免费质保范围及质保响应时间：每完全满足一个评审标准得1分；针对评审标准存在有不合理处的得0.5分；内容与本项目无关或未提供的得0分。 ②备品备件方案：每完全满足一个评审标准得1分；针对评审标准存在有不合理处的得0.5分；内容与本项目无关或未提供的得0分。 ③售后服务点安排、售后服务方式及售后服务体系：每完全满足一个评审标准得1分；针对评审标准存在有不合理处的得0.5分；内容与本项目无关或未提供的得0分。 ④售后服务人员结构：每完全满足一个评审标准得1分；针对评审标准存在有不合理处的得0.5分；内容与本项目无关或未提供的得0分。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以供应商提供的2023年5月1日起至今类似业绩（以合同签订时间为准，截止日为本项目公告发布之日）计算，每份合同为1个业绩，每提供一个得1分，最高得3分。提供合同复印件，未提供的不得分。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供应商近3年完成的类似业绩证明材料.docx</w:t>
            </w:r>
          </w:p>
        </w:tc>
      </w:tr>
      <w:tr>
        <w:tc>
          <w:tcPr>
            <w:tcW w:type="dxa" w:w="831"/>
            <w:vMerge/>
          </w:tcPr>
          <w:p/>
        </w:tc>
        <w:tc>
          <w:tcPr>
            <w:tcW w:type="dxa" w:w="1661"/>
          </w:tcPr>
          <w:p>
            <w:pPr>
              <w:pStyle w:val="null3"/>
            </w:pPr>
            <w:r>
              <w:rPr>
                <w:rFonts w:ascii="仿宋_GB2312" w:hAnsi="仿宋_GB2312" w:cs="仿宋_GB2312" w:eastAsia="仿宋_GB2312"/>
              </w:rPr>
              <w:t>制造商授权书</w:t>
            </w:r>
          </w:p>
        </w:tc>
        <w:tc>
          <w:tcPr>
            <w:tcW w:type="dxa" w:w="2492"/>
          </w:tcPr>
          <w:p>
            <w:pPr>
              <w:pStyle w:val="null3"/>
            </w:pPr>
            <w:r>
              <w:rPr>
                <w:rFonts w:ascii="仿宋_GB2312" w:hAnsi="仿宋_GB2312" w:cs="仿宋_GB2312" w:eastAsia="仿宋_GB2312"/>
              </w:rPr>
              <w:t>供应商每提供一个产品制造商授权书得1分；满分2分，未提供的不得分；供应商为制造商的可直接得分。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制造商授权书.docx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一、评审内容 针对本项目采购内容提出相应的承诺，方案包括：①对售后服务跟踪计划承诺；②技术支持相关承诺。 二、评审标准 1、完整性：方案必须全面，对评审内容中的各项要求有详细描述。 2、可实施性：切合本项目实际情况，提出步骤清晰、合理的方案。 3、针对性：方案能够紧扣项目实际情况，内容科学合理。 三、赋分标准（满分6分） ①对售后服务跟踪计划承诺：每完全满足一个评审标准得1分；针对评审标准存在有不合理处的得0.5分；内容与本项目无关或未提供的得0分。 ②技术支持相关承诺：每完全满足一个评审标准得1分；针对评审标准存在有不合理处的得0.5分；内容与本项目无关或未提供的得0分。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招标文件要求的最低评审价为基准价，其价格为满分。供应商的价格分，统一按照下列公式计算：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货物（产品）分项报价表.docx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详见附件：供应商近3年完成的类似业绩证明材料.docx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详见附件：制造商授权书.docx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