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200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p w14:paraId="5D2627A9">
      <w:pPr>
        <w:pStyle w:val="8"/>
        <w:jc w:val="center"/>
        <w:outlineLvl w:val="2"/>
        <w:rPr>
          <w:rFonts w:hint="default" w:eastAsiaTheme="minorEastAsia"/>
          <w:lang w:val="en-US" w:eastAsia="zh-CN"/>
        </w:rPr>
      </w:pPr>
      <w:r>
        <w:rPr>
          <w:rFonts w:hint="eastAsia"/>
          <w:b/>
          <w:sz w:val="28"/>
          <w:lang w:eastAsia="zh-CN"/>
        </w:rPr>
        <w:t>八一、春节军休干部慰问品采购项目</w:t>
      </w:r>
      <w:r>
        <w:rPr>
          <w:rFonts w:hint="eastAsia"/>
          <w:b/>
          <w:sz w:val="28"/>
          <w:lang w:val="en-US" w:eastAsia="zh-CN"/>
        </w:rPr>
        <w:t>合同</w:t>
      </w:r>
    </w:p>
    <w:p w14:paraId="7BF8D2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25D9AA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乙方：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p>
    <w:p w14:paraId="10B421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根据《中华人民共和国政府采购法》、《中华人民共和国民法典》等法律法规，选定乙方为</w:t>
      </w:r>
      <w:r>
        <w:rPr>
          <w:rFonts w:hint="eastAsia" w:ascii="宋体" w:hAnsi="宋体" w:eastAsia="宋体" w:cs="宋体"/>
          <w:sz w:val="24"/>
          <w:szCs w:val="24"/>
          <w:highlight w:val="none"/>
          <w:u w:val="single"/>
          <w:lang w:val="en-US" w:eastAsia="zh-CN"/>
        </w:rPr>
        <w:t xml:space="preserve">   （项目名称）    </w:t>
      </w:r>
      <w:r>
        <w:rPr>
          <w:rFonts w:hint="eastAsia" w:ascii="宋体" w:hAnsi="宋体" w:eastAsia="宋体" w:cs="宋体"/>
          <w:sz w:val="24"/>
          <w:szCs w:val="24"/>
          <w:highlight w:val="none"/>
          <w:lang w:val="en-US" w:eastAsia="zh-CN"/>
        </w:rPr>
        <w:t>中标</w:t>
      </w:r>
      <w:r>
        <w:rPr>
          <w:rFonts w:hint="eastAsia" w:ascii="宋体" w:hAnsi="宋体" w:eastAsia="宋体" w:cs="宋体"/>
          <w:sz w:val="24"/>
          <w:szCs w:val="24"/>
          <w:highlight w:val="none"/>
        </w:rPr>
        <w:t>单位。甲、乙双方在平等基础上协商一致，达成如下合同条款：</w:t>
      </w:r>
    </w:p>
    <w:p w14:paraId="355B88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一、合同标的物</w:t>
      </w:r>
    </w:p>
    <w:p w14:paraId="1159A768">
      <w:pPr>
        <w:pStyle w:val="9"/>
        <w:ind w:left="0" w:leftChars="0" w:firstLine="0" w:firstLineChars="0"/>
        <w:jc w:val="center"/>
        <w:rPr>
          <w:rFonts w:hint="eastAsia" w:asciiTheme="minorHAnsi" w:hAnsiTheme="minorHAnsi" w:eastAsiaTheme="minorEastAsia" w:cstheme="minorBidi"/>
          <w:b/>
          <w:bCs/>
          <w:kern w:val="2"/>
          <w:sz w:val="30"/>
          <w:szCs w:val="30"/>
          <w:lang w:val="en-US" w:eastAsia="zh-CN" w:bidi="ar-SA"/>
        </w:rPr>
      </w:pPr>
      <w:r>
        <w:rPr>
          <w:rFonts w:hint="eastAsia" w:asciiTheme="minorHAnsi" w:hAnsiTheme="minorHAnsi" w:eastAsiaTheme="minorEastAsia" w:cstheme="minorBidi"/>
          <w:b/>
          <w:bCs/>
          <w:kern w:val="2"/>
          <w:sz w:val="30"/>
          <w:szCs w:val="30"/>
          <w:lang w:val="en-US" w:eastAsia="zh-CN" w:bidi="ar-SA"/>
        </w:rPr>
        <w:t>八一慰问品</w:t>
      </w:r>
    </w:p>
    <w:tbl>
      <w:tblPr>
        <w:tblStyle w:val="4"/>
        <w:tblW w:w="80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2"/>
        <w:gridCol w:w="2024"/>
        <w:gridCol w:w="1077"/>
        <w:gridCol w:w="1361"/>
        <w:gridCol w:w="1361"/>
        <w:gridCol w:w="1614"/>
      </w:tblGrid>
      <w:tr w14:paraId="535576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noWrap w:val="0"/>
            <w:vAlign w:val="center"/>
          </w:tcPr>
          <w:p w14:paraId="6799D484">
            <w:pPr>
              <w:pStyle w:val="10"/>
              <w:keepNext w:val="0"/>
              <w:keepLines w:val="0"/>
              <w:pageBreakBefore w:val="0"/>
              <w:widowControl w:val="0"/>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序号</w:t>
            </w:r>
          </w:p>
        </w:tc>
        <w:tc>
          <w:tcPr>
            <w:tcW w:w="2024" w:type="dxa"/>
            <w:tcBorders>
              <w:left w:val="single" w:color="000000" w:sz="6" w:space="0"/>
              <w:right w:val="single" w:color="000000" w:sz="6" w:space="0"/>
            </w:tcBorders>
            <w:noWrap w:val="0"/>
            <w:vAlign w:val="center"/>
          </w:tcPr>
          <w:p w14:paraId="2520E28C">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货物名称</w:t>
            </w:r>
          </w:p>
        </w:tc>
        <w:tc>
          <w:tcPr>
            <w:tcW w:w="1077" w:type="dxa"/>
            <w:tcBorders>
              <w:left w:val="single" w:color="000000" w:sz="6" w:space="0"/>
              <w:right w:val="single" w:color="000000" w:sz="6" w:space="0"/>
            </w:tcBorders>
            <w:noWrap w:val="0"/>
            <w:vAlign w:val="center"/>
          </w:tcPr>
          <w:p w14:paraId="7D966FC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规格</w:t>
            </w:r>
          </w:p>
        </w:tc>
        <w:tc>
          <w:tcPr>
            <w:tcW w:w="1361" w:type="dxa"/>
            <w:tcBorders>
              <w:left w:val="single" w:color="000000" w:sz="6" w:space="0"/>
            </w:tcBorders>
            <w:noWrap w:val="0"/>
            <w:vAlign w:val="center"/>
          </w:tcPr>
          <w:p w14:paraId="27EDA74D">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品牌</w:t>
            </w:r>
          </w:p>
        </w:tc>
        <w:tc>
          <w:tcPr>
            <w:tcW w:w="1361" w:type="dxa"/>
            <w:tcBorders>
              <w:left w:val="single" w:color="000000" w:sz="6" w:space="0"/>
            </w:tcBorders>
            <w:noWrap w:val="0"/>
            <w:vAlign w:val="center"/>
          </w:tcPr>
          <w:p w14:paraId="7D118D9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厂家</w:t>
            </w:r>
          </w:p>
        </w:tc>
        <w:tc>
          <w:tcPr>
            <w:tcW w:w="1614" w:type="dxa"/>
            <w:tcBorders>
              <w:bottom w:val="single" w:color="000000" w:sz="6" w:space="0"/>
              <w:right w:val="single" w:color="000000" w:sz="6" w:space="0"/>
            </w:tcBorders>
            <w:noWrap w:val="0"/>
            <w:vAlign w:val="center"/>
          </w:tcPr>
          <w:p w14:paraId="06F5ABDD">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cs="宋体"/>
                <w:b/>
                <w:bCs/>
                <w:color w:val="auto"/>
                <w:sz w:val="24"/>
                <w:szCs w:val="24"/>
                <w:highlight w:val="none"/>
                <w:lang w:eastAsia="zh-CN"/>
              </w:rPr>
            </w:pPr>
            <w:r>
              <w:rPr>
                <w:rFonts w:hint="eastAsia" w:cs="宋体"/>
                <w:b/>
                <w:bCs/>
                <w:color w:val="auto"/>
                <w:sz w:val="24"/>
                <w:szCs w:val="24"/>
                <w:highlight w:val="none"/>
                <w:lang w:val="en-US" w:eastAsia="zh-CN"/>
              </w:rPr>
              <w:t>价格</w:t>
            </w:r>
            <w:r>
              <w:rPr>
                <w:rFonts w:hint="eastAsia" w:cs="宋体"/>
                <w:b/>
                <w:bCs/>
                <w:color w:val="auto"/>
                <w:sz w:val="24"/>
                <w:szCs w:val="24"/>
                <w:highlight w:val="none"/>
                <w:lang w:eastAsia="zh-CN"/>
              </w:rPr>
              <w:t>（元）</w:t>
            </w:r>
          </w:p>
        </w:tc>
      </w:tr>
      <w:tr w14:paraId="74BBA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top w:val="single" w:color="000000" w:sz="6" w:space="0"/>
              <w:right w:val="single" w:color="000000" w:sz="6" w:space="0"/>
            </w:tcBorders>
            <w:shd w:val="clear" w:color="auto" w:fill="auto"/>
            <w:noWrap w:val="0"/>
            <w:vAlign w:val="center"/>
          </w:tcPr>
          <w:p w14:paraId="3D07D3B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zh-CN"/>
              </w:rPr>
              <w:t>1</w:t>
            </w:r>
          </w:p>
        </w:tc>
        <w:tc>
          <w:tcPr>
            <w:tcW w:w="2024" w:type="dxa"/>
            <w:tcBorders>
              <w:top w:val="single" w:color="000000" w:sz="6" w:space="0"/>
              <w:left w:val="single" w:color="000000" w:sz="6" w:space="0"/>
            </w:tcBorders>
            <w:shd w:val="clear" w:color="auto" w:fill="auto"/>
            <w:noWrap w:val="0"/>
            <w:vAlign w:val="center"/>
          </w:tcPr>
          <w:p w14:paraId="572B62ED">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p>
        </w:tc>
        <w:tc>
          <w:tcPr>
            <w:tcW w:w="1077" w:type="dxa"/>
            <w:tcBorders>
              <w:top w:val="single" w:color="000000" w:sz="6" w:space="0"/>
            </w:tcBorders>
            <w:noWrap w:val="0"/>
            <w:vAlign w:val="center"/>
          </w:tcPr>
          <w:p w14:paraId="3859DA5A">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tcBorders>
              <w:top w:val="single" w:color="000000" w:sz="6" w:space="0"/>
            </w:tcBorders>
            <w:noWrap w:val="0"/>
            <w:vAlign w:val="center"/>
          </w:tcPr>
          <w:p w14:paraId="06D4F94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tcBorders>
              <w:top w:val="single" w:color="000000" w:sz="6" w:space="0"/>
            </w:tcBorders>
            <w:noWrap w:val="0"/>
            <w:vAlign w:val="center"/>
          </w:tcPr>
          <w:p w14:paraId="45D49647">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top w:val="single" w:color="000000" w:sz="6" w:space="0"/>
              <w:right w:val="single" w:color="000000" w:sz="6" w:space="0"/>
            </w:tcBorders>
            <w:noWrap w:val="0"/>
            <w:vAlign w:val="center"/>
          </w:tcPr>
          <w:p w14:paraId="26C74A86">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5CC4C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6EE01971">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zh-CN"/>
              </w:rPr>
              <w:t>2</w:t>
            </w:r>
          </w:p>
        </w:tc>
        <w:tc>
          <w:tcPr>
            <w:tcW w:w="2024" w:type="dxa"/>
            <w:tcBorders>
              <w:left w:val="single" w:color="000000" w:sz="6" w:space="0"/>
            </w:tcBorders>
            <w:shd w:val="clear" w:color="auto" w:fill="auto"/>
            <w:noWrap w:val="0"/>
            <w:vAlign w:val="center"/>
          </w:tcPr>
          <w:p w14:paraId="6D17AEBF">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p>
        </w:tc>
        <w:tc>
          <w:tcPr>
            <w:tcW w:w="1077" w:type="dxa"/>
            <w:noWrap w:val="0"/>
            <w:vAlign w:val="center"/>
          </w:tcPr>
          <w:p w14:paraId="66154FCC">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6D5B4C5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10E5A827">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right w:val="single" w:color="000000" w:sz="6" w:space="0"/>
            </w:tcBorders>
            <w:noWrap w:val="0"/>
            <w:vAlign w:val="center"/>
          </w:tcPr>
          <w:p w14:paraId="5EECAB6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6F97C6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11D81CE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zh-CN"/>
              </w:rPr>
              <w:t>3</w:t>
            </w:r>
          </w:p>
        </w:tc>
        <w:tc>
          <w:tcPr>
            <w:tcW w:w="2024" w:type="dxa"/>
            <w:tcBorders>
              <w:left w:val="single" w:color="000000" w:sz="6" w:space="0"/>
            </w:tcBorders>
            <w:shd w:val="clear" w:color="auto" w:fill="auto"/>
            <w:noWrap w:val="0"/>
            <w:vAlign w:val="center"/>
          </w:tcPr>
          <w:p w14:paraId="7E338BF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p>
        </w:tc>
        <w:tc>
          <w:tcPr>
            <w:tcW w:w="1077" w:type="dxa"/>
            <w:noWrap w:val="0"/>
            <w:vAlign w:val="center"/>
          </w:tcPr>
          <w:p w14:paraId="1B63E4C7">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063AF8D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0E652C4F">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right w:val="single" w:color="000000" w:sz="6" w:space="0"/>
            </w:tcBorders>
            <w:noWrap w:val="0"/>
            <w:vAlign w:val="center"/>
          </w:tcPr>
          <w:p w14:paraId="153B32FD">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5299F3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30BFB067">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zh-CN"/>
              </w:rPr>
              <w:t>4</w:t>
            </w:r>
          </w:p>
        </w:tc>
        <w:tc>
          <w:tcPr>
            <w:tcW w:w="2024" w:type="dxa"/>
            <w:tcBorders>
              <w:left w:val="single" w:color="000000" w:sz="6" w:space="0"/>
            </w:tcBorders>
            <w:shd w:val="clear" w:color="auto" w:fill="auto"/>
            <w:noWrap w:val="0"/>
            <w:vAlign w:val="center"/>
          </w:tcPr>
          <w:p w14:paraId="53C5A94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p>
        </w:tc>
        <w:tc>
          <w:tcPr>
            <w:tcW w:w="1077" w:type="dxa"/>
            <w:noWrap w:val="0"/>
            <w:vAlign w:val="center"/>
          </w:tcPr>
          <w:p w14:paraId="47A55332">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0CC246D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1E93246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right w:val="single" w:color="000000" w:sz="6" w:space="0"/>
            </w:tcBorders>
            <w:noWrap w:val="0"/>
            <w:vAlign w:val="center"/>
          </w:tcPr>
          <w:p w14:paraId="355C6CD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2F3578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5ACF07EF">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zh-CN"/>
              </w:rPr>
              <w:t>5</w:t>
            </w:r>
          </w:p>
        </w:tc>
        <w:tc>
          <w:tcPr>
            <w:tcW w:w="2024" w:type="dxa"/>
            <w:tcBorders>
              <w:left w:val="single" w:color="000000" w:sz="6" w:space="0"/>
            </w:tcBorders>
            <w:shd w:val="clear" w:color="auto" w:fill="auto"/>
            <w:noWrap w:val="0"/>
            <w:vAlign w:val="center"/>
          </w:tcPr>
          <w:p w14:paraId="6A40551A">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p>
        </w:tc>
        <w:tc>
          <w:tcPr>
            <w:tcW w:w="1077" w:type="dxa"/>
            <w:noWrap w:val="0"/>
            <w:vAlign w:val="center"/>
          </w:tcPr>
          <w:p w14:paraId="0F7F036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256411B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16765A2A">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right w:val="single" w:color="000000" w:sz="6" w:space="0"/>
            </w:tcBorders>
            <w:noWrap w:val="0"/>
            <w:vAlign w:val="center"/>
          </w:tcPr>
          <w:p w14:paraId="3C2DAEA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4B87A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12A229B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en-US"/>
              </w:rPr>
            </w:pPr>
            <w:r>
              <w:rPr>
                <w:rFonts w:hint="eastAsia" w:ascii="宋体" w:hAnsi="宋体" w:eastAsia="宋体" w:cs="宋体"/>
                <w:b/>
                <w:bCs/>
                <w:color w:val="auto"/>
                <w:sz w:val="24"/>
                <w:szCs w:val="24"/>
                <w:highlight w:val="none"/>
                <w:lang w:val="en-US" w:eastAsia="zh-CN"/>
              </w:rPr>
              <w:t>6</w:t>
            </w:r>
          </w:p>
        </w:tc>
        <w:tc>
          <w:tcPr>
            <w:tcW w:w="2024" w:type="dxa"/>
            <w:tcBorders>
              <w:left w:val="single" w:color="000000" w:sz="6" w:space="0"/>
            </w:tcBorders>
            <w:shd w:val="clear" w:color="auto" w:fill="auto"/>
            <w:noWrap w:val="0"/>
            <w:vAlign w:val="center"/>
          </w:tcPr>
          <w:p w14:paraId="3ECDE53A">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p>
        </w:tc>
        <w:tc>
          <w:tcPr>
            <w:tcW w:w="1077" w:type="dxa"/>
            <w:noWrap w:val="0"/>
            <w:vAlign w:val="center"/>
          </w:tcPr>
          <w:p w14:paraId="434F82F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1514344C">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361" w:type="dxa"/>
            <w:noWrap w:val="0"/>
            <w:vAlign w:val="center"/>
          </w:tcPr>
          <w:p w14:paraId="1E7ED953">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c>
          <w:tcPr>
            <w:tcW w:w="1614" w:type="dxa"/>
            <w:tcBorders>
              <w:right w:val="single" w:color="000000" w:sz="6" w:space="0"/>
            </w:tcBorders>
            <w:noWrap w:val="0"/>
            <w:vAlign w:val="center"/>
          </w:tcPr>
          <w:p w14:paraId="23B4E62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p>
        </w:tc>
      </w:tr>
      <w:tr w14:paraId="22F594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5" w:type="dxa"/>
            <w:gridSpan w:val="5"/>
            <w:noWrap w:val="0"/>
            <w:vAlign w:val="center"/>
          </w:tcPr>
          <w:p w14:paraId="4F100CB1">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合计</w:t>
            </w:r>
          </w:p>
        </w:tc>
        <w:tc>
          <w:tcPr>
            <w:tcW w:w="1614" w:type="dxa"/>
            <w:tcBorders>
              <w:right w:val="single" w:color="000000" w:sz="6" w:space="0"/>
            </w:tcBorders>
            <w:noWrap w:val="0"/>
            <w:vAlign w:val="center"/>
          </w:tcPr>
          <w:p w14:paraId="306DE013">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p>
        </w:tc>
      </w:tr>
    </w:tbl>
    <w:p w14:paraId="0D3B50EB">
      <w:pPr>
        <w:pStyle w:val="9"/>
        <w:ind w:left="0" w:leftChars="0" w:firstLine="0" w:firstLineChars="0"/>
        <w:jc w:val="center"/>
        <w:rPr>
          <w:rFonts w:hint="eastAsia" w:asciiTheme="minorHAnsi" w:hAnsiTheme="minorHAnsi" w:eastAsiaTheme="minorEastAsia" w:cstheme="minorBidi"/>
          <w:b/>
          <w:bCs/>
          <w:kern w:val="2"/>
          <w:sz w:val="30"/>
          <w:szCs w:val="30"/>
          <w:lang w:val="en-US" w:eastAsia="zh-CN" w:bidi="ar-SA"/>
        </w:rPr>
      </w:pPr>
      <w:r>
        <w:rPr>
          <w:rFonts w:hint="eastAsia" w:asciiTheme="minorHAnsi" w:hAnsiTheme="minorHAnsi" w:eastAsiaTheme="minorEastAsia" w:cstheme="minorBidi"/>
          <w:b/>
          <w:bCs/>
          <w:kern w:val="2"/>
          <w:sz w:val="30"/>
          <w:szCs w:val="30"/>
          <w:lang w:val="en-US" w:eastAsia="zh-CN" w:bidi="ar-SA"/>
        </w:rPr>
        <w:t>春节慰问品</w:t>
      </w:r>
    </w:p>
    <w:tbl>
      <w:tblPr>
        <w:tblStyle w:val="4"/>
        <w:tblW w:w="80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2"/>
        <w:gridCol w:w="1614"/>
        <w:gridCol w:w="1487"/>
        <w:gridCol w:w="1361"/>
        <w:gridCol w:w="1361"/>
        <w:gridCol w:w="1614"/>
      </w:tblGrid>
      <w:tr w14:paraId="2118C4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 w:hRule="atLeast"/>
          <w:jc w:val="center"/>
        </w:trPr>
        <w:tc>
          <w:tcPr>
            <w:tcW w:w="622" w:type="dxa"/>
            <w:tcBorders>
              <w:right w:val="single" w:color="000000" w:sz="6" w:space="0"/>
            </w:tcBorders>
            <w:noWrap w:val="0"/>
            <w:vAlign w:val="center"/>
          </w:tcPr>
          <w:p w14:paraId="1B08AF7D">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序号</w:t>
            </w:r>
          </w:p>
        </w:tc>
        <w:tc>
          <w:tcPr>
            <w:tcW w:w="1614" w:type="dxa"/>
            <w:tcBorders>
              <w:left w:val="single" w:color="000000" w:sz="6" w:space="0"/>
              <w:right w:val="single" w:color="000000" w:sz="6" w:space="0"/>
            </w:tcBorders>
            <w:noWrap w:val="0"/>
            <w:vAlign w:val="center"/>
          </w:tcPr>
          <w:p w14:paraId="45443E7C">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货物名称</w:t>
            </w:r>
          </w:p>
        </w:tc>
        <w:tc>
          <w:tcPr>
            <w:tcW w:w="1487" w:type="dxa"/>
            <w:tcBorders>
              <w:left w:val="single" w:color="000000" w:sz="6" w:space="0"/>
              <w:right w:val="single" w:color="000000" w:sz="6" w:space="0"/>
            </w:tcBorders>
            <w:noWrap w:val="0"/>
            <w:vAlign w:val="center"/>
          </w:tcPr>
          <w:p w14:paraId="088C0556">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规格</w:t>
            </w:r>
          </w:p>
        </w:tc>
        <w:tc>
          <w:tcPr>
            <w:tcW w:w="1361" w:type="dxa"/>
            <w:tcBorders>
              <w:left w:val="single" w:color="000000" w:sz="6" w:space="0"/>
            </w:tcBorders>
            <w:noWrap w:val="0"/>
            <w:vAlign w:val="center"/>
          </w:tcPr>
          <w:p w14:paraId="064D5CB3">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品牌</w:t>
            </w:r>
          </w:p>
        </w:tc>
        <w:tc>
          <w:tcPr>
            <w:tcW w:w="1361" w:type="dxa"/>
            <w:tcBorders>
              <w:left w:val="single" w:color="000000" w:sz="6" w:space="0"/>
            </w:tcBorders>
            <w:noWrap w:val="0"/>
            <w:vAlign w:val="center"/>
          </w:tcPr>
          <w:p w14:paraId="2C83A8D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厂家</w:t>
            </w:r>
          </w:p>
        </w:tc>
        <w:tc>
          <w:tcPr>
            <w:tcW w:w="1614" w:type="dxa"/>
            <w:tcBorders>
              <w:bottom w:val="single" w:color="000000" w:sz="6" w:space="0"/>
              <w:right w:val="single" w:color="000000" w:sz="6" w:space="0"/>
            </w:tcBorders>
            <w:noWrap w:val="0"/>
            <w:vAlign w:val="center"/>
          </w:tcPr>
          <w:p w14:paraId="6BCD4DFA">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eastAsia="宋体" w:cs="宋体"/>
                <w:b/>
                <w:bCs/>
                <w:color w:val="auto"/>
                <w:sz w:val="24"/>
                <w:szCs w:val="24"/>
                <w:highlight w:val="none"/>
                <w:lang w:val="en-US" w:eastAsia="zh-CN"/>
              </w:rPr>
              <w:t>价格</w:t>
            </w:r>
            <w:r>
              <w:rPr>
                <w:rFonts w:hint="eastAsia" w:ascii="宋体" w:hAnsi="宋体" w:eastAsia="宋体" w:cs="宋体"/>
                <w:b/>
                <w:bCs/>
                <w:color w:val="auto"/>
                <w:sz w:val="24"/>
                <w:szCs w:val="24"/>
                <w:highlight w:val="none"/>
                <w:lang w:eastAsia="zh-CN"/>
              </w:rPr>
              <w:t>（元）</w:t>
            </w:r>
          </w:p>
        </w:tc>
      </w:tr>
      <w:tr w14:paraId="3BFB30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top w:val="single" w:color="000000" w:sz="6" w:space="0"/>
              <w:right w:val="single" w:color="000000" w:sz="6" w:space="0"/>
            </w:tcBorders>
            <w:shd w:val="clear" w:color="auto" w:fill="auto"/>
            <w:noWrap w:val="0"/>
            <w:vAlign w:val="center"/>
          </w:tcPr>
          <w:p w14:paraId="0F7DE4FB">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w:t>
            </w:r>
          </w:p>
        </w:tc>
        <w:tc>
          <w:tcPr>
            <w:tcW w:w="1614" w:type="dxa"/>
            <w:tcBorders>
              <w:top w:val="single" w:color="000000" w:sz="6" w:space="0"/>
              <w:left w:val="single" w:color="000000" w:sz="6" w:space="0"/>
            </w:tcBorders>
            <w:shd w:val="clear" w:color="auto" w:fill="auto"/>
            <w:noWrap w:val="0"/>
            <w:vAlign w:val="center"/>
          </w:tcPr>
          <w:p w14:paraId="05E560D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p>
        </w:tc>
        <w:tc>
          <w:tcPr>
            <w:tcW w:w="1487" w:type="dxa"/>
            <w:tcBorders>
              <w:top w:val="single" w:color="000000" w:sz="6" w:space="0"/>
            </w:tcBorders>
            <w:noWrap w:val="0"/>
            <w:vAlign w:val="center"/>
          </w:tcPr>
          <w:p w14:paraId="60A9B07C">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tcBorders>
              <w:top w:val="single" w:color="000000" w:sz="6" w:space="0"/>
            </w:tcBorders>
            <w:noWrap w:val="0"/>
            <w:vAlign w:val="center"/>
          </w:tcPr>
          <w:p w14:paraId="795B0A7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tcBorders>
              <w:top w:val="single" w:color="000000" w:sz="6" w:space="0"/>
            </w:tcBorders>
            <w:noWrap w:val="0"/>
            <w:vAlign w:val="center"/>
          </w:tcPr>
          <w:p w14:paraId="3C388CCC">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614" w:type="dxa"/>
            <w:tcBorders>
              <w:top w:val="single" w:color="000000" w:sz="6" w:space="0"/>
              <w:right w:val="single" w:color="000000" w:sz="6" w:space="0"/>
            </w:tcBorders>
            <w:noWrap w:val="0"/>
            <w:vAlign w:val="center"/>
          </w:tcPr>
          <w:p w14:paraId="15E16887">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r>
      <w:tr w14:paraId="21364D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1C32E8E4">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w:t>
            </w:r>
          </w:p>
        </w:tc>
        <w:tc>
          <w:tcPr>
            <w:tcW w:w="1614" w:type="dxa"/>
            <w:tcBorders>
              <w:left w:val="single" w:color="000000" w:sz="6" w:space="0"/>
            </w:tcBorders>
            <w:shd w:val="clear" w:color="auto" w:fill="auto"/>
            <w:noWrap w:val="0"/>
            <w:vAlign w:val="center"/>
          </w:tcPr>
          <w:p w14:paraId="20D7547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p>
        </w:tc>
        <w:tc>
          <w:tcPr>
            <w:tcW w:w="1487" w:type="dxa"/>
            <w:noWrap w:val="0"/>
            <w:vAlign w:val="center"/>
          </w:tcPr>
          <w:p w14:paraId="1746F9F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48A0EEC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4A93BFAA">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614" w:type="dxa"/>
            <w:tcBorders>
              <w:right w:val="single" w:color="000000" w:sz="6" w:space="0"/>
            </w:tcBorders>
            <w:noWrap w:val="0"/>
            <w:vAlign w:val="center"/>
          </w:tcPr>
          <w:p w14:paraId="6940F0C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r>
      <w:tr w14:paraId="39BE11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2345B4E3">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w:t>
            </w:r>
          </w:p>
        </w:tc>
        <w:tc>
          <w:tcPr>
            <w:tcW w:w="1614" w:type="dxa"/>
            <w:tcBorders>
              <w:left w:val="single" w:color="000000" w:sz="6" w:space="0"/>
            </w:tcBorders>
            <w:shd w:val="clear" w:color="auto" w:fill="auto"/>
            <w:noWrap w:val="0"/>
            <w:vAlign w:val="center"/>
          </w:tcPr>
          <w:p w14:paraId="55D56DA1">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p>
        </w:tc>
        <w:tc>
          <w:tcPr>
            <w:tcW w:w="1487" w:type="dxa"/>
            <w:noWrap w:val="0"/>
            <w:vAlign w:val="center"/>
          </w:tcPr>
          <w:p w14:paraId="56387E32">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16EAE06B">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2568947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614" w:type="dxa"/>
            <w:tcBorders>
              <w:right w:val="single" w:color="000000" w:sz="6" w:space="0"/>
            </w:tcBorders>
            <w:noWrap w:val="0"/>
            <w:vAlign w:val="center"/>
          </w:tcPr>
          <w:p w14:paraId="52E9DF0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r>
      <w:tr w14:paraId="787BCE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5C3723F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w:t>
            </w:r>
          </w:p>
        </w:tc>
        <w:tc>
          <w:tcPr>
            <w:tcW w:w="1614" w:type="dxa"/>
            <w:tcBorders>
              <w:left w:val="single" w:color="000000" w:sz="6" w:space="0"/>
            </w:tcBorders>
            <w:shd w:val="clear" w:color="auto" w:fill="auto"/>
            <w:noWrap w:val="0"/>
            <w:vAlign w:val="center"/>
          </w:tcPr>
          <w:p w14:paraId="303253D6">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p>
        </w:tc>
        <w:tc>
          <w:tcPr>
            <w:tcW w:w="1487" w:type="dxa"/>
            <w:noWrap w:val="0"/>
            <w:vAlign w:val="center"/>
          </w:tcPr>
          <w:p w14:paraId="48CA970F">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4A4DD69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6E82BDE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614" w:type="dxa"/>
            <w:tcBorders>
              <w:right w:val="single" w:color="000000" w:sz="6" w:space="0"/>
            </w:tcBorders>
            <w:noWrap w:val="0"/>
            <w:vAlign w:val="center"/>
          </w:tcPr>
          <w:p w14:paraId="0702D67B">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r>
      <w:tr w14:paraId="0921E0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394F1D25">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w:t>
            </w:r>
          </w:p>
        </w:tc>
        <w:tc>
          <w:tcPr>
            <w:tcW w:w="1614" w:type="dxa"/>
            <w:tcBorders>
              <w:left w:val="single" w:color="000000" w:sz="6" w:space="0"/>
            </w:tcBorders>
            <w:shd w:val="clear" w:color="auto" w:fill="auto"/>
            <w:noWrap w:val="0"/>
            <w:vAlign w:val="center"/>
          </w:tcPr>
          <w:p w14:paraId="61667B18">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p>
        </w:tc>
        <w:tc>
          <w:tcPr>
            <w:tcW w:w="1487" w:type="dxa"/>
            <w:noWrap w:val="0"/>
            <w:vAlign w:val="center"/>
          </w:tcPr>
          <w:p w14:paraId="419FA53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1BF884C0">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20A06C53">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614" w:type="dxa"/>
            <w:tcBorders>
              <w:right w:val="single" w:color="000000" w:sz="6" w:space="0"/>
            </w:tcBorders>
            <w:noWrap w:val="0"/>
            <w:vAlign w:val="center"/>
          </w:tcPr>
          <w:p w14:paraId="347C1062">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r>
      <w:tr w14:paraId="7D613B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22" w:type="dxa"/>
            <w:tcBorders>
              <w:right w:val="single" w:color="000000" w:sz="6" w:space="0"/>
            </w:tcBorders>
            <w:shd w:val="clear" w:color="auto" w:fill="auto"/>
            <w:noWrap w:val="0"/>
            <w:vAlign w:val="center"/>
          </w:tcPr>
          <w:p w14:paraId="33A33C9D">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w:t>
            </w:r>
          </w:p>
        </w:tc>
        <w:tc>
          <w:tcPr>
            <w:tcW w:w="1614" w:type="dxa"/>
            <w:tcBorders>
              <w:left w:val="single" w:color="000000" w:sz="6" w:space="0"/>
            </w:tcBorders>
            <w:shd w:val="clear" w:color="auto" w:fill="auto"/>
            <w:noWrap w:val="0"/>
            <w:vAlign w:val="center"/>
          </w:tcPr>
          <w:p w14:paraId="2DD0961F">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val="en-US" w:eastAsia="zh-CN"/>
              </w:rPr>
            </w:pPr>
          </w:p>
        </w:tc>
        <w:tc>
          <w:tcPr>
            <w:tcW w:w="1487" w:type="dxa"/>
            <w:noWrap w:val="0"/>
            <w:vAlign w:val="center"/>
          </w:tcPr>
          <w:p w14:paraId="5CEAD192">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0DDF1BB9">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361" w:type="dxa"/>
            <w:noWrap w:val="0"/>
            <w:vAlign w:val="center"/>
          </w:tcPr>
          <w:p w14:paraId="3AFFF60E">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c>
          <w:tcPr>
            <w:tcW w:w="1614" w:type="dxa"/>
            <w:tcBorders>
              <w:right w:val="single" w:color="000000" w:sz="6" w:space="0"/>
            </w:tcBorders>
            <w:noWrap w:val="0"/>
            <w:vAlign w:val="center"/>
          </w:tcPr>
          <w:p w14:paraId="5310315B">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p>
        </w:tc>
      </w:tr>
      <w:tr w14:paraId="04A2DD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445" w:type="dxa"/>
            <w:gridSpan w:val="5"/>
            <w:noWrap w:val="0"/>
            <w:vAlign w:val="center"/>
          </w:tcPr>
          <w:p w14:paraId="3C0E2C56">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合计</w:t>
            </w:r>
          </w:p>
        </w:tc>
        <w:tc>
          <w:tcPr>
            <w:tcW w:w="1614" w:type="dxa"/>
            <w:tcBorders>
              <w:right w:val="single" w:color="000000" w:sz="6" w:space="0"/>
            </w:tcBorders>
            <w:noWrap w:val="0"/>
            <w:vAlign w:val="center"/>
          </w:tcPr>
          <w:p w14:paraId="58692653">
            <w:pPr>
              <w:pStyle w:val="10"/>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default" w:ascii="宋体" w:hAnsi="宋体" w:eastAsia="宋体" w:cs="宋体"/>
                <w:b/>
                <w:bCs/>
                <w:color w:val="auto"/>
                <w:sz w:val="24"/>
                <w:szCs w:val="24"/>
                <w:highlight w:val="none"/>
                <w:lang w:val="en-US" w:eastAsia="zh-CN"/>
              </w:rPr>
            </w:pPr>
          </w:p>
        </w:tc>
      </w:tr>
    </w:tbl>
    <w:p w14:paraId="3A96B3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p>
    <w:p w14:paraId="26F8FB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二、合同价款</w:t>
      </w:r>
    </w:p>
    <w:p w14:paraId="5D2F41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合同暂定总价： 元（大写：人民币 ）；</w:t>
      </w:r>
      <w:r>
        <w:rPr>
          <w:rFonts w:hint="eastAsia" w:ascii="宋体" w:hAnsi="宋体" w:eastAsia="宋体" w:cs="宋体"/>
          <w:sz w:val="24"/>
          <w:szCs w:val="24"/>
          <w:highlight w:val="none"/>
        </w:rPr>
        <w:t>结算单价(大写): 八一慰问品</w:t>
      </w:r>
      <w:r>
        <w:rPr>
          <w:rFonts w:hint="eastAsia" w:ascii="宋体" w:hAnsi="宋体" w:eastAsia="宋体" w:cs="宋体"/>
          <w:sz w:val="24"/>
          <w:szCs w:val="24"/>
          <w:highlight w:val="none"/>
          <w:u w:val="single"/>
          <w:lang w:val="en-US" w:eastAsia="zh-CN"/>
        </w:rPr>
        <w:t xml:space="preserve">   元/份</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春节慰问品</w:t>
      </w:r>
      <w:r>
        <w:rPr>
          <w:rFonts w:hint="eastAsia" w:ascii="宋体" w:hAnsi="宋体" w:eastAsia="宋体" w:cs="宋体"/>
          <w:sz w:val="24"/>
          <w:szCs w:val="24"/>
          <w:highlight w:val="none"/>
          <w:u w:val="single"/>
          <w:lang w:val="en-US" w:eastAsia="zh-CN"/>
        </w:rPr>
        <w:t xml:space="preserve">   元/份</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0FC5AD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2、供应商提供产品所发生的一切费用(包括增值税等相关税费)等都已包含于合同价款中。</w:t>
      </w:r>
    </w:p>
    <w:p w14:paraId="6A6C73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3、合同单价固定一次包死，不受市场价变化或实际工作量变化的影响。</w:t>
      </w:r>
    </w:p>
    <w:p w14:paraId="493454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4、如受疫情、市场等非人为因素影响导致某种产品不能正常供应，由甲乙双方协商可选择同等价值产品替代。</w:t>
      </w:r>
    </w:p>
    <w:p w14:paraId="64BC1C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三、款项结算</w:t>
      </w:r>
    </w:p>
    <w:p w14:paraId="24282B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1)由采购人负责结算，供应商必须开具全额发票给采购人(附详细清单)。</w:t>
      </w:r>
    </w:p>
    <w:p w14:paraId="732A91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2)付款方式：</w:t>
      </w:r>
      <w:r>
        <w:rPr>
          <w:rFonts w:hint="eastAsia" w:ascii="宋体" w:hAnsi="宋体" w:eastAsia="宋体" w:cs="宋体"/>
          <w:sz w:val="24"/>
          <w:szCs w:val="24"/>
          <w:highlight w:val="none"/>
          <w:lang w:val="en-US" w:eastAsia="zh-CN"/>
        </w:rPr>
        <w:t>合同签订后，2026年八一慰问品供货结束，经甲方验收合格后，根据实际需求数量，按照（成交总金额/首次总报价）*每份八一慰问品首次报价的单价，达到付款条件起 30 日内，据实结算八一慰问已供货款的100%，付款前供应商必须开具本次采购金额足额的发票给采购人；2027年春节慰问品供货结束，经甲方验收合格后，根据实际需求数量，按照（成交总金额/首次总报价）*春节慰问品的单价，达到付款条件起 30 日内，据实进行结算春节慰问</w:t>
      </w:r>
      <w:bookmarkStart w:id="0" w:name="_GoBack"/>
      <w:bookmarkEnd w:id="0"/>
      <w:r>
        <w:rPr>
          <w:rFonts w:hint="eastAsia" w:ascii="宋体" w:hAnsi="宋体" w:eastAsia="宋体" w:cs="宋体"/>
          <w:sz w:val="24"/>
          <w:szCs w:val="24"/>
          <w:highlight w:val="none"/>
          <w:lang w:val="en-US" w:eastAsia="zh-CN"/>
        </w:rPr>
        <w:t>已供货款的100%，付款前供应商必须开具本次采购金额100%的发票给采购人，最终结算额不超过采购预算。</w:t>
      </w:r>
    </w:p>
    <w:p w14:paraId="14C08E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四、双方的权利和义务</w:t>
      </w:r>
    </w:p>
    <w:p w14:paraId="02DB7E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(一)甲方的权利和义务：采购人向供应商承诺，按照本合同约定支付服务货物款项。</w:t>
      </w:r>
    </w:p>
    <w:p w14:paraId="74054E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(二)乙方的权利和义务：供应商向采购人承诺，按照本合同约定提供相关服务货物。</w:t>
      </w:r>
    </w:p>
    <w:p w14:paraId="35F6D9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五、交货条件：</w:t>
      </w:r>
    </w:p>
    <w:p w14:paraId="2FB41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(一)交货地点：</w:t>
      </w:r>
      <w:r>
        <w:rPr>
          <w:rFonts w:hint="eastAsia" w:ascii="宋体" w:hAnsi="宋体" w:eastAsia="宋体" w:cs="宋体"/>
          <w:sz w:val="24"/>
          <w:szCs w:val="24"/>
          <w:highlight w:val="none"/>
          <w:lang w:val="en-US" w:eastAsia="zh-CN"/>
        </w:rPr>
        <w:t>实物配送按时到指定分地址，协助甲方发放慰问品，部分须邮寄。</w:t>
      </w:r>
    </w:p>
    <w:p w14:paraId="6E0573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(二)交货期限：</w:t>
      </w:r>
      <w:r>
        <w:rPr>
          <w:rFonts w:hint="eastAsia" w:ascii="宋体" w:hAnsi="宋体" w:eastAsia="宋体" w:cs="宋体"/>
          <w:sz w:val="24"/>
          <w:szCs w:val="24"/>
          <w:highlight w:val="none"/>
          <w:lang w:val="en-US" w:eastAsia="zh-CN"/>
        </w:rPr>
        <w:t>自合同签订之日起至所有货物供货完成之日止。（货物分批次配送，批次不定，每次接到采购人通知1日内响应，3日内完成完成配送）</w:t>
      </w:r>
      <w:r>
        <w:rPr>
          <w:rFonts w:hint="eastAsia" w:ascii="宋体" w:hAnsi="宋体" w:eastAsia="宋体" w:cs="宋体"/>
          <w:sz w:val="24"/>
          <w:szCs w:val="24"/>
          <w:highlight w:val="none"/>
        </w:rPr>
        <w:t xml:space="preserve">  </w:t>
      </w:r>
    </w:p>
    <w:p w14:paraId="765297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六、配送方式</w:t>
      </w:r>
    </w:p>
    <w:p w14:paraId="1453F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(1)乙方负责所有产品的运输，确保采购产品安全、完整到达甲方指定地点。运杂费用已包含在合同总价内，包括从产品供应地点所含的运输费、装卸费、仓储费、保险费等。</w:t>
      </w:r>
    </w:p>
    <w:p w14:paraId="0C5B82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(2)运输方式由乙方自行选择，但必须保证按期交货所有采购货物在运输、搬运的过程中，造成甲方损失的，由乙方为甲方免费更换。</w:t>
      </w:r>
    </w:p>
    <w:p w14:paraId="753CCB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七、质量保证</w:t>
      </w:r>
    </w:p>
    <w:p w14:paraId="19CB1B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(1)乙方所供产品必须是经过办理正常手续的产品；</w:t>
      </w:r>
    </w:p>
    <w:p w14:paraId="378415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(2)乙方所供产品是经过国家法定检验、注册、准许市场销售的合法产品；</w:t>
      </w:r>
    </w:p>
    <w:p w14:paraId="0DA47B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(3)乙方产品质量保证措施完善，符合国家相关标准。</w:t>
      </w:r>
    </w:p>
    <w:p w14:paraId="3D8A9A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(4)包装要求</w:t>
      </w:r>
    </w:p>
    <w:p w14:paraId="4EF400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①除合同另有规定外，乙方提供的全部货物，均应按标准保护措施进行包装，并确保货物安全无损运送甲方指定地点。</w:t>
      </w:r>
    </w:p>
    <w:p w14:paraId="1047BB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②每一个包装箱内应附一份详细装箱单和质量合格证。</w:t>
      </w:r>
    </w:p>
    <w:p w14:paraId="7597FC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(5)乙方应保证甲方在使用该货物或其任何一部分时免受第三方提出侵犯其专利权、商标权或工业设计权的起诉。</w:t>
      </w:r>
    </w:p>
    <w:p w14:paraId="1B8AF1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八、售后服务</w:t>
      </w:r>
    </w:p>
    <w:p w14:paraId="19B0A4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(一)产品</w:t>
      </w:r>
      <w:r>
        <w:rPr>
          <w:rFonts w:hint="eastAsia" w:ascii="宋体" w:hAnsi="宋体" w:eastAsia="宋体" w:cs="宋体"/>
          <w:sz w:val="24"/>
          <w:szCs w:val="24"/>
          <w:highlight w:val="none"/>
          <w:lang w:val="en-US" w:eastAsia="zh-CN"/>
        </w:rPr>
        <w:t>质保期：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0CCFDF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(二)售后服务</w:t>
      </w:r>
    </w:p>
    <w:p w14:paraId="186051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1、甲方享有产品的一切品牌售后服务；</w:t>
      </w:r>
    </w:p>
    <w:p w14:paraId="41A3D0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2、乙方应在售后服务内容保证书中，明确售后服务内容、响应时间、范围、方式等，并进行其他售后服务工作。</w:t>
      </w:r>
    </w:p>
    <w:p w14:paraId="2A70A7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九、技术与服务</w:t>
      </w:r>
    </w:p>
    <w:p w14:paraId="761E28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(一)技术资料：</w:t>
      </w:r>
    </w:p>
    <w:p w14:paraId="63BE81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1、产品合格证；</w:t>
      </w:r>
    </w:p>
    <w:p w14:paraId="333D8A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2、产品的检验报告；</w:t>
      </w:r>
    </w:p>
    <w:p w14:paraId="2BFD67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3、其它资料。</w:t>
      </w:r>
    </w:p>
    <w:p w14:paraId="5CF7F6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(二)服务承诺：以响应文件、澄清表(函)、合同和随货物的相关文件为准。</w:t>
      </w:r>
    </w:p>
    <w:p w14:paraId="25025A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十、验收</w:t>
      </w:r>
    </w:p>
    <w:p w14:paraId="1822EB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1、验收时间及地点：合同签订后，乙方提供满足甲方要求的数量的货物，统一集中放在乙方仓储地，由甲方进行验收，验收合格后，进行封货。（后期根据甲方的供货需求按时进行供货）</w:t>
      </w:r>
    </w:p>
    <w:p w14:paraId="50B192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2、验收具体内容及要求：</w:t>
      </w:r>
    </w:p>
    <w:p w14:paraId="6C93FC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由甲、乙双方共同对项目进行验收。其内容包括确认产品的产地、规格、型号和数量，对其产品技术指标、性能参数是否达到现行国家有关验收规范“合格”标准进行逐项检查。</w:t>
      </w:r>
    </w:p>
    <w:p w14:paraId="7510AF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所验产品的指标、性能参数通过验收不满足</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要求和</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承诺的，或在使用中发现采购人不能容忍的缺陷等，将视为产品验收不合格，供应商应无条件免费更换或退货。</w:t>
      </w:r>
    </w:p>
    <w:p w14:paraId="2E853A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若发现供应商有弄虚作假的，在投标阶段故意或随意夸大产品技术性能，供应商应无条件退货，并赔偿采购人相应的损失。</w:t>
      </w:r>
    </w:p>
    <w:p w14:paraId="65E595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3.验收标准：按</w:t>
      </w:r>
      <w:r>
        <w:rPr>
          <w:rFonts w:hint="eastAsia" w:ascii="宋体" w:hAnsi="宋体" w:eastAsia="宋体" w:cs="宋体"/>
          <w:sz w:val="24"/>
          <w:szCs w:val="24"/>
          <w:highlight w:val="none"/>
          <w:lang w:val="en-US" w:eastAsia="zh-CN"/>
        </w:rPr>
        <w:t>采购文件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响应文件</w:t>
      </w:r>
      <w:r>
        <w:rPr>
          <w:rFonts w:hint="eastAsia" w:ascii="宋体" w:hAnsi="宋体" w:eastAsia="宋体" w:cs="宋体"/>
          <w:sz w:val="24"/>
          <w:szCs w:val="24"/>
          <w:highlight w:val="none"/>
        </w:rPr>
        <w:t>及澄清函等技术指标进行验收。各项指标均应符合验收标准及要求。</w:t>
      </w:r>
    </w:p>
    <w:p w14:paraId="0A422E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4.验收合格后，填写验收单，双方签字生效。</w:t>
      </w:r>
    </w:p>
    <w:p w14:paraId="343D78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5.验收依据：</w:t>
      </w:r>
    </w:p>
    <w:p w14:paraId="15A230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a)合同文本； </w:t>
      </w:r>
    </w:p>
    <w:p w14:paraId="10E521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b)</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及澄清函、</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 xml:space="preserve">；  </w:t>
      </w:r>
    </w:p>
    <w:p w14:paraId="3EA1C9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c)国家和行业制定的相应的标准和规范； </w:t>
      </w:r>
    </w:p>
    <w:p w14:paraId="48DBB4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d) 产品验收清单(注明品名、数量、规格和原产地或生产厂家)。</w:t>
      </w:r>
    </w:p>
    <w:p w14:paraId="36F9F0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十一、违约责任</w:t>
      </w:r>
    </w:p>
    <w:p w14:paraId="384C11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(一)未按合同要求提供产品或产品质量不能满足技术要求，甲方会同监督机构、采购代理机构有权终止合同并对乙方的违约行为进行追究，同时按相关管理办法进行处罚。</w:t>
      </w:r>
    </w:p>
    <w:p w14:paraId="3F42B0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(二)甲方应按照合同约定的时间和比例向乙方支付货款。</w:t>
      </w:r>
    </w:p>
    <w:p w14:paraId="02BEB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(三)乙方逾期交货的，每逾期一日按合同价款的3%向甲方支付违约金。逾期达5 日，甲方有权解除合同，乙方应按合同价款的20%向甲方支付违约金，并赔偿由此给甲方造成的相关经济损失。</w:t>
      </w:r>
    </w:p>
    <w:p w14:paraId="655AEA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乙方未在约定的期限内完成产品到货，每逾期一日按照合同总价款的3%向甲方支付违约金。逾期达5日，甲方有权解除合同，并要求乙方按照合同总价款的20%支付违约金。由此给甲方造成损失的，乙方还应当赔偿损失。</w:t>
      </w:r>
    </w:p>
    <w:p w14:paraId="6D60FE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十二、合同争议解决的方式</w:t>
      </w:r>
    </w:p>
    <w:p w14:paraId="67CE2F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本合同在履行过程中发生的争议，由甲、乙双方当事人协商解决，协商不成的提交甲方所在地法院诉讼。</w:t>
      </w:r>
    </w:p>
    <w:p w14:paraId="48EF2AA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十三、合同生效</w:t>
      </w:r>
    </w:p>
    <w:p w14:paraId="731B62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本合同一式     份，本合同甲、乙方确认</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各方签字盖章后生效，合同执行完毕后，</w:t>
      </w:r>
      <w:r>
        <w:rPr>
          <w:rFonts w:hint="eastAsia" w:ascii="宋体" w:hAnsi="宋体" w:eastAsia="宋体" w:cs="宋体"/>
          <w:sz w:val="24"/>
          <w:szCs w:val="24"/>
          <w:highlight w:val="none"/>
          <w:lang w:val="en-US" w:eastAsia="zh-CN"/>
        </w:rPr>
        <w:t>自</w:t>
      </w:r>
      <w:r>
        <w:rPr>
          <w:rFonts w:hint="eastAsia" w:ascii="宋体" w:hAnsi="宋体" w:eastAsia="宋体" w:cs="宋体"/>
          <w:sz w:val="24"/>
          <w:szCs w:val="24"/>
          <w:highlight w:val="none"/>
        </w:rPr>
        <w:t>动失效(合同的服务承诺则长期有效)。</w:t>
      </w:r>
    </w:p>
    <w:p w14:paraId="66A584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十四、其他事项</w:t>
      </w:r>
    </w:p>
    <w:p w14:paraId="289C11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w:t>
      </w:r>
      <w:r>
        <w:rPr>
          <w:rFonts w:hint="eastAsia" w:ascii="宋体" w:hAnsi="宋体" w:eastAsia="宋体" w:cs="宋体"/>
          <w:sz w:val="24"/>
          <w:szCs w:val="24"/>
          <w:highlight w:val="none"/>
          <w:lang w:eastAsia="zh-CN"/>
        </w:rPr>
        <w:t>响应文件</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招标文件</w:t>
      </w:r>
      <w:r>
        <w:rPr>
          <w:rFonts w:hint="eastAsia" w:ascii="宋体" w:hAnsi="宋体" w:eastAsia="宋体" w:cs="宋体"/>
          <w:sz w:val="24"/>
          <w:szCs w:val="24"/>
          <w:highlight w:val="none"/>
        </w:rPr>
        <w:t>、澄清表(函)、</w:t>
      </w:r>
      <w:r>
        <w:rPr>
          <w:rFonts w:hint="eastAsia" w:ascii="宋体" w:hAnsi="宋体" w:eastAsia="宋体" w:cs="宋体"/>
          <w:sz w:val="24"/>
          <w:szCs w:val="24"/>
          <w:highlight w:val="none"/>
          <w:lang w:eastAsia="zh-CN"/>
        </w:rPr>
        <w:t>中标通知书</w:t>
      </w:r>
      <w:r>
        <w:rPr>
          <w:rFonts w:hint="eastAsia" w:ascii="宋体" w:hAnsi="宋体" w:eastAsia="宋体" w:cs="宋体"/>
          <w:sz w:val="24"/>
          <w:szCs w:val="24"/>
          <w:highlight w:val="none"/>
        </w:rPr>
        <w:t>、合同附件均成为合同不可分割的部分。</w:t>
      </w:r>
    </w:p>
    <w:p w14:paraId="684D4A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(二)合同未尽事宜，由甲、乙双方协商，经确认方确认后，作为合同补充，与原合同具有同等法律效力。</w:t>
      </w:r>
    </w:p>
    <w:p w14:paraId="0B2C81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(三)合同一经签订，不得擅自变更、中止或终止合同。对确需变更、调整或中止、终止合同的，应重新签订补充协议。如未签订补充协议则仍以原合同为准。</w:t>
      </w:r>
    </w:p>
    <w:p w14:paraId="52E714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(四)本合同按照中华人民共和国的现行法律进行解释。</w:t>
      </w:r>
    </w:p>
    <w:p w14:paraId="444C1E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p>
    <w:tbl>
      <w:tblPr>
        <w:tblStyle w:val="5"/>
        <w:tblW w:w="8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99"/>
        <w:gridCol w:w="4500"/>
      </w:tblGrid>
      <w:tr w14:paraId="502B7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463472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甲方名称：（盖章）</w:t>
            </w:r>
          </w:p>
        </w:tc>
        <w:tc>
          <w:tcPr>
            <w:tcW w:w="4500" w:type="dxa"/>
          </w:tcPr>
          <w:p w14:paraId="447968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乙方名称：（盖章）</w:t>
            </w:r>
          </w:p>
        </w:tc>
      </w:tr>
      <w:tr w14:paraId="4B11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trPr>
        <w:tc>
          <w:tcPr>
            <w:tcW w:w="4499" w:type="dxa"/>
          </w:tcPr>
          <w:p w14:paraId="38B02D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法定代表人或委托代表人(签字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tc>
        <w:tc>
          <w:tcPr>
            <w:tcW w:w="4500" w:type="dxa"/>
            <w:vAlign w:val="top"/>
          </w:tcPr>
          <w:p w14:paraId="5D5241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法定代表人或委托代表人(签字</w:t>
            </w:r>
            <w:r>
              <w:rPr>
                <w:rFonts w:hint="eastAsia" w:ascii="宋体" w:hAnsi="宋体" w:eastAsia="宋体" w:cs="宋体"/>
                <w:sz w:val="24"/>
                <w:szCs w:val="24"/>
                <w:highlight w:val="none"/>
                <w:lang w:val="en-US" w:eastAsia="zh-CN"/>
              </w:rPr>
              <w:t>或盖章</w:t>
            </w:r>
            <w:r>
              <w:rPr>
                <w:rFonts w:hint="eastAsia" w:ascii="宋体" w:hAnsi="宋体" w:eastAsia="宋体" w:cs="宋体"/>
                <w:sz w:val="24"/>
                <w:szCs w:val="24"/>
                <w:highlight w:val="none"/>
              </w:rPr>
              <w:t>):</w:t>
            </w:r>
          </w:p>
        </w:tc>
      </w:tr>
      <w:tr w14:paraId="5928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7A5B57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电话：</w:t>
            </w:r>
          </w:p>
        </w:tc>
        <w:tc>
          <w:tcPr>
            <w:tcW w:w="4500" w:type="dxa"/>
            <w:vAlign w:val="top"/>
          </w:tcPr>
          <w:p w14:paraId="4A2B1C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电话：</w:t>
            </w:r>
          </w:p>
        </w:tc>
      </w:tr>
      <w:tr w14:paraId="16E36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24D9B3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地址：</w:t>
            </w:r>
          </w:p>
        </w:tc>
        <w:tc>
          <w:tcPr>
            <w:tcW w:w="4500" w:type="dxa"/>
            <w:vAlign w:val="top"/>
          </w:tcPr>
          <w:p w14:paraId="4DA1F5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地址：</w:t>
            </w:r>
          </w:p>
        </w:tc>
      </w:tr>
      <w:tr w14:paraId="633F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4499" w:type="dxa"/>
          </w:tcPr>
          <w:p w14:paraId="2B90FF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开户行及账号：</w:t>
            </w:r>
          </w:p>
        </w:tc>
        <w:tc>
          <w:tcPr>
            <w:tcW w:w="4500" w:type="dxa"/>
            <w:vAlign w:val="top"/>
          </w:tcPr>
          <w:p w14:paraId="1EE371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开户行及账号：</w:t>
            </w:r>
          </w:p>
        </w:tc>
      </w:tr>
      <w:tr w14:paraId="3CA50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4499" w:type="dxa"/>
          </w:tcPr>
          <w:p w14:paraId="7549F1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日期：</w:t>
            </w:r>
          </w:p>
        </w:tc>
        <w:tc>
          <w:tcPr>
            <w:tcW w:w="4500" w:type="dxa"/>
            <w:vAlign w:val="top"/>
          </w:tcPr>
          <w:p w14:paraId="5508BB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日期：</w:t>
            </w:r>
          </w:p>
        </w:tc>
      </w:tr>
    </w:tbl>
    <w:p w14:paraId="4CEC15D8">
      <w:pPr>
        <w:pStyle w:val="8"/>
        <w:rPr>
          <w:rFonts w:hint="eastAsia"/>
          <w:highlight w:val="none"/>
          <w:lang w:val="en-US" w:eastAsia="zh-Hans"/>
        </w:rPr>
      </w:pPr>
    </w:p>
    <w:p w14:paraId="17938250">
      <w:pPr>
        <w:rPr>
          <w:highlight w:val="none"/>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FC957">
    <w:pPr>
      <w:spacing w:line="176" w:lineRule="auto"/>
      <w:ind w:left="4510"/>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b/>
        <w:bCs/>
        <w:spacing w:val="-1"/>
        <w:sz w:val="18"/>
        <w:szCs w:val="18"/>
        <w:lang w:val="en-US"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wZTdmNjRhMjkwMzc0ZTBkMDk4ZjUwODU2OWYyYTUifQ=="/>
  </w:docVars>
  <w:rsids>
    <w:rsidRoot w:val="00000000"/>
    <w:rsid w:val="09852657"/>
    <w:rsid w:val="168064E2"/>
    <w:rsid w:val="349C0B07"/>
    <w:rsid w:val="34D515C4"/>
    <w:rsid w:val="3A8A4C4C"/>
    <w:rsid w:val="417118D0"/>
    <w:rsid w:val="42CA3B71"/>
    <w:rsid w:val="49033E17"/>
    <w:rsid w:val="51823FF8"/>
    <w:rsid w:val="51B42E5D"/>
    <w:rsid w:val="5D662845"/>
    <w:rsid w:val="79533A3E"/>
    <w:rsid w:val="7EB93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2"/>
    <w:next w:val="1"/>
    <w:semiHidden/>
    <w:unhideWhenUsed/>
    <w:qFormat/>
    <w:uiPriority w:val="0"/>
    <w:pPr>
      <w:tabs>
        <w:tab w:val="left" w:pos="0"/>
      </w:tabs>
      <w:spacing w:line="360" w:lineRule="auto"/>
      <w:ind w:firstLine="640"/>
      <w:jc w:val="center"/>
      <w:outlineLvl w:val="2"/>
    </w:pPr>
    <w:rPr>
      <w:rFonts w:eastAsia="宋体"/>
      <w:sz w:val="28"/>
    </w:rPr>
  </w:style>
  <w:style w:type="character" w:default="1" w:styleId="6">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正文缩进1"/>
    <w:basedOn w:val="1"/>
    <w:autoRedefine/>
    <w:qFormat/>
    <w:uiPriority w:val="0"/>
    <w:pPr>
      <w:ind w:firstLine="420" w:firstLineChars="200"/>
    </w:pPr>
  </w:style>
  <w:style w:type="paragraph" w:customStyle="1" w:styleId="10">
    <w:name w:val="Table Paragraph"/>
    <w:basedOn w:val="1"/>
    <w:autoRedefine/>
    <w:qFormat/>
    <w:uiPriority w:val="1"/>
    <w:rPr>
      <w:rFonts w:ascii="宋体" w:hAnsi="宋体" w:cs="宋体"/>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2496</Words>
  <Characters>2545</Characters>
  <Lines>0</Lines>
  <Paragraphs>0</Paragraphs>
  <TotalTime>11</TotalTime>
  <ScaleCrop>false</ScaleCrop>
  <LinksUpToDate>false</LinksUpToDate>
  <CharactersWithSpaces>2694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2024-08-11T12:17:00Z</dcterms:created>
  <dc:creator>Administrator</dc:creator>
  <cp:lastModifiedBy>鱼er</cp:lastModifiedBy>
  <dcterms:modified xsi:type="dcterms:W3CDTF">2026-07-06T07:05:33Z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2E24A69D7B2B43EE80B0F18307561EF5_12</vt:lpwstr>
  </property>
  <property fmtid="{D5CDD505-2E9C-101B-9397-08002B2CF9AE}" pid="4" name="KSOTemplateDocerSaveRecord">
    <vt:lpwstr>eyJoZGlkIjoiZWYwNzZiZjhjZDNlZDQyYWFmMzBkYmFmODAwZjBkNzkiLCJ1c2VySWQiOiI1NzY5MTEyMjEifQ==</vt:lpwstr>
  </property>
</Properties>
</file>