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版本号：HSZ2026—CGZB—01820260625001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富平县财政局2026年办公楼及院内后勤托管服务采购项目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HSZ2026—CGZB—018</w:t>
      </w:r>
      <w:r>
        <w:br/>
      </w:r>
      <w:r>
        <w:br/>
      </w:r>
      <w:r>
        <w:br/>
      </w:r>
    </w:p>
    <w:p>
      <w:pPr>
        <w:pStyle w:val="null3"/>
        <w:jc w:val="center"/>
        <w:outlineLvl w:val="2"/>
      </w:pPr>
      <w:r>
        <w:rPr>
          <w:rFonts w:ascii="仿宋_GB2312" w:hAnsi="仿宋_GB2312" w:cs="仿宋_GB2312" w:eastAsia="仿宋_GB2312"/>
          <w:sz w:val="28"/>
          <w:b/>
        </w:rPr>
        <w:t>富平县财政局（本级）</w:t>
      </w:r>
    </w:p>
    <w:p>
      <w:pPr>
        <w:pStyle w:val="null3"/>
        <w:jc w:val="center"/>
        <w:outlineLvl w:val="2"/>
      </w:pPr>
      <w:r>
        <w:rPr>
          <w:rFonts w:ascii="仿宋_GB2312" w:hAnsi="仿宋_GB2312" w:cs="仿宋_GB2312" w:eastAsia="仿宋_GB2312"/>
          <w:sz w:val="28"/>
          <w:b/>
        </w:rPr>
        <w:t>陕西厷森项目管理有限公司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陕西厷森项目管理有限公司</w:t>
      </w:r>
      <w:r>
        <w:rPr>
          <w:rFonts w:ascii="仿宋_GB2312" w:hAnsi="仿宋_GB2312" w:cs="仿宋_GB2312" w:eastAsia="仿宋_GB2312"/>
        </w:rPr>
        <w:t>（以下简称“代理机构”）受</w:t>
      </w:r>
      <w:r>
        <w:rPr>
          <w:rFonts w:ascii="仿宋_GB2312" w:hAnsi="仿宋_GB2312" w:cs="仿宋_GB2312" w:eastAsia="仿宋_GB2312"/>
        </w:rPr>
        <w:t>富平县财政局（本级）</w:t>
      </w:r>
      <w:r>
        <w:rPr>
          <w:rFonts w:ascii="仿宋_GB2312" w:hAnsi="仿宋_GB2312" w:cs="仿宋_GB2312" w:eastAsia="仿宋_GB2312"/>
        </w:rPr>
        <w:t>委托，拟对</w:t>
      </w:r>
      <w:r>
        <w:rPr>
          <w:rFonts w:ascii="仿宋_GB2312" w:hAnsi="仿宋_GB2312" w:cs="仿宋_GB2312" w:eastAsia="仿宋_GB2312"/>
        </w:rPr>
        <w:t>富平县财政局2026年办公楼及院内后勤托管服务采购项目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HSZ2026—CGZB—018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富平县财政局2026年办公楼及院内后勤托管服务采购项目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办公楼（区）内楼梯、大厅、走廊、天台、卫生间、公共活动场所等环境卫生管理，来人来访的通报、证件检验、登记等的传达、保安、秩序管理。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采购包1（富平县财政局2026年办公楼及院内后勤托管服务采购项目）：属于专门面向中小企业采购。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财务状况要求：提供2025年经审计的财务报告（财务报告须符合《财政部关于注册会计师行业统一监管平台上线运行的通知》财办[2022]32号文件要求，成立时间至提交响应文件截止时间不足一年的可提供成立后任意时段的财务报表）；</w:t>
      </w:r>
    </w:p>
    <w:p>
      <w:pPr>
        <w:pStyle w:val="null3"/>
      </w:pPr>
      <w:r>
        <w:rPr>
          <w:rFonts w:ascii="仿宋_GB2312" w:hAnsi="仿宋_GB2312" w:cs="仿宋_GB2312" w:eastAsia="仿宋_GB2312"/>
        </w:rPr>
        <w:t>4、缴纳税收的要求：提供依法缴纳税收的良好记录（提供响应文件递交截止时间前六个月内任意一个月份的缴纳凭据复印件或扫描件。依法免税或开标前一年内零申报的供应商应提供相关证明文件）；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5、缴纳社会保障资金的要求：提供依法缴纳社会保障资金的良好记录（提供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6、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pPr>
        <w:pStyle w:val="null3"/>
      </w:pPr>
      <w:r>
        <w:rPr>
          <w:rFonts w:ascii="仿宋_GB2312" w:hAnsi="仿宋_GB2312" w:cs="仿宋_GB2312" w:eastAsia="仿宋_GB2312"/>
        </w:rPr>
        <w:t>7、无重大违法记录的要求：提供近三年内在经营活动中无重大违法记录的书面声明；</w:t>
      </w:r>
    </w:p>
    <w:p>
      <w:pPr>
        <w:pStyle w:val="null3"/>
      </w:pPr>
      <w:r>
        <w:rPr>
          <w:rFonts w:ascii="仿宋_GB2312" w:hAnsi="仿宋_GB2312" w:cs="仿宋_GB2312" w:eastAsia="仿宋_GB2312"/>
        </w:rPr>
        <w:t>8、磋商保证金要求：提供磋商保证金银行转账凭证及基本存款账户信息证明资料或金融机构、担保机构出具的保函复印件或扫描件；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9、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10、具有履行合同所必需的设备和专业技术能力的要求：提供具有履行本合同所必需的设备和专业技术能力的说明及承诺；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11、面向中小企业采购政策落实情况：本项目专门面向中小企业采购，供应商须提供《中小企业声明函》。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富平县财政局（本级）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富平县频阳大道北段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石立强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0913-8216303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陕西厷森项目管理有限公司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陕西省渭南市富平县城关街道办事处书店社区富兴路中段西侧商务楼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0913-8921111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开户名称：陕西厷森项目管理有限公司</w:t>
            </w:r>
          </w:p>
          <w:p>
            <w:pPr>
              <w:pStyle w:val="null3"/>
            </w:pPr>
            <w:r>
              <w:rPr>
                <w:rFonts w:ascii="仿宋_GB2312" w:hAnsi="仿宋_GB2312" w:cs="仿宋_GB2312" w:eastAsia="仿宋_GB2312"/>
              </w:rPr>
              <w:t>开户银行：中国农业银行股份有限公司富平县支行</w:t>
            </w:r>
          </w:p>
          <w:p>
            <w:pPr>
              <w:pStyle w:val="null3"/>
            </w:pPr>
            <w:r>
              <w:rPr>
                <w:rFonts w:ascii="仿宋_GB2312" w:hAnsi="仿宋_GB2312" w:cs="仿宋_GB2312" w:eastAsia="仿宋_GB2312"/>
              </w:rPr>
              <w:t>银行账号：26555101040024098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考《招标代理服务收费管理暂行办法》的通知（计价格〔2002〕1980号）计算，按照《国家发展改革委办公厅关于招标代理服务收费有关问题的通知》（发改办价格〔2003〕857号）规定向成交供应商收取。 若本次招标失败（非代理机构原因），代理服务费由采购人支付。具体金额以代理公司开具的税票为准，成交供应商在领取中标（成交）通知书时向采购代理机构一次性支付；费用以转账、电汇或现金等形式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富平县财政局（本级）</w:t>
      </w:r>
      <w:r>
        <w:rPr>
          <w:rFonts w:ascii="仿宋_GB2312" w:hAnsi="仿宋_GB2312" w:cs="仿宋_GB2312" w:eastAsia="仿宋_GB2312"/>
        </w:rPr>
        <w:t>和</w:t>
      </w:r>
      <w:r>
        <w:rPr>
          <w:rFonts w:ascii="仿宋_GB2312" w:hAnsi="仿宋_GB2312" w:cs="仿宋_GB2312" w:eastAsia="仿宋_GB2312"/>
        </w:rPr>
        <w:t>陕西厷森项目管理有限公司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富平县财政局（本级）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陕西厷森项目管理有限公司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富平县财政局（本级）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陕西厷森项目管理有限公司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在签订合同时双方另行约定。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联系人：王丽萍</w:t>
      </w:r>
    </w:p>
    <w:p>
      <w:pPr>
        <w:pStyle w:val="null3"/>
      </w:pPr>
      <w:r>
        <w:rPr>
          <w:rFonts w:ascii="仿宋_GB2312" w:hAnsi="仿宋_GB2312" w:cs="仿宋_GB2312" w:eastAsia="仿宋_GB2312"/>
        </w:rPr>
        <w:t>联系电话：0913-8921111</w:t>
      </w:r>
    </w:p>
    <w:p>
      <w:pPr>
        <w:pStyle w:val="null3"/>
      </w:pPr>
      <w:r>
        <w:rPr>
          <w:rFonts w:ascii="仿宋_GB2312" w:hAnsi="仿宋_GB2312" w:cs="仿宋_GB2312" w:eastAsia="仿宋_GB2312"/>
        </w:rPr>
        <w:t>地址：陕西省渭南市富平县城关街道办事处书店社区富兴路中段西侧商务楼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办公楼（区）内楼梯、大厅、走廊、天台、卫生间、公共活动场所等环境卫生管理，来人来访的通报、证件检验、登记等的传达、保安、秩序管理。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富平县财政局2026年办公楼及院内后勤托管服务采购项目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标的名称：富平县财政局2026年办公楼及院内后勤托管服务采购项目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32"/>
                <w:b/>
              </w:rPr>
              <w:t>服务内容及标准</w:t>
            </w:r>
          </w:p>
          <w:p>
            <w:pPr>
              <w:pStyle w:val="null3"/>
              <w:jc w:val="left"/>
            </w:pPr>
            <w:r>
              <w:rPr>
                <w:rFonts w:ascii="仿宋_GB2312" w:hAnsi="仿宋_GB2312" w:cs="仿宋_GB2312" w:eastAsia="仿宋_GB2312"/>
                <w:sz w:val="24"/>
              </w:rPr>
              <w:t>（一）环境卫生管理　　</w:t>
            </w:r>
          </w:p>
          <w:p>
            <w:pPr>
              <w:pStyle w:val="null3"/>
              <w:ind w:firstLine="480"/>
              <w:jc w:val="both"/>
            </w:pPr>
            <w:r>
              <w:rPr>
                <w:rFonts w:ascii="仿宋_GB2312" w:hAnsi="仿宋_GB2312" w:cs="仿宋_GB2312" w:eastAsia="仿宋_GB2312"/>
                <w:sz w:val="24"/>
              </w:rPr>
              <w:t>服务内容：办公楼（区）内楼梯、大厅、走廊、天台、卫生间、公共活动场所等，办公区域道路、停车场（库）等所有公共场地及</w:t>
            </w:r>
            <w:r>
              <w:rPr>
                <w:rFonts w:ascii="仿宋_GB2312" w:hAnsi="仿宋_GB2312" w:cs="仿宋_GB2312" w:eastAsia="仿宋_GB2312"/>
                <w:sz w:val="24"/>
              </w:rPr>
              <w:t>“门前三包”区域的日常清洁保养，垃圾等废弃物清理等。　</w:t>
            </w:r>
          </w:p>
          <w:p>
            <w:pPr>
              <w:pStyle w:val="null3"/>
              <w:ind w:firstLine="480"/>
              <w:jc w:val="both"/>
            </w:pPr>
            <w:r>
              <w:rPr>
                <w:rFonts w:ascii="仿宋_GB2312" w:hAnsi="仿宋_GB2312" w:cs="仿宋_GB2312" w:eastAsia="仿宋_GB2312"/>
                <w:sz w:val="24"/>
              </w:rPr>
              <w:t>服务标准：建立环境卫生管理制度并认真落实，环卫设施齐备；实行标准化清扫保洁，由专人负责检查、监督、楼梯、扶手、大厅、走廊、天台、墙面、停车场（库）、道路等所有公共区域保持清洁，无随意堆放杂物和占用，所有公共区域不见废弃物、污渍，卫生间洁净无异味；及时清扫积水积雪，确保办公区和卫生责任区容貌整洁。　　　</w:t>
            </w:r>
          </w:p>
          <w:p>
            <w:pPr>
              <w:pStyle w:val="null3"/>
              <w:ind w:firstLine="480"/>
              <w:jc w:val="both"/>
            </w:pPr>
            <w:r>
              <w:rPr>
                <w:rFonts w:ascii="仿宋_GB2312" w:hAnsi="仿宋_GB2312" w:cs="仿宋_GB2312" w:eastAsia="仿宋_GB2312"/>
                <w:sz w:val="24"/>
              </w:rPr>
              <w:t>（二）传达、保安、秩序管理　</w:t>
            </w:r>
          </w:p>
          <w:p>
            <w:pPr>
              <w:pStyle w:val="null3"/>
              <w:ind w:firstLine="480"/>
              <w:jc w:val="both"/>
            </w:pPr>
            <w:r>
              <w:rPr>
                <w:rFonts w:ascii="仿宋_GB2312" w:hAnsi="仿宋_GB2312" w:cs="仿宋_GB2312" w:eastAsia="仿宋_GB2312"/>
                <w:sz w:val="24"/>
              </w:rPr>
              <w:t>服务内容：办公楼（区）来人来访的通报、证件检验、登记等；</w:t>
            </w:r>
            <w:r>
              <w:rPr>
                <w:rFonts w:ascii="仿宋_GB2312" w:hAnsi="仿宋_GB2312" w:cs="仿宋_GB2312" w:eastAsia="仿宋_GB2312"/>
                <w:sz w:val="24"/>
              </w:rPr>
              <w:t>24小时坚守，做好防盗监控设备运行管理并做好记录；门卫、守护和巡逻，公共秩序维护，治安及其它突发事件处理等；辖区内道路交通管理，机动车和非机动车停放管理等。</w:t>
            </w:r>
          </w:p>
          <w:p>
            <w:pPr>
              <w:pStyle w:val="null3"/>
              <w:ind w:firstLine="480"/>
              <w:jc w:val="both"/>
            </w:pPr>
            <w:r>
              <w:rPr>
                <w:rFonts w:ascii="仿宋_GB2312" w:hAnsi="仿宋_GB2312" w:cs="仿宋_GB2312" w:eastAsia="仿宋_GB2312"/>
                <w:sz w:val="24"/>
              </w:rPr>
              <w:t>服务标准：建立办公楼（区）传达、保安、车辆、道路及公共秩序等管理制度并认真落实，确保办公区安全和正常工作环境；严格验证、登记，杜绝闲杂人员进入办公楼（区），环境秩序良好；维护和保证防盗等设备的正常运行，做好安全防范</w:t>
            </w:r>
            <w:r>
              <w:rPr>
                <w:rFonts w:ascii="仿宋_GB2312" w:hAnsi="仿宋_GB2312" w:cs="仿宋_GB2312" w:eastAsia="仿宋_GB2312"/>
                <w:sz w:val="24"/>
              </w:rPr>
              <w:t>和日常巡逻工作，及时发现和处理各种安全和事故隐患，迅速有效处置突发事件；道路畅通，车辆停放有序。</w:t>
            </w:r>
          </w:p>
          <w:p>
            <w:pPr>
              <w:pStyle w:val="null3"/>
              <w:ind w:firstLine="480"/>
              <w:jc w:val="both"/>
            </w:pPr>
            <w:r>
              <w:rPr>
                <w:rFonts w:ascii="仿宋_GB2312" w:hAnsi="仿宋_GB2312" w:cs="仿宋_GB2312" w:eastAsia="仿宋_GB2312"/>
                <w:sz w:val="24"/>
              </w:rPr>
              <w:t>（三）人员配置</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总人数不少于</w:t>
            </w:r>
            <w:r>
              <w:rPr>
                <w:rFonts w:ascii="仿宋_GB2312" w:hAnsi="仿宋_GB2312" w:cs="仿宋_GB2312" w:eastAsia="仿宋_GB2312"/>
                <w:sz w:val="24"/>
              </w:rPr>
              <w:t>10人，其中主管1人（须提供物业管理岗位证书），保洁4人，保安5人。</w:t>
            </w:r>
            <w:r>
              <w:rPr>
                <w:rFonts w:ascii="仿宋_GB2312" w:hAnsi="仿宋_GB2312" w:cs="仿宋_GB2312" w:eastAsia="仿宋_GB2312"/>
                <w:sz w:val="21"/>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总人数不少于10人，其中主管1人（须提供物业管理岗位证书），保洁4人，保安5人。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进度款，物业管理费按月支付，甲方在收到发票后，达到付款条件起5个工作日内，支付合同总金额的8.33%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进度款，物业管理费按月支付，甲方在收到发票后，达到付款条件起5个工作日内，支付合同总金额的8.33%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进度款，物业管理费按月支付，甲方在收到发票后，达到付款条件起5个工作日内，支付合同总金额的8.33%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进度款，物业管理费按月支付，甲方在收到发票后，达到付款条件起5个工作日内，支付合同总金额的8.33%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进度款，物业管理费按月支付，甲方在收到发票后，达到付款条件起5个工作日内，支付合同总金额的8.33%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进度款，物业管理费按月支付，甲方在收到发票后，达到付款条件起5个工作日内，支付合同总金额的8.33%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进度款，物业管理费按月支付，甲方在收到发票后，达到付款条件起5个工作日内，支付合同总金额的8.33%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进度款，物业管理费按月支付，甲方在收到发票后，达到付款条件起5个工作日内，支付合同总金额的8.33%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进度款，物业管理费按月支付，甲方在收到发票后，达到付款条件起5个工作日内，支付合同总金额的8.34%</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进度款，物业管理费按月支付，甲方在收到发票后，达到付款条件起5个工作日内，支付合同总金额的8.34%</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进度款，物业管理费按月支付，甲方在收到发票后，达到付款条件起5个工作日内，支付合同总金额的8.34%</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进度款，物业管理费按月支付，甲方在收到发票后，达到付款条件起5个工作日内，支付合同总金额的8.34%</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1、投标时供应商无需提供纸质版响应文件。成交供应商在领取成交通知书前将纸质版响应文件3份、电子版（U 盘）文件3份，打印盖章后提交至采购代理公司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 （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 农业农村部 国家乡村振兴局关于运用政府采购政策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经审计的财务报告（财务报告须符合《财政部关于注册会计师行业统一监管平台上线运行的通知》财办[2022]32号文件要求，成立时间至提交响应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资格审查资料.docx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2025年经审计的财务报告（财务报告须符合《财政部关于注册会计师行业统一监管平台上线运行的通知》财办[2022]32号文件要求，成立时间至提交响应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残疾人福利性单位声明函 资格审查资料.docx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服务内容及商务响应偏离表.docx 业绩.docx 服务保障措施.docx 投入设备工具情况.docx 中小企业声明函 服务承诺.docx 承诺书.docx 报价表 内部管理制度.docx 质量保证.docx 其他相关资料.docx 响应文件封面 人员配置.docx 残疾人福利性单位声明函 标的清单 资格审查资料.docx 应急措施.docx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报价唯一，且不能高于最高限价。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w:t>
            </w:r>
          </w:p>
        </w:tc>
        <w:tc>
          <w:tcPr>
            <w:tcW w:type="dxa" w:w="1661"/>
          </w:tcPr>
          <w:p>
            <w:pPr>
              <w:pStyle w:val="null3"/>
            </w:pPr>
            <w:r>
              <w:rPr>
                <w:rFonts w:ascii="仿宋_GB2312" w:hAnsi="仿宋_GB2312" w:cs="仿宋_GB2312" w:eastAsia="仿宋_GB2312"/>
              </w:rPr>
              <w:t>服务内容及商务响应偏离表.docx 业绩.docx 服务保障措施.docx 投入设备工具情况.docx 中小企业声明函 服务承诺.docx 承诺书.docx 报价表 内部管理制度.docx 质量保证.docx 其他相关资料.docx 响应文件封面 人员配置.docx 残疾人福利性单位声明函 标的清单 资格审查资料.docx 应急措施.docx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服务内容及商务响应偏离表.docx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服务内容及标准</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服务内容及商务响应偏离表.docx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服务内容及商务响应偏离表.docx 业绩.docx 服务保障措施.docx 投入设备工具情况.docx 中小企业声明函 服务承诺.docx 承诺书.docx 报价表 内部管理制度.docx 质量保证.docx 其他相关资料.docx 响应文件封面 人员配置.docx 残疾人福利性单位声明函 标的清单 资格审查资料.docx 应急措施.docx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供应商根据对项目的理解，包括①对项目的背景和工作目的理解；②工作计划；③切实可行的安全协防、保洁等服务方案。 二、评审标准 1、完整性：方案必须全面，对评审内容中的各项要求有详细描述； 2、可实施性：切合本项目实际情况，提出步骤清晰、合理的方案； 3、针对性：方案能够紧扣项目实际情况，内容科学合理。 三、赋分标准（满分13.5分） ①对项目的背景和工作目的理解：每完全满足一个评审标准得1.5分，满分4.5分。 ②工作计划：每完全满足一个评审标准得1.5分，满分4.5分。 ③切实可行的安全协防、保洁等服务方案：每完全满足一个评审标准得1.5分，满分4.5分。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一、评审内容 供应商针对本项目有完整的管理制度，包括①员工聘用管理制度；②人员培训制度；③服务质量检查制度；④设施设备安全使用管理制度；⑤内控制度及信息反馈制度等。 二、评审标准 1、完整性：方案必须全面，对评审内容中的各项要求有详细描述； 2、可实施性：切合本项目实际情况，提出步骤清晰、合理的方案； 3、针对性：方案能够紧扣项目实际情况，内容科学合理。 三、赋分标准（满分7.5分） ①员工聘用管理制度：每完全满足一个评审标准得0.5分，满分1.5分。 ②人员培训制度：每完全满足一个评审标准得0.5分，满分1.5分。 ③服务质量检查制度：每完全满足一个评审标准得0.5分，满分1.5分。 ④设施设备安全使用管理制度：每完全满足一个评审标准得0.5分，满分1.5分。 ⑤内控制度及信息反馈制度：每完全满足一个评审标准得0.5分，满分1.5分。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内部管理制度.docx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供应商能够提供详细的保障措施，包括①能够考虑并满足采购人的多种需求；②接受采购人对服务的监督、批评和建议；③确保做好物业服务管理工作，不发生安全等意外情况的保障措施。 二、评审标准 1、完整性：方案必须全面，对评审内容中的各项要求有详细描述； 2、可实施性：切合本项目实际情况，提出步骤清晰、合理的方案； 3、针对性：方案能够紧扣项目实际情况，内容科学合理。 三、赋分标准（满分9分） ①能够考虑并满足采购人的多种需求：每完全满足一个评审标准得1分，满分3分。 ②接受采购人对服务的监督、批评和建议：每完全满足一个评审标准得1分，满分3分。 ③确保做好物业服务管理工作，不发生安全等意外情况的保障措施：每完全满足一个评审标准得1分，满分3分。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服务保障措施.docx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供应商根据对项目的理解，质量保证包括①人员专业性的保证措施；②服务质量保证措施。 二、评审标准 1、完整性：方案必须全面，对评审内容中的各项要求有详细描述； 2、可实施性：切合本项目实际情况，提出步骤清晰、合理的方案； 3、针对性：方案能够紧扣项目实际情况，内容科学合理。 三、赋分标准（满分3分） ①人员专业性的保证措施：每完全满足一个评审标准得0.5分，满分1.5分。 ②服务质量保证措施：每完全满足一个评审标准得 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供应商针对本项目有具体的服务承诺，包括①承诺所有上岗人员在上岗前经过专业培训；②承诺若出现服务人员因事、病等不能工作的，及时调整其他服务人员补充。 二、评审标准 1、完整性：方案必须全面，对评审内容中的各项要求有详细描述； 2、可实施性：切合本项目实际情况，提出步骤清晰、合理的方案； 3、针对性：方案能够紧扣项目实际情况，内容科学合理。 三、赋分标准（满分3分） ①承诺所有上岗人员在上岗前经过专业培训：每完全满足一个评审标准得0.5分，满分1.5分。 ②承诺若出现服务人员因事、病等不能工作的，及时调整其他服务人员补充：每完全满足一个评审标准得0.5分，满分1.5分。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供应商需有详细的应急措施，包括①自然灾害、火灾、流行病高发期等突发情况的应急预案；②大型活动及采购人临时安排的其他事项特殊情况处理的应急预案。 二、评审标准 1、完整性：方案必须全面，对评审内容中的各项要求有详细描述； 2、可实施性：切合本项目实际情况，提出步骤清晰、合理的方案； 3、针对性：方案能够紧扣项目实际情况，内容科学合理。 三、赋分标准（满分3分） ①自然灾害、火灾、流行病高发期等突发情况的应急预案：每完全满足一个评审标准得 0.5 分，满分1.5分。 ②大型活动及采购人临时安排的其他事项特殊情况处理的应急预案：每完全满足一个评审标准得0.5分，满分1.5分。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投入设备工具情况</w:t>
            </w:r>
          </w:p>
        </w:tc>
        <w:tc>
          <w:tcPr>
            <w:tcW w:type="dxa" w:w="2492"/>
          </w:tcPr>
          <w:p>
            <w:pPr>
              <w:pStyle w:val="null3"/>
            </w:pPr>
            <w:r>
              <w:rPr>
                <w:rFonts w:ascii="仿宋_GB2312" w:hAnsi="仿宋_GB2312" w:cs="仿宋_GB2312" w:eastAsia="仿宋_GB2312"/>
              </w:rPr>
              <w:t>供应商根据本项目服务内容要求，拟投入设备工具、工作服装包括： 1、清洁工具（4 分）： 配备洗地机、吸尘器、玻璃刮、套扫、伸缩矛头等核心清洁工具，齐全得4 分；缺少1项扣1分，扣完为止； 2、安保工具（3 分）： 配备防爆设备、对讲机、应急照明设备等安保专用工具，齐全得3 分；缺少1项扣1分，扣完为止； 3、劳保用品（1 分）： 为全部人员配备手套、口罩等劳保用品，齐全得1 分，缺少1项扣0.5分，扣完为止； 4、工作服装（3 分）： 按主管、保洁、保安岗位配备相对应的服装，配备齐全得3分；缺少1项扣1分，扣完为止。 赋分依据：提供以上相关证明资料（包括但不限于设备工具配置清单、实物照片、服装图片及对应岗位数量清单）。</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投入设备工具情况.docx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供应商根据本项目服务内容要求，须提供人员配置清单： 1、主管人员提供开标前近六个月内至少连续三个月的社保缴纳证明材料及劳动合同。以上资料提供齐全得6分，缺少1项扣3分，扣完为止）。 2、保洁人员须提供身份证、健康证及劳动合同得1分，最多得4分。（每人缺失一项资料扣1分，扣完为止） 3、保安人员须提供身份证、保安从业资格证及劳动合同得1分，最多得5分。（每人缺失一项资料扣1分，扣完为止）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2023年6月1日至今类似项目的中标(成交)通知书、合同及发票复印件（合同期内任意一张即可），每提供一份完整业绩计2分，最高10分。 注：1、以合同落款时间为准；2、每份业绩缺失一项不得分。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1、经资格审查及符合性审查合格的磋商响应文件，其磋商报价有效； 2、满足磋商文件要求且最后提交价格最低的磋商报价为磋商基准价； 3、磋商报价得分=(磋商基准价／最后磋商报价)×25%×100 ； 4、政策性加分执行磋商文件中的标准； 5、磋商报价不完整的，本项得0分。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详见附件：服务内容及商务响应偏离表.docx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详见附件：内部管理制度.docx</w:t>
      </w:r>
    </w:p>
    <w:p>
      <w:pPr>
        <w:pStyle w:val="null3"/>
        <w:ind w:firstLine="960"/>
      </w:pPr>
      <w:r>
        <w:rPr>
          <w:rFonts w:ascii="仿宋_GB2312" w:hAnsi="仿宋_GB2312" w:cs="仿宋_GB2312" w:eastAsia="仿宋_GB2312"/>
        </w:rPr>
        <w:t>详见附件：服务保障措施.docx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详见附件：投入设备工具情况.docx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