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版本号：KCZC-2026-02820260722002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2026年洋县关帝镇李家店村黄连种植项目-基础设施工程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KCZC-2026-028</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2026年洋县关帝镇李家店村黄连种植项目-基础设施工程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2026年洋县关帝镇李家店村黄连种植项目-基础设施工程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2026年洋县关帝镇李家店村黄连种植项目-基础设施工程，主要建设内容：新建管理用房 1 座，新建蓄水池1座，铺设 DN50PE 管道 3000.00 米、DN25PE 管道 2000.00 米、DN20PE 管道 2000.00 米。（具体详见工程量清单）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采购包1（2026年洋县关帝镇李家店村黄连种植项目-基础设施工程）：属于专门面向中小企业采购。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代表：法定代表人亲自参与磋商的，需出具法定代表人身份证明及身份证复印件，并与营业执照上信息一致；法定代表人委托授权代表参与磋商的，需出具法定代表人授权书以及授权代表的身份证复印件。</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6、不接受联合体投标：本项目不接受联合体磋商。（供应商提供非联合体磋商承诺函）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18302991729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王仁鹏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采购包1：844,788.96元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844,788.96</w:t>
      </w:r>
    </w:p>
    <w:p>
      <w:pPr>
        <w:pStyle w:val="null3"/>
      </w:pPr>
      <w:r>
        <w:rPr>
          <w:rFonts w:ascii="仿宋_GB2312" w:hAnsi="仿宋_GB2312" w:cs="仿宋_GB2312" w:eastAsia="仿宋_GB2312"/>
        </w:rPr>
        <w:t>采购包最高限价（元）: 844,788.96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2026年洋县关帝镇李家店村黄连种植项目-基础设施工程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844,788.96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标的名称：2026年洋县关帝镇李家店村黄连种植项目-基础设施工程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1.施工工期：150日历天</w:t>
            </w:r>
          </w:p>
          <w:p>
            <w:pPr>
              <w:pStyle w:val="null3"/>
            </w:pPr>
            <w:r>
              <w:rPr>
                <w:rFonts w:ascii="仿宋_GB2312" w:hAnsi="仿宋_GB2312" w:cs="仿宋_GB2312" w:eastAsia="仿宋_GB2312"/>
              </w:rPr>
              <w:t>2.质量要求：达到验收合格标准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供应商需提供施工全过程技术指导服务，及时解决施工过程中出现的技术难题，配合采购人及相关部门开展技术核查、现场督导等工作；2. 按照相关规范要求，完成施工过程中的技术资料编制、整理、归档工作，确保技术资料完整、规范、可追溯；3. 提供项目竣工验收所需的全部技术支持，配合完成验收相关的技术说明、数据核对等工作；4. 严格遵守国家及行业关于本项目相关技术服务的其他规定，满足采购人提出的合理技术服务需求。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本项目不接受联合体磋商。（供应商提供非联合体磋商承诺函）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不存在法律法规及采购文件规定的其他无效响应情形。</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供应商针对本项目编制施工总体方案：包括但不限于①项目总体概况表述；②施工准备：技术准备、材料准备、机械准备、机具准备、劳动力准备等； ③施工总体思路；④施工次序；⑤施工方法（工艺）；⑥工程重难点及解决措施。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供应商针对本项目的实际情况，编制完善的施工进度计划，内容包含但不限于：①施工进度目标及重要节点安排；②施工进度网络图或施工进度表；③进度计划保证措施。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供应商应针对本项目编制编制完善的质量保证措施，内容包含但不限于：①质量管理工作流程；②工程质量控制体系；③各施工阶段质量管理措施。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满分8 分。每有一项缺项扣2 分；每有一处内容存在缺陷，扣1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文明施工及环境保护组织措施.docx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供应商应针对本项目编制供应商针对本项目编制完整的安全施工措施，内容包含但不限于： ①安全生产管理制度； ②安全施工保证措施； ③安全应急预案； ④安全生产教育。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供应商针对本项目特点提供切实可行的承诺：①保修范围及保修期限；②保修措施；③高温季节施工人员劳动保护及防暑降温措施承诺。二、赋分标准：每提供一项承诺得3分，满分9分。未提供此项内容不得分。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具有工程类初级职称，得1.5分。（响应文件内附职称证复印件并加盖供应商公章。）2.项目所配备施工员、质检员、安全员、材料员、资料员具有相关岗位证书（或职业资格），全部满足得10分，每缺少一人或相应人员无证书证件扣 2 分，扣完为止。（响应文件应提供相关人员岗位证书或职业资格证作为佐证材料并加盖公章）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项目经理2023 年 1 月 1 日起（以合同签订时间为准）至本项目递交截止时间止担任过一项类似业绩的项目经理得1.5分，最高3分。（企业业绩和项目经理可以共用）评审依据：以供应商提供的中标通知书或施工合同复印件为准。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 2023 年 1 月 1 日起（以合同签订时间为准）至本项目递交截止时间止类似工程业绩，每有 1 项得2.5 分，最多得5分。 评审依据：以供应商提供的中标通知书或施工合同复印件为准。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详见附件：施工总体方案.docx</w:t>
      </w:r>
    </w:p>
    <w:p>
      <w:pPr>
        <w:pStyle w:val="null3"/>
        <w:ind w:firstLine="960"/>
      </w:pPr>
      <w:r>
        <w:rPr>
          <w:rFonts w:ascii="仿宋_GB2312" w:hAnsi="仿宋_GB2312" w:cs="仿宋_GB2312" w:eastAsia="仿宋_GB2312"/>
        </w:rPr>
        <w:t>详见附件：施工进度计划及保证措施.docx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详见附件：文明施工及环境保护组织措施.docx</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