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B051E">
      <w:pPr>
        <w:spacing w:before="312" w:beforeLines="100" w:line="520" w:lineRule="exact"/>
        <w:jc w:val="center"/>
        <w:rPr>
          <w:rFonts w:hint="eastAsia" w:ascii="仿宋" w:hAnsi="仿宋" w:eastAsia="仿宋" w:cs="仿宋"/>
          <w:b/>
          <w:bCs/>
          <w:color w:val="auto"/>
          <w:sz w:val="28"/>
          <w:szCs w:val="28"/>
          <w:u w:val="none"/>
          <w:lang w:eastAsia="zh-CN"/>
        </w:rPr>
      </w:pPr>
      <w:bookmarkStart w:id="0" w:name="_Toc532895264"/>
      <w:r>
        <w:rPr>
          <w:rFonts w:hint="eastAsia" w:ascii="仿宋" w:hAnsi="仿宋" w:eastAsia="仿宋" w:cs="仿宋"/>
          <w:b/>
          <w:bCs/>
          <w:color w:val="auto"/>
          <w:sz w:val="28"/>
          <w:szCs w:val="28"/>
          <w:u w:val="none"/>
          <w:lang w:eastAsia="zh-CN"/>
        </w:rPr>
        <w:t>西安财经大学第十三届“挑战杯”陕汽集团陕西省大学生创业计划竞赛服务项目</w:t>
      </w:r>
    </w:p>
    <w:p w14:paraId="668B04DF">
      <w:pPr>
        <w:spacing w:before="312" w:beforeLines="100" w:line="520" w:lineRule="exact"/>
        <w:jc w:val="center"/>
        <w:rPr>
          <w:rFonts w:hint="eastAsia" w:ascii="仿宋" w:hAnsi="仿宋" w:eastAsia="仿宋" w:cs="仿宋"/>
          <w:b/>
          <w:bCs/>
          <w:color w:val="auto"/>
          <w:sz w:val="28"/>
          <w:szCs w:val="28"/>
          <w:u w:val="none"/>
        </w:rPr>
      </w:pPr>
      <w:r>
        <w:rPr>
          <w:rFonts w:hint="eastAsia" w:ascii="仿宋" w:hAnsi="仿宋" w:eastAsia="仿宋" w:cs="仿宋"/>
          <w:b/>
          <w:bCs/>
          <w:color w:val="auto"/>
          <w:sz w:val="28"/>
          <w:szCs w:val="28"/>
          <w:u w:val="none"/>
          <w:lang w:eastAsia="zh-CN"/>
        </w:rPr>
        <w:t>服务</w:t>
      </w:r>
      <w:r>
        <w:rPr>
          <w:rFonts w:hint="eastAsia" w:ascii="仿宋" w:hAnsi="仿宋" w:eastAsia="仿宋" w:cs="仿宋"/>
          <w:b/>
          <w:bCs/>
          <w:color w:val="auto"/>
          <w:sz w:val="28"/>
          <w:szCs w:val="28"/>
          <w:u w:val="none"/>
        </w:rPr>
        <w:t>合同</w:t>
      </w:r>
    </w:p>
    <w:p w14:paraId="25CD7887">
      <w:pPr>
        <w:tabs>
          <w:tab w:val="left" w:pos="7665"/>
        </w:tabs>
        <w:spacing w:before="312" w:beforeLines="100"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根据《中华人民共和国政府采购法》、《中华人民共和国民法典》及有关法律规定，遵循平等、自愿、公平和诚实信用的原则，</w:t>
      </w:r>
      <w:r>
        <w:rPr>
          <w:rFonts w:hint="eastAsia" w:ascii="仿宋" w:hAnsi="仿宋" w:eastAsia="仿宋" w:cs="仿宋"/>
          <w:bCs/>
          <w:color w:val="auto"/>
          <w:sz w:val="28"/>
          <w:szCs w:val="28"/>
        </w:rPr>
        <w:t>西安财经大学</w:t>
      </w:r>
      <w:r>
        <w:rPr>
          <w:rFonts w:hint="eastAsia" w:ascii="仿宋" w:hAnsi="仿宋" w:eastAsia="仿宋" w:cs="仿宋"/>
          <w:color w:val="auto"/>
          <w:sz w:val="28"/>
          <w:szCs w:val="28"/>
        </w:rPr>
        <w:t>（甲方）与</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（乙方）就</w:t>
      </w:r>
      <w:r>
        <w:rPr>
          <w:rFonts w:hint="eastAsia" w:ascii="仿宋" w:hAnsi="仿宋" w:eastAsia="仿宋" w:cs="仿宋"/>
          <w:color w:val="auto"/>
          <w:sz w:val="28"/>
          <w:szCs w:val="28"/>
          <w:lang w:eastAsia="zh-CN"/>
        </w:rPr>
        <w:t>西安财经大学第十三届“挑战杯”陕汽集团陕西省大学生创业计划竞赛服务项目</w:t>
      </w:r>
      <w:r>
        <w:rPr>
          <w:rFonts w:hint="eastAsia" w:ascii="仿宋" w:hAnsi="仿宋" w:eastAsia="仿宋" w:cs="仿宋"/>
          <w:color w:val="auto"/>
          <w:sz w:val="28"/>
          <w:szCs w:val="28"/>
        </w:rPr>
        <w:t>（招标编号：【KRDL】K3-2605063）经双方协商达成如下合同条款：</w:t>
      </w:r>
    </w:p>
    <w:p w14:paraId="114546E4">
      <w:pPr>
        <w:pStyle w:val="6"/>
        <w:numPr>
          <w:ilvl w:val="0"/>
          <w:numId w:val="1"/>
        </w:numPr>
        <w:spacing w:line="520" w:lineRule="exact"/>
        <w:ind w:firstLineChars="0"/>
        <w:rPr>
          <w:rFonts w:hint="eastAsia" w:ascii="仿宋" w:hAnsi="仿宋" w:eastAsia="仿宋" w:cs="仿宋"/>
          <w:bCs/>
          <w:color w:val="auto"/>
          <w:sz w:val="28"/>
          <w:szCs w:val="28"/>
        </w:rPr>
      </w:pPr>
      <w:r>
        <w:rPr>
          <w:rFonts w:hint="eastAsia" w:ascii="仿宋" w:hAnsi="仿宋" w:eastAsia="仿宋" w:cs="仿宋"/>
          <w:b/>
          <w:color w:val="auto"/>
          <w:sz w:val="28"/>
          <w:szCs w:val="28"/>
        </w:rPr>
        <w:t>服务名称</w:t>
      </w:r>
    </w:p>
    <w:p w14:paraId="3F0F19D2">
      <w:pPr>
        <w:spacing w:line="520" w:lineRule="exact"/>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西安财经大学第十三届“挑战杯”陕汽集团陕西省大学生创业计划竞赛服务项目</w:t>
      </w:r>
    </w:p>
    <w:p w14:paraId="403FF0EF">
      <w:pPr>
        <w:pStyle w:val="6"/>
        <w:numPr>
          <w:ilvl w:val="0"/>
          <w:numId w:val="1"/>
        </w:numPr>
        <w:spacing w:line="520" w:lineRule="exact"/>
        <w:ind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服务内容、要求及标准</w:t>
      </w:r>
    </w:p>
    <w:p w14:paraId="47334610">
      <w:pPr>
        <w:pStyle w:val="7"/>
        <w:ind w:firstLine="480"/>
        <w:rPr>
          <w:rFonts w:hint="eastAsia" w:ascii="仿宋" w:hAnsi="仿宋" w:eastAsia="仿宋" w:cs="仿宋"/>
          <w:b w:val="0"/>
          <w:bCs/>
          <w:color w:val="auto"/>
          <w:kern w:val="2"/>
          <w:sz w:val="28"/>
          <w:szCs w:val="28"/>
          <w:lang w:val="en-US" w:eastAsia="zh-CN" w:bidi="ar-SA"/>
        </w:rPr>
      </w:pPr>
      <w:r>
        <w:rPr>
          <w:rFonts w:hint="eastAsia" w:ascii="仿宋" w:hAnsi="仿宋" w:eastAsia="仿宋" w:cs="仿宋"/>
          <w:b w:val="0"/>
          <w:bCs/>
          <w:color w:val="auto"/>
          <w:sz w:val="28"/>
          <w:szCs w:val="28"/>
        </w:rPr>
        <w:t>服务内容</w:t>
      </w:r>
      <w:r>
        <w:rPr>
          <w:rFonts w:hint="eastAsia" w:ascii="仿宋" w:hAnsi="仿宋" w:eastAsia="仿宋" w:cs="仿宋"/>
          <w:b w:val="0"/>
          <w:bCs/>
          <w:color w:val="auto"/>
          <w:sz w:val="28"/>
          <w:szCs w:val="28"/>
          <w:lang w:eastAsia="zh-CN"/>
        </w:rPr>
        <w:t>：</w:t>
      </w:r>
      <w:r>
        <w:rPr>
          <w:rFonts w:hint="eastAsia" w:ascii="仿宋" w:hAnsi="仿宋" w:eastAsia="仿宋" w:cs="仿宋"/>
          <w:b w:val="0"/>
          <w:bCs/>
          <w:color w:val="auto"/>
          <w:kern w:val="2"/>
          <w:sz w:val="28"/>
          <w:szCs w:val="28"/>
          <w:lang w:val="en-US" w:eastAsia="zh-CN" w:bidi="ar-SA"/>
        </w:rPr>
        <w:t>西安财经大学第十三届“挑战杯”陕汽集团陕西省大学生创业计划竞赛服务项目，服务内容涉及赛务赛事服务、宣传，闭幕式现场搭建、会务等。</w:t>
      </w:r>
    </w:p>
    <w:p w14:paraId="13A24AA1">
      <w:pPr>
        <w:pStyle w:val="7"/>
        <w:ind w:firstLine="480"/>
        <w:rPr>
          <w:rFonts w:hint="eastAsia" w:ascii="仿宋" w:hAnsi="仿宋" w:eastAsia="仿宋" w:cs="仿宋"/>
          <w:b w:val="0"/>
          <w:bCs/>
          <w:color w:val="auto"/>
          <w:kern w:val="2"/>
          <w:sz w:val="28"/>
          <w:szCs w:val="28"/>
          <w:lang w:val="en-US" w:eastAsia="zh-CN" w:bidi="ar-SA"/>
        </w:rPr>
      </w:pPr>
      <w:r>
        <w:rPr>
          <w:rFonts w:hint="eastAsia" w:ascii="仿宋" w:hAnsi="仿宋" w:eastAsia="仿宋" w:cs="仿宋"/>
          <w:b w:val="0"/>
          <w:bCs/>
          <w:color w:val="auto"/>
          <w:kern w:val="2"/>
          <w:sz w:val="28"/>
          <w:szCs w:val="28"/>
          <w:lang w:val="en-US" w:eastAsia="zh-CN" w:bidi="ar-SA"/>
        </w:rPr>
        <w:t>服务要求：详见本项目磋商文件。</w:t>
      </w:r>
    </w:p>
    <w:p w14:paraId="34C4638F">
      <w:pPr>
        <w:pStyle w:val="7"/>
        <w:ind w:firstLine="480"/>
        <w:rPr>
          <w:rFonts w:hint="eastAsia" w:ascii="仿宋" w:hAnsi="仿宋" w:eastAsia="仿宋" w:cs="仿宋"/>
          <w:b w:val="0"/>
          <w:bCs/>
          <w:color w:val="auto"/>
          <w:sz w:val="28"/>
          <w:szCs w:val="28"/>
        </w:rPr>
      </w:pPr>
      <w:r>
        <w:rPr>
          <w:rFonts w:hint="eastAsia" w:ascii="仿宋" w:hAnsi="仿宋" w:eastAsia="仿宋" w:cs="仿宋"/>
          <w:b w:val="0"/>
          <w:bCs/>
          <w:color w:val="auto"/>
          <w:kern w:val="2"/>
          <w:sz w:val="28"/>
          <w:szCs w:val="28"/>
          <w:lang w:val="en-US" w:eastAsia="zh-CN" w:bidi="ar-SA"/>
        </w:rPr>
        <w:t>服务标准：满足采购人对本项目的服务要求。</w:t>
      </w:r>
    </w:p>
    <w:p w14:paraId="15C3F57A">
      <w:pPr>
        <w:pStyle w:val="6"/>
        <w:numPr>
          <w:ilvl w:val="0"/>
          <w:numId w:val="1"/>
        </w:numPr>
        <w:spacing w:line="520" w:lineRule="exact"/>
        <w:ind w:left="442" w:hanging="442"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服务期限</w:t>
      </w:r>
    </w:p>
    <w:p w14:paraId="1C7BB0A8">
      <w:pPr>
        <w:spacing w:line="520" w:lineRule="exact"/>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自合同签订之日起20日历天内完成服务全部内容。（其中，2026年5月31日及当天前完成赛事工作服务，6月7日前及当天完成闭幕式相关工作）</w:t>
      </w:r>
    </w:p>
    <w:p w14:paraId="578F72EF">
      <w:pPr>
        <w:pStyle w:val="6"/>
        <w:numPr>
          <w:ilvl w:val="0"/>
          <w:numId w:val="1"/>
        </w:numPr>
        <w:spacing w:line="520" w:lineRule="exact"/>
        <w:ind w:left="442" w:hanging="442"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服务地点</w:t>
      </w:r>
    </w:p>
    <w:p w14:paraId="6CF1EFCD">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西安财经大学长安校区教2楼、体育馆。具体以</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安排为准。（体育馆内，无需租金、电费等。若因人为原因导致设施损坏的，</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应予以赔偿）</w:t>
      </w:r>
    </w:p>
    <w:p w14:paraId="59DB1383">
      <w:pPr>
        <w:pStyle w:val="6"/>
        <w:numPr>
          <w:ilvl w:val="0"/>
          <w:numId w:val="1"/>
        </w:numPr>
        <w:spacing w:line="520" w:lineRule="exact"/>
        <w:ind w:left="442" w:hanging="442"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验收要求</w:t>
      </w:r>
    </w:p>
    <w:p w14:paraId="3EA24A2D">
      <w:pPr>
        <w:spacing w:line="520" w:lineRule="exact"/>
        <w:ind w:firstLine="560" w:firstLineChars="200"/>
        <w:rPr>
          <w:rFonts w:hint="eastAsia" w:ascii="仿宋" w:hAnsi="仿宋" w:eastAsia="仿宋" w:cs="仿宋"/>
          <w:b/>
          <w:color w:val="auto"/>
          <w:sz w:val="28"/>
          <w:szCs w:val="28"/>
        </w:rPr>
      </w:pPr>
      <w:r>
        <w:rPr>
          <w:rFonts w:hint="eastAsia" w:ascii="仿宋" w:hAnsi="仿宋" w:eastAsia="仿宋" w:cs="仿宋"/>
          <w:color w:val="auto"/>
          <w:sz w:val="28"/>
          <w:szCs w:val="28"/>
        </w:rPr>
        <w:t>乙方完全履行合同义务后，甲方按照采购相关文件和相关规定组织验收工作。（请按实际招标情况调整）</w:t>
      </w:r>
    </w:p>
    <w:p w14:paraId="440E7DFF">
      <w:pPr>
        <w:pStyle w:val="6"/>
        <w:numPr>
          <w:ilvl w:val="0"/>
          <w:numId w:val="1"/>
        </w:numPr>
        <w:spacing w:line="520" w:lineRule="exact"/>
        <w:ind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合同总额及支付方式</w:t>
      </w:r>
    </w:p>
    <w:p w14:paraId="78E3416C">
      <w:pPr>
        <w:spacing w:line="520" w:lineRule="exact"/>
        <w:ind w:firstLine="560" w:firstLineChars="200"/>
        <w:rPr>
          <w:rFonts w:hint="eastAsia" w:ascii="仿宋" w:hAnsi="仿宋" w:eastAsia="仿宋" w:cs="仿宋"/>
          <w:b/>
          <w:bCs/>
          <w:color w:val="auto"/>
          <w:sz w:val="28"/>
          <w:szCs w:val="28"/>
        </w:rPr>
      </w:pPr>
      <w:r>
        <w:rPr>
          <w:rFonts w:hint="eastAsia" w:ascii="仿宋" w:hAnsi="仿宋" w:eastAsia="仿宋" w:cs="仿宋"/>
          <w:color w:val="auto"/>
          <w:sz w:val="28"/>
          <w:szCs w:val="28"/>
        </w:rPr>
        <w:t>（一）</w:t>
      </w:r>
      <w:r>
        <w:rPr>
          <w:rFonts w:hint="eastAsia" w:ascii="仿宋" w:hAnsi="仿宋" w:eastAsia="仿宋" w:cs="仿宋"/>
          <w:b/>
          <w:bCs/>
          <w:color w:val="auto"/>
          <w:sz w:val="28"/>
          <w:szCs w:val="28"/>
        </w:rPr>
        <w:t>合计总金额（大写）：人民币：</w:t>
      </w:r>
      <w:r>
        <w:rPr>
          <w:rFonts w:hint="eastAsia" w:ascii="仿宋" w:hAnsi="仿宋" w:eastAsia="仿宋" w:cs="仿宋"/>
          <w:b/>
          <w:bCs/>
          <w:color w:val="auto"/>
          <w:sz w:val="28"/>
          <w:szCs w:val="28"/>
          <w:u w:val="single"/>
        </w:rPr>
        <w:t xml:space="preserve">      </w:t>
      </w:r>
      <w:r>
        <w:rPr>
          <w:rFonts w:hint="eastAsia" w:ascii="仿宋" w:hAnsi="仿宋" w:eastAsia="仿宋" w:cs="仿宋"/>
          <w:b/>
          <w:bCs/>
          <w:color w:val="auto"/>
          <w:sz w:val="28"/>
          <w:szCs w:val="28"/>
        </w:rPr>
        <w:t>元整。</w:t>
      </w:r>
    </w:p>
    <w:p w14:paraId="2F617A4D">
      <w:pPr>
        <w:spacing w:line="52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（小写）：人民币：</w:t>
      </w:r>
      <w:r>
        <w:rPr>
          <w:rFonts w:hint="eastAsia" w:ascii="仿宋" w:hAnsi="仿宋" w:eastAsia="仿宋" w:cs="仿宋"/>
          <w:b/>
          <w:bCs/>
          <w:color w:val="auto"/>
          <w:sz w:val="28"/>
          <w:szCs w:val="28"/>
          <w:u w:val="single"/>
        </w:rPr>
        <w:t xml:space="preserve">      </w:t>
      </w:r>
      <w:r>
        <w:rPr>
          <w:rFonts w:hint="eastAsia" w:ascii="仿宋" w:hAnsi="仿宋" w:eastAsia="仿宋" w:cs="仿宋"/>
          <w:b/>
          <w:bCs/>
          <w:color w:val="auto"/>
          <w:sz w:val="28"/>
          <w:szCs w:val="28"/>
        </w:rPr>
        <w:t>元整。</w:t>
      </w:r>
    </w:p>
    <w:p w14:paraId="5CFC868E">
      <w:pPr>
        <w:pStyle w:val="2"/>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注：合同总金额包括但不限于乙方为提供服务所产生的全部成本、预期利益、售后服务、税费和合同中规定乙方应承担的其他义务的费用等。合同成交价为含增值税发票金额，除本合同总金额外，甲方不再支付任何其他费用。</w:t>
      </w:r>
    </w:p>
    <w:p w14:paraId="5F28F923">
      <w:pPr>
        <w:tabs>
          <w:tab w:val="left" w:pos="7665"/>
        </w:tabs>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（二）支付方式和要求</w:t>
      </w:r>
    </w:p>
    <w:p w14:paraId="4F51BA3F">
      <w:pPr>
        <w:spacing w:line="520" w:lineRule="exact"/>
        <w:ind w:firstLine="420" w:firstLineChars="150"/>
        <w:rPr>
          <w:rFonts w:hint="eastAsia" w:ascii="仿宋" w:hAnsi="仿宋" w:eastAsia="仿宋" w:cs="仿宋"/>
          <w:color w:val="auto"/>
          <w:sz w:val="28"/>
          <w:szCs w:val="28"/>
        </w:rPr>
      </w:pPr>
      <w:r>
        <w:rPr>
          <w:rFonts w:hint="eastAsia" w:ascii="仿宋" w:hAnsi="仿宋" w:eastAsia="仿宋" w:cs="仿宋"/>
          <w:color w:val="auto"/>
          <w:sz w:val="28"/>
          <w:szCs w:val="28"/>
        </w:rPr>
        <w:t>1.支付方式：</w:t>
      </w:r>
    </w:p>
    <w:p w14:paraId="0AA67359">
      <w:pPr>
        <w:pStyle w:val="3"/>
        <w:widowControl w:val="0"/>
        <w:spacing w:before="0" w:beforeAutospacing="0" w:after="0" w:afterAutospacing="0" w:line="324" w:lineRule="auto"/>
        <w:ind w:firstLine="420" w:firstLineChars="15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1.1结算单位：甲方结算，在付款前必须开具等额发票给甲方。</w:t>
      </w:r>
    </w:p>
    <w:p w14:paraId="31244B0F">
      <w:pPr>
        <w:ind w:firstLine="420" w:firstLineChars="150"/>
        <w:rPr>
          <w:rFonts w:hint="eastAsia" w:ascii="仿宋" w:hAnsi="仿宋" w:eastAsia="仿宋" w:cs="仿宋"/>
          <w:color w:val="auto"/>
          <w:sz w:val="28"/>
          <w:szCs w:val="28"/>
        </w:rPr>
      </w:pPr>
      <w:r>
        <w:rPr>
          <w:rFonts w:hint="eastAsia" w:ascii="仿宋" w:hAnsi="仿宋" w:eastAsia="仿宋" w:cs="仿宋"/>
          <w:color w:val="auto"/>
          <w:sz w:val="28"/>
          <w:szCs w:val="28"/>
        </w:rPr>
        <w:t>1.2付款方式：服务结束并通过甲方验收后一次性付款，付款前乙方应向甲方提供合法有效的发票。</w:t>
      </w:r>
    </w:p>
    <w:p w14:paraId="7EC02B45">
      <w:pPr>
        <w:pStyle w:val="3"/>
        <w:widowControl w:val="0"/>
        <w:spacing w:before="0" w:beforeAutospacing="0" w:after="0" w:afterAutospacing="0" w:line="336" w:lineRule="auto"/>
        <w:ind w:firstLine="420" w:firstLineChars="15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2.履约保证金：</w:t>
      </w:r>
    </w:p>
    <w:p w14:paraId="48E8214F">
      <w:pPr>
        <w:pStyle w:val="3"/>
        <w:widowControl w:val="0"/>
        <w:spacing w:before="0" w:beforeAutospacing="0" w:after="0" w:afterAutospacing="0" w:line="336" w:lineRule="auto"/>
        <w:ind w:firstLine="420" w:firstLineChars="15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2.1乙方在签订合同前5个工作日内，向甲方缴纳合同总价5%的履约保证金；</w:t>
      </w:r>
    </w:p>
    <w:p w14:paraId="102FFB0E">
      <w:pPr>
        <w:pStyle w:val="3"/>
        <w:widowControl w:val="0"/>
        <w:spacing w:before="0" w:beforeAutospacing="0" w:after="0" w:afterAutospacing="0" w:line="336" w:lineRule="auto"/>
        <w:ind w:firstLine="420" w:firstLineChars="15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2.2乙方如期履约完成且不存在其他任何违约责任，甲方无息由原缴费账户退还履约保证金全款。</w:t>
      </w:r>
    </w:p>
    <w:p w14:paraId="03B8CE53">
      <w:pPr>
        <w:ind w:firstLine="420" w:firstLineChars="150"/>
        <w:rPr>
          <w:color w:val="auto"/>
        </w:rPr>
      </w:pPr>
      <w:r>
        <w:rPr>
          <w:rFonts w:hint="eastAsia" w:ascii="仿宋" w:hAnsi="仿宋" w:eastAsia="仿宋" w:cs="仿宋"/>
          <w:color w:val="auto"/>
          <w:sz w:val="28"/>
          <w:szCs w:val="28"/>
        </w:rPr>
        <w:t>2.3若乙方未能按照合同约定履行，则甲方有权全额扣除履约保证金，并保留追究乙方违约相关的法律责任。</w:t>
      </w:r>
    </w:p>
    <w:p w14:paraId="2CE5F817">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甲方以银行转账的方式支付合同款项，乙方指定的收款账户信息为：</w:t>
      </w:r>
    </w:p>
    <w:p w14:paraId="025F8BF8">
      <w:pPr>
        <w:kinsoku w:val="0"/>
        <w:overflowPunct w:val="0"/>
        <w:autoSpaceDE w:val="0"/>
        <w:autoSpaceDN w:val="0"/>
        <w:spacing w:line="520" w:lineRule="exact"/>
        <w:rPr>
          <w:rFonts w:hint="eastAsia" w:ascii="仿宋" w:hAnsi="仿宋" w:eastAsia="仿宋" w:cs="仿宋"/>
          <w:snapToGrid w:val="0"/>
          <w:color w:val="auto"/>
          <w:kern w:val="0"/>
          <w:sz w:val="28"/>
          <w:szCs w:val="28"/>
        </w:rPr>
      </w:pPr>
      <w:r>
        <w:rPr>
          <w:rFonts w:hint="eastAsia" w:ascii="仿宋" w:hAnsi="仿宋" w:eastAsia="仿宋" w:cs="仿宋"/>
          <w:snapToGrid w:val="0"/>
          <w:color w:val="auto"/>
          <w:kern w:val="0"/>
          <w:sz w:val="28"/>
          <w:szCs w:val="28"/>
        </w:rPr>
        <w:t>开户名：</w:t>
      </w:r>
      <w:r>
        <w:rPr>
          <w:rFonts w:hint="eastAsia" w:ascii="仿宋" w:hAnsi="仿宋" w:eastAsia="仿宋" w:cs="仿宋"/>
          <w:snapToGrid w:val="0"/>
          <w:color w:val="auto"/>
          <w:kern w:val="0"/>
          <w:sz w:val="28"/>
          <w:szCs w:val="28"/>
          <w:u w:val="single"/>
        </w:rPr>
        <w:t xml:space="preserve">                                      </w:t>
      </w:r>
      <w:r>
        <w:rPr>
          <w:rFonts w:hint="eastAsia" w:ascii="仿宋" w:hAnsi="仿宋" w:eastAsia="仿宋" w:cs="仿宋"/>
          <w:snapToGrid w:val="0"/>
          <w:color w:val="auto"/>
          <w:kern w:val="0"/>
          <w:sz w:val="28"/>
          <w:szCs w:val="28"/>
        </w:rPr>
        <w:t xml:space="preserve">；    </w:t>
      </w:r>
    </w:p>
    <w:p w14:paraId="21101839">
      <w:pPr>
        <w:kinsoku w:val="0"/>
        <w:overflowPunct w:val="0"/>
        <w:autoSpaceDE w:val="0"/>
        <w:autoSpaceDN w:val="0"/>
        <w:spacing w:line="520" w:lineRule="exact"/>
        <w:rPr>
          <w:rFonts w:hint="eastAsia" w:ascii="仿宋" w:hAnsi="仿宋" w:eastAsia="仿宋" w:cs="仿宋"/>
          <w:snapToGrid w:val="0"/>
          <w:color w:val="auto"/>
          <w:kern w:val="0"/>
          <w:sz w:val="28"/>
          <w:szCs w:val="28"/>
        </w:rPr>
      </w:pPr>
      <w:r>
        <w:rPr>
          <w:rFonts w:hint="eastAsia" w:ascii="仿宋" w:hAnsi="仿宋" w:eastAsia="仿宋" w:cs="仿宋"/>
          <w:snapToGrid w:val="0"/>
          <w:color w:val="auto"/>
          <w:kern w:val="0"/>
          <w:sz w:val="28"/>
          <w:szCs w:val="28"/>
        </w:rPr>
        <w:t>开户行：</w:t>
      </w:r>
      <w:r>
        <w:rPr>
          <w:rFonts w:hint="eastAsia" w:ascii="仿宋" w:hAnsi="仿宋" w:eastAsia="仿宋" w:cs="仿宋"/>
          <w:snapToGrid w:val="0"/>
          <w:color w:val="auto"/>
          <w:kern w:val="0"/>
          <w:sz w:val="28"/>
          <w:szCs w:val="28"/>
          <w:u w:val="single"/>
        </w:rPr>
        <w:t xml:space="preserve">                                      </w:t>
      </w:r>
      <w:r>
        <w:rPr>
          <w:rFonts w:hint="eastAsia" w:ascii="仿宋" w:hAnsi="仿宋" w:eastAsia="仿宋" w:cs="仿宋"/>
          <w:snapToGrid w:val="0"/>
          <w:color w:val="auto"/>
          <w:kern w:val="0"/>
          <w:sz w:val="28"/>
          <w:szCs w:val="28"/>
        </w:rPr>
        <w:t>；</w:t>
      </w:r>
    </w:p>
    <w:p w14:paraId="13E72792">
      <w:pPr>
        <w:kinsoku w:val="0"/>
        <w:overflowPunct w:val="0"/>
        <w:autoSpaceDE w:val="0"/>
        <w:autoSpaceDN w:val="0"/>
        <w:spacing w:line="520" w:lineRule="exact"/>
        <w:rPr>
          <w:rFonts w:hint="eastAsia" w:ascii="仿宋" w:hAnsi="仿宋" w:eastAsia="仿宋" w:cs="仿宋"/>
          <w:b/>
          <w:snapToGrid w:val="0"/>
          <w:color w:val="auto"/>
          <w:kern w:val="0"/>
          <w:sz w:val="28"/>
          <w:szCs w:val="28"/>
        </w:rPr>
      </w:pPr>
      <w:r>
        <w:rPr>
          <w:rFonts w:hint="eastAsia" w:ascii="仿宋" w:hAnsi="仿宋" w:eastAsia="仿宋" w:cs="仿宋"/>
          <w:snapToGrid w:val="0"/>
          <w:color w:val="auto"/>
          <w:kern w:val="0"/>
          <w:sz w:val="28"/>
          <w:szCs w:val="28"/>
        </w:rPr>
        <w:t>账  号：</w:t>
      </w:r>
      <w:r>
        <w:rPr>
          <w:rFonts w:hint="eastAsia" w:ascii="仿宋" w:hAnsi="仿宋" w:eastAsia="仿宋" w:cs="仿宋"/>
          <w:snapToGrid w:val="0"/>
          <w:color w:val="auto"/>
          <w:kern w:val="0"/>
          <w:sz w:val="28"/>
          <w:szCs w:val="28"/>
          <w:u w:val="single"/>
        </w:rPr>
        <w:t xml:space="preserve">                                      </w:t>
      </w:r>
      <w:r>
        <w:rPr>
          <w:rFonts w:hint="eastAsia" w:ascii="仿宋" w:hAnsi="仿宋" w:eastAsia="仿宋" w:cs="仿宋"/>
          <w:snapToGrid w:val="0"/>
          <w:color w:val="auto"/>
          <w:kern w:val="0"/>
          <w:sz w:val="28"/>
          <w:szCs w:val="28"/>
        </w:rPr>
        <w:t>。</w:t>
      </w:r>
    </w:p>
    <w:p w14:paraId="79E19B75">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乙方指定收款账户如有变更的，应提前10个工作日书面通知甲方，否则由此产生的损失由乙方承担。</w:t>
      </w:r>
      <w:r>
        <w:rPr>
          <w:rFonts w:hint="eastAsia" w:ascii="仿宋" w:hAnsi="仿宋" w:eastAsia="仿宋" w:cs="仿宋"/>
          <w:color w:val="auto"/>
          <w:sz w:val="28"/>
          <w:szCs w:val="28"/>
          <w:u w:val="single"/>
        </w:rPr>
        <w:t>甲方支付合同款项前，乙方应当向甲方提供合法符合甲方要求的增值税发票，否则，甲方有权拒绝支付。</w:t>
      </w:r>
    </w:p>
    <w:p w14:paraId="4AAC7ABB">
      <w:pPr>
        <w:pStyle w:val="6"/>
        <w:numPr>
          <w:ilvl w:val="0"/>
          <w:numId w:val="1"/>
        </w:numPr>
        <w:spacing w:line="520" w:lineRule="exact"/>
        <w:ind w:left="442" w:hanging="442"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所有权及知识产权</w:t>
      </w:r>
    </w:p>
    <w:p w14:paraId="42046E6A">
      <w:pPr>
        <w:tabs>
          <w:tab w:val="left" w:pos="7665"/>
        </w:tabs>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乙方提供的所有服务内容及配套产品需手续完善、合法有效，无产权和法律纠纷，甲方具有合法的使用权。乙方应保证所提供的服务或其任何一部分均不侵犯任何第三方合法的所有权、知识产权及其它任何权益。否则，由此产生的一切责任及甲方受到的任何损害由乙方承担。</w:t>
      </w:r>
    </w:p>
    <w:p w14:paraId="3938A3B3">
      <w:pPr>
        <w:pStyle w:val="6"/>
        <w:numPr>
          <w:ilvl w:val="0"/>
          <w:numId w:val="1"/>
        </w:numPr>
        <w:spacing w:line="520" w:lineRule="exact"/>
        <w:ind w:left="442" w:hanging="442"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保密</w:t>
      </w:r>
      <w:bookmarkStart w:id="1" w:name="_GoBack"/>
      <w:bookmarkEnd w:id="1"/>
    </w:p>
    <w:p w14:paraId="3FA806EC">
      <w:pPr>
        <w:tabs>
          <w:tab w:val="left" w:pos="7665"/>
        </w:tabs>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（一）双方应对本合同履行过程中所知悉的双方商业秘密、技术成果、经营计划和战略、客户信息及其它非技术性信息承担保密义务。</w:t>
      </w:r>
    </w:p>
    <w:p w14:paraId="19B1B805">
      <w:pPr>
        <w:tabs>
          <w:tab w:val="left" w:pos="7665"/>
        </w:tabs>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（二）未经双方书面同意，不得向社会公众或第三方通过任何途径出示、泄露，不得对上述信息进行复制、传播和销售。双方同时应约束其员工履行保密义务。</w:t>
      </w:r>
    </w:p>
    <w:p w14:paraId="054AA78A">
      <w:pPr>
        <w:tabs>
          <w:tab w:val="left" w:pos="7665"/>
        </w:tabs>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（三）本条所约定的双方承担保密义务不因本合同履行完毕而失效。</w:t>
      </w:r>
    </w:p>
    <w:p w14:paraId="085A0ACA">
      <w:pPr>
        <w:pStyle w:val="6"/>
        <w:numPr>
          <w:ilvl w:val="0"/>
          <w:numId w:val="1"/>
        </w:numPr>
        <w:spacing w:line="520" w:lineRule="exact"/>
        <w:ind w:left="442" w:hanging="442"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违约责任</w:t>
      </w:r>
    </w:p>
    <w:p w14:paraId="7946A76B">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（一）乙方逾期提供服务的，每逾期一天向甲方支付合同金额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%的违约金，逾期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日的，甲方有权单方面解除本合同，乙方需向甲方支付合同金额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的违约金。</w:t>
      </w:r>
    </w:p>
    <w:p w14:paraId="0223287F">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（二）乙方提供的服务不符合约定的，甲方有权向乙方提出整改意见，乙方需无条件整改至符合约定，自甲方向乙方提出整改意见之日起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日内，乙方仍未整改或整改后服务仍不符合约定的，甲方有权利解除本合同，且乙方需向甲方支付合同金额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的违约金。</w:t>
      </w:r>
    </w:p>
    <w:p w14:paraId="5F64CAA9">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（三）由于乙方履约问题导致合同终止时，甲方将继续拥有服务设备及系统的使用权，乙方应在保障服务标准和质量的基础上，配合做好甲方服务切换。</w:t>
      </w:r>
    </w:p>
    <w:p w14:paraId="27A4F83C">
      <w:pPr>
        <w:pStyle w:val="6"/>
        <w:numPr>
          <w:ilvl w:val="0"/>
          <w:numId w:val="1"/>
        </w:numPr>
        <w:spacing w:line="520" w:lineRule="exact"/>
        <w:ind w:left="442" w:hanging="442"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争议解决</w:t>
      </w:r>
    </w:p>
    <w:p w14:paraId="3663FC87">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双方在履行合同过程中，若发生争议，可以协商解决。如协商未果，双方向甲方所在地人民法院提起诉讼。乙方如果没有按照本合同约定履行合同，甲方有权终止合同。</w:t>
      </w:r>
    </w:p>
    <w:p w14:paraId="0B465779">
      <w:pPr>
        <w:pStyle w:val="6"/>
        <w:numPr>
          <w:ilvl w:val="0"/>
          <w:numId w:val="1"/>
        </w:numPr>
        <w:spacing w:line="520" w:lineRule="exact"/>
        <w:ind w:left="442" w:hanging="442" w:firstLineChars="0"/>
        <w:rPr>
          <w:rFonts w:hint="eastAsia" w:ascii="仿宋" w:hAnsi="仿宋" w:eastAsia="仿宋" w:cs="仿宋"/>
          <w:b/>
          <w:color w:val="auto"/>
          <w:sz w:val="28"/>
          <w:szCs w:val="28"/>
        </w:rPr>
      </w:pPr>
      <w:r>
        <w:rPr>
          <w:rFonts w:hint="eastAsia" w:ascii="仿宋" w:hAnsi="仿宋" w:eastAsia="仿宋" w:cs="仿宋"/>
          <w:b/>
          <w:color w:val="auto"/>
          <w:sz w:val="28"/>
          <w:szCs w:val="28"/>
        </w:rPr>
        <w:t>其他事项</w:t>
      </w:r>
    </w:p>
    <w:p w14:paraId="2F42B0F9">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（一）除双方签署书面补充协议，本合同条件不可变更；本合同及其附件替代双方以前或执行本合同过程中所做的任何口头交流、声明或合同。</w:t>
      </w:r>
    </w:p>
    <w:p w14:paraId="21E2EDF7">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（二）本合同壹式</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份，甲方</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份，乙方</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份，具有同等的法律效力。经双方共同签署确认的合同附件为有效附件，与合同有同等法律效力（若有，附件条款不得与合同条件矛盾）。本合同自双方签字盖章之日起生效。</w:t>
      </w:r>
    </w:p>
    <w:p w14:paraId="250E0C60">
      <w:pPr>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（三）下述文件为本合同的一部分，并与本合同一起阅读和解释，且具有同等法律效力：</w:t>
      </w:r>
    </w:p>
    <w:p w14:paraId="44AFF783">
      <w:pPr>
        <w:pStyle w:val="6"/>
        <w:adjustRightInd w:val="0"/>
        <w:snapToGrid w:val="0"/>
        <w:spacing w:line="520" w:lineRule="exact"/>
        <w:ind w:left="1080" w:hanging="440" w:firstLineChars="0"/>
        <w:rPr>
          <w:rFonts w:hint="eastAsia" w:ascii="仿宋" w:hAnsi="仿宋" w:eastAsia="仿宋" w:cs="仿宋"/>
          <w:color w:val="auto"/>
          <w:sz w:val="28"/>
          <w:szCs w:val="28"/>
        </w:rPr>
      </w:pPr>
      <w:r>
        <w:rPr>
          <w:rFonts w:hint="eastAsia" w:ascii="仿宋" w:hAnsi="仿宋" w:eastAsia="仿宋" w:cs="仿宋"/>
          <w:color w:val="auto"/>
          <w:sz w:val="28"/>
          <w:szCs w:val="28"/>
        </w:rPr>
        <w:t>1.合同附件：补充条款（如果有）；</w:t>
      </w:r>
    </w:p>
    <w:p w14:paraId="007684FE">
      <w:pPr>
        <w:pStyle w:val="6"/>
        <w:adjustRightInd w:val="0"/>
        <w:snapToGrid w:val="0"/>
        <w:spacing w:line="520" w:lineRule="exact"/>
        <w:ind w:left="1080" w:hanging="440" w:firstLineChars="0"/>
        <w:rPr>
          <w:rFonts w:hint="eastAsia" w:ascii="仿宋" w:hAnsi="仿宋" w:eastAsia="仿宋" w:cs="仿宋"/>
          <w:color w:val="auto"/>
          <w:sz w:val="28"/>
          <w:szCs w:val="28"/>
        </w:rPr>
      </w:pPr>
      <w:r>
        <w:rPr>
          <w:rFonts w:hint="eastAsia" w:ascii="仿宋" w:hAnsi="仿宋" w:eastAsia="仿宋" w:cs="仿宋"/>
          <w:color w:val="auto"/>
          <w:sz w:val="28"/>
          <w:szCs w:val="28"/>
        </w:rPr>
        <w:t>2.磋商文件；</w:t>
      </w:r>
    </w:p>
    <w:p w14:paraId="552F8846">
      <w:pPr>
        <w:pStyle w:val="6"/>
        <w:adjustRightInd w:val="0"/>
        <w:snapToGrid w:val="0"/>
        <w:spacing w:line="520" w:lineRule="exact"/>
        <w:ind w:left="1080" w:hanging="440" w:firstLineChars="0"/>
        <w:rPr>
          <w:rFonts w:hint="eastAsia" w:ascii="仿宋" w:hAnsi="仿宋" w:eastAsia="仿宋" w:cs="仿宋"/>
          <w:color w:val="auto"/>
          <w:sz w:val="28"/>
          <w:szCs w:val="28"/>
        </w:rPr>
      </w:pPr>
      <w:r>
        <w:rPr>
          <w:rFonts w:hint="eastAsia" w:ascii="仿宋" w:hAnsi="仿宋" w:eastAsia="仿宋" w:cs="仿宋"/>
          <w:color w:val="auto"/>
          <w:sz w:val="28"/>
          <w:szCs w:val="28"/>
        </w:rPr>
        <w:t>3.响应文件；</w:t>
      </w:r>
    </w:p>
    <w:p w14:paraId="1AAB3175">
      <w:pPr>
        <w:pStyle w:val="6"/>
        <w:adjustRightInd w:val="0"/>
        <w:snapToGrid w:val="0"/>
        <w:spacing w:line="520" w:lineRule="exact"/>
        <w:ind w:left="1080" w:hanging="440" w:firstLineChars="0"/>
        <w:rPr>
          <w:rFonts w:hint="eastAsia" w:ascii="仿宋" w:hAnsi="仿宋" w:eastAsia="仿宋" w:cs="仿宋"/>
          <w:color w:val="auto"/>
          <w:sz w:val="28"/>
          <w:szCs w:val="28"/>
        </w:rPr>
      </w:pPr>
      <w:r>
        <w:rPr>
          <w:rFonts w:hint="eastAsia" w:ascii="仿宋" w:hAnsi="仿宋" w:eastAsia="仿宋" w:cs="仿宋"/>
          <w:color w:val="auto"/>
          <w:sz w:val="28"/>
          <w:szCs w:val="28"/>
        </w:rPr>
        <w:t>4.中标</w:t>
      </w:r>
      <w:r>
        <w:rPr>
          <w:rFonts w:hint="eastAsia" w:ascii="仿宋" w:hAnsi="仿宋" w:eastAsia="仿宋" w:cs="仿宋"/>
          <w:color w:val="auto"/>
          <w:sz w:val="28"/>
          <w:szCs w:val="28"/>
          <w:lang w:eastAsia="zh-CN"/>
        </w:rPr>
        <w:t>（成交）</w:t>
      </w:r>
      <w:r>
        <w:rPr>
          <w:rFonts w:hint="eastAsia" w:ascii="仿宋" w:hAnsi="仿宋" w:eastAsia="仿宋" w:cs="仿宋"/>
          <w:color w:val="auto"/>
          <w:sz w:val="28"/>
          <w:szCs w:val="28"/>
        </w:rPr>
        <w:t>通知书；</w:t>
      </w:r>
    </w:p>
    <w:p w14:paraId="45A659DE">
      <w:pPr>
        <w:pStyle w:val="6"/>
        <w:adjustRightInd w:val="0"/>
        <w:snapToGrid w:val="0"/>
        <w:spacing w:line="520" w:lineRule="exact"/>
        <w:ind w:left="1080" w:hanging="440" w:firstLineChars="0"/>
        <w:rPr>
          <w:rFonts w:hint="eastAsia" w:ascii="仿宋" w:hAnsi="仿宋" w:eastAsia="仿宋" w:cs="仿宋"/>
          <w:color w:val="auto"/>
          <w:sz w:val="28"/>
          <w:szCs w:val="28"/>
        </w:rPr>
      </w:pPr>
      <w:r>
        <w:rPr>
          <w:rFonts w:hint="eastAsia" w:ascii="仿宋" w:hAnsi="仿宋" w:eastAsia="仿宋" w:cs="仿宋"/>
          <w:color w:val="auto"/>
          <w:sz w:val="28"/>
          <w:szCs w:val="28"/>
        </w:rPr>
        <w:t>5.……</w:t>
      </w:r>
    </w:p>
    <w:p w14:paraId="0BB7AAF4">
      <w:pPr>
        <w:adjustRightInd w:val="0"/>
        <w:snapToGrid w:val="0"/>
        <w:spacing w:line="520" w:lineRule="exact"/>
        <w:ind w:left="640"/>
        <w:rPr>
          <w:rFonts w:hint="eastAsia" w:ascii="仿宋" w:hAnsi="仿宋" w:eastAsia="仿宋" w:cs="仿宋"/>
          <w:color w:val="auto"/>
          <w:sz w:val="28"/>
          <w:szCs w:val="28"/>
        </w:rPr>
      </w:pPr>
    </w:p>
    <w:p w14:paraId="2C8B2312">
      <w:pPr>
        <w:adjustRightInd w:val="0"/>
        <w:snapToGrid w:val="0"/>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（以下无正文）</w:t>
      </w:r>
    </w:p>
    <w:p w14:paraId="2125FB32">
      <w:pPr>
        <w:spacing w:line="520" w:lineRule="exact"/>
        <w:rPr>
          <w:rFonts w:hint="eastAsia" w:ascii="仿宋" w:hAnsi="仿宋" w:eastAsia="仿宋" w:cs="仿宋"/>
          <w:color w:val="auto"/>
          <w:sz w:val="28"/>
          <w:szCs w:val="28"/>
        </w:rPr>
      </w:pPr>
    </w:p>
    <w:tbl>
      <w:tblPr>
        <w:tblStyle w:val="4"/>
        <w:tblW w:w="5188" w:type="pct"/>
        <w:jc w:val="center"/>
        <w:tblLayout w:type="autofit"/>
        <w:tblCellMar>
          <w:top w:w="0" w:type="dxa"/>
          <w:left w:w="108" w:type="dxa"/>
          <w:bottom w:w="0" w:type="dxa"/>
          <w:right w:w="108" w:type="dxa"/>
        </w:tblCellMar>
      </w:tblPr>
      <w:tblGrid>
        <w:gridCol w:w="4421"/>
        <w:gridCol w:w="4421"/>
      </w:tblGrid>
      <w:tr w14:paraId="1BAA498D">
        <w:tblPrEx>
          <w:tblCellMar>
            <w:top w:w="0" w:type="dxa"/>
            <w:left w:w="108" w:type="dxa"/>
            <w:bottom w:w="0" w:type="dxa"/>
            <w:right w:w="108" w:type="dxa"/>
          </w:tblCellMar>
        </w:tblPrEx>
        <w:trPr>
          <w:trHeight w:val="643" w:hRule="atLeast"/>
          <w:jc w:val="center"/>
        </w:trPr>
        <w:tc>
          <w:tcPr>
            <w:tcW w:w="4817" w:type="dxa"/>
            <w:noWrap w:val="0"/>
            <w:vAlign w:val="top"/>
          </w:tcPr>
          <w:p w14:paraId="657094B5">
            <w:pPr>
              <w:snapToGrid w:val="0"/>
              <w:spacing w:line="520" w:lineRule="exact"/>
              <w:rPr>
                <w:rFonts w:hint="eastAsia" w:ascii="仿宋" w:hAnsi="仿宋" w:eastAsia="仿宋" w:cs="仿宋"/>
                <w:bCs/>
                <w:color w:val="auto"/>
                <w:sz w:val="28"/>
                <w:szCs w:val="28"/>
              </w:rPr>
            </w:pPr>
            <w:r>
              <w:rPr>
                <w:rFonts w:hint="eastAsia" w:ascii="仿宋" w:hAnsi="仿宋" w:eastAsia="仿宋" w:cs="仿宋"/>
                <w:bCs/>
                <w:color w:val="auto"/>
                <w:sz w:val="28"/>
                <w:szCs w:val="28"/>
              </w:rPr>
              <w:t>甲方（盖章）：西安财经大学</w:t>
            </w:r>
          </w:p>
        </w:tc>
        <w:tc>
          <w:tcPr>
            <w:tcW w:w="4818" w:type="dxa"/>
            <w:noWrap w:val="0"/>
            <w:vAlign w:val="top"/>
          </w:tcPr>
          <w:p w14:paraId="6386216E">
            <w:pPr>
              <w:snapToGrid w:val="0"/>
              <w:spacing w:line="520" w:lineRule="exact"/>
              <w:rPr>
                <w:rFonts w:hint="eastAsia" w:ascii="仿宋" w:hAnsi="仿宋" w:eastAsia="仿宋" w:cs="仿宋"/>
                <w:bCs/>
                <w:color w:val="auto"/>
                <w:sz w:val="28"/>
                <w:szCs w:val="28"/>
              </w:rPr>
            </w:pPr>
            <w:r>
              <w:rPr>
                <w:rFonts w:hint="eastAsia" w:ascii="仿宋" w:hAnsi="仿宋" w:eastAsia="仿宋" w:cs="仿宋"/>
                <w:bCs/>
                <w:color w:val="auto"/>
                <w:sz w:val="28"/>
                <w:szCs w:val="28"/>
              </w:rPr>
              <w:t>乙方（盖章）：</w:t>
            </w:r>
          </w:p>
        </w:tc>
      </w:tr>
      <w:tr w14:paraId="7D94C875">
        <w:tblPrEx>
          <w:tblCellMar>
            <w:top w:w="0" w:type="dxa"/>
            <w:left w:w="108" w:type="dxa"/>
            <w:bottom w:w="0" w:type="dxa"/>
            <w:right w:w="108" w:type="dxa"/>
          </w:tblCellMar>
        </w:tblPrEx>
        <w:trPr>
          <w:trHeight w:val="737" w:hRule="atLeast"/>
          <w:jc w:val="center"/>
        </w:trPr>
        <w:tc>
          <w:tcPr>
            <w:tcW w:w="4817" w:type="dxa"/>
            <w:noWrap w:val="0"/>
            <w:vAlign w:val="center"/>
          </w:tcPr>
          <w:p w14:paraId="6B9233EF">
            <w:pPr>
              <w:spacing w:line="520" w:lineRule="exact"/>
              <w:rPr>
                <w:rFonts w:hint="eastAsia" w:ascii="仿宋" w:hAnsi="仿宋" w:eastAsia="仿宋" w:cs="仿宋"/>
                <w:bCs/>
                <w:color w:val="auto"/>
                <w:sz w:val="28"/>
                <w:szCs w:val="28"/>
              </w:rPr>
            </w:pPr>
            <w:r>
              <w:rPr>
                <w:rFonts w:hint="eastAsia" w:ascii="仿宋" w:hAnsi="仿宋" w:eastAsia="仿宋" w:cs="仿宋"/>
                <w:bCs/>
                <w:color w:val="auto"/>
                <w:sz w:val="28"/>
                <w:szCs w:val="28"/>
              </w:rPr>
              <w:t>最终用户：</w:t>
            </w:r>
          </w:p>
        </w:tc>
        <w:tc>
          <w:tcPr>
            <w:tcW w:w="4818" w:type="dxa"/>
            <w:noWrap w:val="0"/>
            <w:vAlign w:val="center"/>
          </w:tcPr>
          <w:p w14:paraId="26E8A51E">
            <w:pPr>
              <w:snapToGrid w:val="0"/>
              <w:spacing w:line="520" w:lineRule="exact"/>
              <w:rPr>
                <w:rFonts w:hint="eastAsia" w:ascii="仿宋" w:hAnsi="仿宋" w:eastAsia="仿宋" w:cs="仿宋"/>
                <w:bCs/>
                <w:color w:val="auto"/>
                <w:sz w:val="28"/>
                <w:szCs w:val="28"/>
              </w:rPr>
            </w:pPr>
          </w:p>
        </w:tc>
      </w:tr>
      <w:tr w14:paraId="675B8062">
        <w:tblPrEx>
          <w:tblCellMar>
            <w:top w:w="0" w:type="dxa"/>
            <w:left w:w="108" w:type="dxa"/>
            <w:bottom w:w="0" w:type="dxa"/>
            <w:right w:w="108" w:type="dxa"/>
          </w:tblCellMar>
        </w:tblPrEx>
        <w:trPr>
          <w:trHeight w:val="521" w:hRule="atLeast"/>
          <w:jc w:val="center"/>
        </w:trPr>
        <w:tc>
          <w:tcPr>
            <w:tcW w:w="4817" w:type="dxa"/>
            <w:noWrap w:val="0"/>
            <w:vAlign w:val="top"/>
          </w:tcPr>
          <w:p w14:paraId="72990808">
            <w:pPr>
              <w:snapToGrid w:val="0"/>
              <w:spacing w:line="520" w:lineRule="exact"/>
              <w:rPr>
                <w:rFonts w:hint="eastAsia" w:ascii="仿宋" w:hAnsi="仿宋" w:eastAsia="仿宋" w:cs="仿宋"/>
                <w:bCs/>
                <w:color w:val="auto"/>
                <w:sz w:val="28"/>
                <w:szCs w:val="28"/>
              </w:rPr>
            </w:pPr>
            <w:r>
              <w:rPr>
                <w:rFonts w:hint="eastAsia" w:ascii="仿宋" w:hAnsi="仿宋" w:eastAsia="仿宋" w:cs="仿宋"/>
                <w:bCs/>
                <w:color w:val="auto"/>
                <w:sz w:val="28"/>
                <w:szCs w:val="28"/>
              </w:rPr>
              <w:t>法定代表人/委托代理人（签字）：</w:t>
            </w:r>
          </w:p>
        </w:tc>
        <w:tc>
          <w:tcPr>
            <w:tcW w:w="4818" w:type="dxa"/>
            <w:noWrap w:val="0"/>
            <w:vAlign w:val="center"/>
          </w:tcPr>
          <w:p w14:paraId="75836EB1">
            <w:pPr>
              <w:snapToGrid w:val="0"/>
              <w:spacing w:line="520" w:lineRule="exact"/>
              <w:rPr>
                <w:rFonts w:hint="eastAsia" w:ascii="仿宋" w:hAnsi="仿宋" w:eastAsia="仿宋" w:cs="仿宋"/>
                <w:bCs/>
                <w:color w:val="auto"/>
                <w:sz w:val="28"/>
                <w:szCs w:val="28"/>
              </w:rPr>
            </w:pPr>
            <w:r>
              <w:rPr>
                <w:rFonts w:hint="eastAsia" w:ascii="仿宋" w:hAnsi="仿宋" w:eastAsia="仿宋" w:cs="仿宋"/>
                <w:bCs/>
                <w:color w:val="auto"/>
                <w:sz w:val="28"/>
                <w:szCs w:val="28"/>
              </w:rPr>
              <w:t>法定代表人/委托代理人（签字）：</w:t>
            </w:r>
          </w:p>
        </w:tc>
      </w:tr>
      <w:tr w14:paraId="66031775">
        <w:tblPrEx>
          <w:tblCellMar>
            <w:top w:w="0" w:type="dxa"/>
            <w:left w:w="108" w:type="dxa"/>
            <w:bottom w:w="0" w:type="dxa"/>
            <w:right w:w="108" w:type="dxa"/>
          </w:tblCellMar>
        </w:tblPrEx>
        <w:trPr>
          <w:jc w:val="center"/>
        </w:trPr>
        <w:tc>
          <w:tcPr>
            <w:tcW w:w="4817" w:type="dxa"/>
            <w:noWrap w:val="0"/>
            <w:vAlign w:val="top"/>
          </w:tcPr>
          <w:p w14:paraId="7F1376C5">
            <w:pPr>
              <w:snapToGrid w:val="0"/>
              <w:spacing w:line="520" w:lineRule="exact"/>
              <w:rPr>
                <w:rFonts w:hint="eastAsia" w:ascii="仿宋" w:hAnsi="仿宋" w:eastAsia="仿宋" w:cs="仿宋"/>
                <w:bCs/>
                <w:color w:val="auto"/>
                <w:sz w:val="28"/>
                <w:szCs w:val="28"/>
              </w:rPr>
            </w:pPr>
            <w:r>
              <w:rPr>
                <w:rFonts w:hint="eastAsia" w:ascii="仿宋" w:hAnsi="仿宋" w:eastAsia="仿宋" w:cs="仿宋"/>
                <w:bCs/>
                <w:color w:val="auto"/>
                <w:sz w:val="28"/>
                <w:szCs w:val="28"/>
              </w:rPr>
              <w:t>日期：年 月 日</w:t>
            </w:r>
          </w:p>
        </w:tc>
        <w:tc>
          <w:tcPr>
            <w:tcW w:w="4818" w:type="dxa"/>
            <w:noWrap w:val="0"/>
            <w:vAlign w:val="top"/>
          </w:tcPr>
          <w:p w14:paraId="07225BDC">
            <w:pPr>
              <w:snapToGrid w:val="0"/>
              <w:spacing w:line="520" w:lineRule="exact"/>
              <w:rPr>
                <w:rFonts w:hint="eastAsia" w:ascii="仿宋" w:hAnsi="仿宋" w:eastAsia="仿宋" w:cs="仿宋"/>
                <w:bCs/>
                <w:color w:val="auto"/>
                <w:sz w:val="28"/>
                <w:szCs w:val="28"/>
              </w:rPr>
            </w:pPr>
            <w:r>
              <w:rPr>
                <w:rFonts w:hint="eastAsia" w:ascii="仿宋" w:hAnsi="仿宋" w:eastAsia="仿宋" w:cs="仿宋"/>
                <w:bCs/>
                <w:color w:val="auto"/>
                <w:sz w:val="28"/>
                <w:szCs w:val="28"/>
              </w:rPr>
              <w:t>日期： 年 月 日</w:t>
            </w:r>
          </w:p>
        </w:tc>
      </w:tr>
      <w:bookmarkEnd w:id="0"/>
    </w:tbl>
    <w:p w14:paraId="3D9FFA99">
      <w:pPr>
        <w:pStyle w:val="7"/>
        <w:rPr>
          <w:rFonts w:hint="eastAsia"/>
          <w:color w:val="auto"/>
          <w:lang w:val="en-US" w:eastAsia="zh-Hans"/>
        </w:rPr>
      </w:pPr>
    </w:p>
    <w:p w14:paraId="145D0DA1">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chineseCountingThousand"/>
      <w:lvlText w:val="%1、"/>
      <w:lvlJc w:val="left"/>
      <w:pPr>
        <w:ind w:left="440" w:hanging="440"/>
      </w:pPr>
    </w:lvl>
    <w:lvl w:ilvl="1" w:tentative="0">
      <w:start w:val="1"/>
      <w:numFmt w:val="decimal"/>
      <w:lvlText w:val="%2、"/>
      <w:lvlJc w:val="left"/>
      <w:pPr>
        <w:ind w:left="1160" w:hanging="72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011D10"/>
    <w:rsid w:val="10E7235E"/>
    <w:rsid w:val="49011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color w:val="993300"/>
      <w:sz w:val="24"/>
    </w:rPr>
  </w:style>
  <w:style w:type="paragraph" w:styleId="3">
    <w:name w:val="Normal (Web)"/>
    <w:basedOn w:val="1"/>
    <w:qFormat/>
    <w:uiPriority w:val="0"/>
    <w:pPr>
      <w:widowControl/>
      <w:spacing w:before="100" w:beforeLines="0" w:beforeAutospacing="1" w:after="100" w:afterLines="0" w:afterAutospacing="1" w:line="240" w:lineRule="auto"/>
      <w:jc w:val="left"/>
    </w:pPr>
    <w:rPr>
      <w:rFonts w:ascii="宋体" w:hAnsi="宋体" w:eastAsia="宋体" w:cs="宋体"/>
      <w:kern w:val="0"/>
      <w:sz w:val="24"/>
    </w:rPr>
  </w:style>
  <w:style w:type="paragraph" w:styleId="6">
    <w:name w:val="List Paragraph"/>
    <w:basedOn w:val="1"/>
    <w:qFormat/>
    <w:uiPriority w:val="0"/>
    <w:pPr>
      <w:ind w:firstLine="420" w:firstLineChars="200"/>
    </w:pPr>
    <w:rPr>
      <w:rFonts w:ascii="Times New Roman" w:hAnsi="Times New Roman" w:eastAsia="宋体" w:cs="Times New Roman"/>
      <w:kern w:val="0"/>
      <w:sz w:val="18"/>
      <w:szCs w:val="18"/>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2026-05-11T07:34:00Z</dcterms:created>
  <dc:creator>Q</dc:creator>
  <cp:lastModifiedBy>Q</cp:lastModifiedBy>
  <dcterms:modified xsi:type="dcterms:W3CDTF">2026-05-11T07:34:41Z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F9DD4A043DF3475AACD17BB2861EE6BE_11</vt:lpwstr>
  </property>
  <property fmtid="{D5CDD505-2E9C-101B-9397-08002B2CF9AE}" pid="4" name="KSOTemplateDocerSaveRecord">
    <vt:lpwstr>eyJoZGlkIjoiM2M3YzY2MTJlM2NiOWMzYTQ2OTAxM2ExNTQ1NzRkYTQiLCJ1c2VySWQiOiIxMjkzNTU3MjkzIn0=</vt:lpwstr>
  </property>
</Properties>
</file>