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版本号：SXHT-(CS)20260407.1B120260513001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2026监管检查辅助服务项目(二次)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SXHT-(CS)20260407.1B1</w:t>
      </w:r>
      <w:r>
        <w:br/>
      </w:r>
      <w:r>
        <w:br/>
      </w:r>
      <w:r>
        <w:br/>
      </w:r>
    </w:p>
    <w:p>
      <w:pPr>
        <w:pStyle w:val="null3"/>
        <w:jc w:val="center"/>
        <w:outlineLvl w:val="2"/>
      </w:pPr>
      <w:r>
        <w:rPr>
          <w:rFonts w:ascii="仿宋_GB2312" w:hAnsi="仿宋_GB2312" w:cs="仿宋_GB2312" w:eastAsia="仿宋_GB2312"/>
          <w:sz w:val="28"/>
          <w:b/>
        </w:rPr>
        <w:t>西安市雁塔区市场监督管理局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西安市雁塔区市场监督管理局</w:t>
      </w:r>
      <w:r>
        <w:rPr>
          <w:rFonts w:ascii="仿宋_GB2312" w:hAnsi="仿宋_GB2312" w:cs="仿宋_GB2312" w:eastAsia="仿宋_GB2312"/>
        </w:rPr>
        <w:t>委托，拟对</w:t>
      </w:r>
      <w:r>
        <w:rPr>
          <w:rFonts w:ascii="仿宋_GB2312" w:hAnsi="仿宋_GB2312" w:cs="仿宋_GB2312" w:eastAsia="仿宋_GB2312"/>
        </w:rPr>
        <w:t>2026监管检查辅助服务项目(二次)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SXHT-(CS)20260407.1B1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2026监管检查辅助服务项目(二次)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为确保日常监管和处理投诉等工作的高效开展，拟采购监管检查辅助服务项目，以解决长期以来面临着的“量大面广、人少事多”的问题，具体内容详见竞争性磋商文件。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采购包1（2026监管检查辅助服务项目）：属于专门面向中小企业采购。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11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10、中小企业声明函：本项目专门面向中小企业采购（须提供中小企业声明函）。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雁塔区电子城街道电子二路60号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029-88236466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西安市雁塔区市场监督管理局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为确保日常监管和处理投诉等工作的高效开展，拟采购监管检查辅助服务项目，以解决长期以来面临着的“量大面广、人少事多”的问题，具体内容详见竞争性磋商文件。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2026监管检查辅助服务项目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标的名称：2026监管检查辅助服务项目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为确保日常监管和处理投诉等工作的高效开展，拟采购监管检查辅助服务项目，以解决长期以来面临着的</w:t>
            </w:r>
            <w:r>
              <w:rPr>
                <w:rFonts w:ascii="仿宋_GB2312" w:hAnsi="仿宋_GB2312" w:cs="仿宋_GB2312" w:eastAsia="仿宋_GB2312"/>
                <w:sz w:val="24"/>
              </w:rPr>
              <w:t>“量大面广、人少事多”的问题。</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r>
              <w:rPr>
                <w:rFonts w:ascii="仿宋_GB2312" w:hAnsi="仿宋_GB2312" w:cs="仿宋_GB2312" w:eastAsia="仿宋_GB2312"/>
                <w:sz w:val="24"/>
                <w:b/>
              </w:rPr>
              <w:t>(包括工作区域、工作内容等)</w:t>
            </w:r>
          </w:p>
          <w:p>
            <w:pPr>
              <w:pStyle w:val="null3"/>
              <w:jc w:val="both"/>
            </w:pPr>
            <w:r>
              <w:rPr>
                <w:rFonts w:ascii="仿宋_GB2312" w:hAnsi="仿宋_GB2312" w:cs="仿宋_GB2312" w:eastAsia="仿宋_GB2312"/>
                <w:sz w:val="24"/>
              </w:rPr>
              <w:t>1.投诉举报电话接听服务</w:t>
            </w:r>
          </w:p>
          <w:p>
            <w:pPr>
              <w:pStyle w:val="null3"/>
              <w:jc w:val="both"/>
            </w:pPr>
            <w:r>
              <w:rPr>
                <w:rFonts w:ascii="仿宋_GB2312" w:hAnsi="仿宋_GB2312" w:cs="仿宋_GB2312" w:eastAsia="仿宋_GB2312"/>
                <w:sz w:val="24"/>
              </w:rPr>
              <w:t>接听工作电话，规范记录来电信息。</w:t>
            </w:r>
          </w:p>
          <w:p>
            <w:pPr>
              <w:pStyle w:val="null3"/>
              <w:jc w:val="both"/>
            </w:pPr>
            <w:r>
              <w:rPr>
                <w:rFonts w:ascii="仿宋_GB2312" w:hAnsi="仿宋_GB2312" w:cs="仿宋_GB2312" w:eastAsia="仿宋_GB2312"/>
                <w:sz w:val="24"/>
              </w:rPr>
              <w:t>2.台账管理服务</w:t>
            </w:r>
          </w:p>
          <w:p>
            <w:pPr>
              <w:pStyle w:val="null3"/>
              <w:jc w:val="both"/>
            </w:pPr>
            <w:r>
              <w:rPr>
                <w:rFonts w:ascii="仿宋_GB2312" w:hAnsi="仿宋_GB2312" w:cs="仿宋_GB2312" w:eastAsia="仿宋_GB2312"/>
                <w:sz w:val="24"/>
              </w:rPr>
              <w:t>协助建立、更新和维护案件电子台账，包括案件信息录入、分类整理、办理进度跟踪、到期提醒等。</w:t>
            </w:r>
          </w:p>
          <w:p>
            <w:pPr>
              <w:pStyle w:val="null3"/>
              <w:jc w:val="both"/>
            </w:pPr>
            <w:r>
              <w:rPr>
                <w:rFonts w:ascii="仿宋_GB2312" w:hAnsi="仿宋_GB2312" w:cs="仿宋_GB2312" w:eastAsia="仿宋_GB2312"/>
                <w:sz w:val="24"/>
              </w:rPr>
              <w:t>3.文件归档整理服务</w:t>
            </w:r>
          </w:p>
          <w:p>
            <w:pPr>
              <w:pStyle w:val="null3"/>
              <w:jc w:val="both"/>
            </w:pPr>
            <w:r>
              <w:rPr>
                <w:rFonts w:ascii="仿宋_GB2312" w:hAnsi="仿宋_GB2312" w:cs="仿宋_GB2312" w:eastAsia="仿宋_GB2312"/>
                <w:sz w:val="24"/>
              </w:rPr>
              <w:t>负责日常监管检查相关文件</w:t>
            </w:r>
            <w:r>
              <w:rPr>
                <w:rFonts w:ascii="仿宋_GB2312" w:hAnsi="仿宋_GB2312" w:cs="仿宋_GB2312" w:eastAsia="仿宋_GB2312"/>
                <w:sz w:val="24"/>
              </w:rPr>
              <w:t>(纸质及电子)的整理、编号、归档</w:t>
            </w:r>
          </w:p>
          <w:p>
            <w:pPr>
              <w:pStyle w:val="null3"/>
              <w:jc w:val="both"/>
            </w:pPr>
            <w:r>
              <w:rPr>
                <w:rFonts w:ascii="仿宋_GB2312" w:hAnsi="仿宋_GB2312" w:cs="仿宋_GB2312" w:eastAsia="仿宋_GB2312"/>
                <w:sz w:val="24"/>
              </w:rPr>
              <w:t>4.日常监管辅助服务</w:t>
            </w:r>
          </w:p>
          <w:p>
            <w:pPr>
              <w:pStyle w:val="null3"/>
              <w:jc w:val="both"/>
            </w:pPr>
            <w:r>
              <w:rPr>
                <w:rFonts w:ascii="仿宋_GB2312" w:hAnsi="仿宋_GB2312" w:cs="仿宋_GB2312" w:eastAsia="仿宋_GB2312"/>
                <w:sz w:val="24"/>
              </w:rPr>
              <w:t>协助执法人员完成现场检查前的资料准备、检查后数据录入、巡查记录整理、文书打印及复印等行政辅助工作、保管及检索调阅。</w:t>
            </w:r>
          </w:p>
          <w:p>
            <w:pPr>
              <w:pStyle w:val="null3"/>
              <w:jc w:val="both"/>
            </w:pPr>
            <w:r>
              <w:rPr>
                <w:rFonts w:ascii="仿宋_GB2312" w:hAnsi="仿宋_GB2312" w:cs="仿宋_GB2312" w:eastAsia="仿宋_GB2312"/>
                <w:sz w:val="24"/>
              </w:rPr>
              <w:t>5.其他行政辅助服务</w:t>
            </w:r>
          </w:p>
          <w:p>
            <w:pPr>
              <w:pStyle w:val="null3"/>
              <w:jc w:val="both"/>
            </w:pPr>
            <w:r>
              <w:rPr>
                <w:rFonts w:ascii="仿宋_GB2312" w:hAnsi="仿宋_GB2312" w:cs="仿宋_GB2312" w:eastAsia="仿宋_GB2312"/>
                <w:sz w:val="24"/>
              </w:rPr>
              <w:t>根据临时安排，提供如信息统计、报表填报等不涉及执法决定的辅助性服务。</w:t>
            </w:r>
          </w:p>
          <w:p>
            <w:pPr>
              <w:pStyle w:val="null3"/>
              <w:ind w:left="120"/>
              <w:jc w:val="both"/>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服务要求</w:t>
            </w:r>
            <w:r>
              <w:rPr>
                <w:rFonts w:ascii="仿宋_GB2312" w:hAnsi="仿宋_GB2312" w:cs="仿宋_GB2312" w:eastAsia="仿宋_GB2312"/>
                <w:sz w:val="24"/>
                <w:b/>
              </w:rPr>
              <w:t>(如对人员配置、专业设备、服务标准等)</w:t>
            </w:r>
          </w:p>
          <w:p>
            <w:pPr>
              <w:pStyle w:val="null3"/>
              <w:ind w:left="120"/>
              <w:jc w:val="both"/>
            </w:pPr>
            <w:r>
              <w:rPr>
                <w:rFonts w:ascii="仿宋_GB2312" w:hAnsi="仿宋_GB2312" w:cs="仿宋_GB2312" w:eastAsia="仿宋_GB2312"/>
                <w:sz w:val="24"/>
              </w:rPr>
              <w:t>1.服务启动与时间保障</w:t>
            </w:r>
          </w:p>
          <w:p>
            <w:pPr>
              <w:pStyle w:val="null3"/>
              <w:ind w:left="120"/>
              <w:jc w:val="both"/>
            </w:pPr>
            <w:r>
              <w:rPr>
                <w:rFonts w:ascii="仿宋_GB2312" w:hAnsi="仿宋_GB2312" w:cs="仿宋_GB2312" w:eastAsia="仿宋_GB2312"/>
                <w:sz w:val="24"/>
              </w:rPr>
              <w:t>合同签订后，供应商须全面启动上述服务。服务时段与采购单位工</w:t>
            </w:r>
            <w:r>
              <w:rPr>
                <w:rFonts w:ascii="仿宋_GB2312" w:hAnsi="仿宋_GB2312" w:cs="仿宋_GB2312" w:eastAsia="仿宋_GB2312"/>
                <w:sz w:val="24"/>
              </w:rPr>
              <w:t>作时间保持一致，确保工作日全时段服务覆盖。</w:t>
            </w:r>
          </w:p>
          <w:p>
            <w:pPr>
              <w:pStyle w:val="null3"/>
              <w:ind w:left="120"/>
              <w:jc w:val="both"/>
            </w:pPr>
            <w:r>
              <w:rPr>
                <w:rFonts w:ascii="仿宋_GB2312" w:hAnsi="仿宋_GB2312" w:cs="仿宋_GB2312" w:eastAsia="仿宋_GB2312"/>
                <w:sz w:val="24"/>
              </w:rPr>
              <w:t>2.服务行为规范</w:t>
            </w:r>
          </w:p>
          <w:p>
            <w:pPr>
              <w:pStyle w:val="null3"/>
              <w:ind w:left="120"/>
              <w:jc w:val="both"/>
            </w:pPr>
            <w:r>
              <w:rPr>
                <w:rFonts w:ascii="仿宋_GB2312" w:hAnsi="仿宋_GB2312" w:cs="仿宋_GB2312" w:eastAsia="仿宋_GB2312"/>
                <w:sz w:val="24"/>
              </w:rPr>
              <w:t>服务过程中应态度良好、用语规范。</w:t>
            </w:r>
          </w:p>
          <w:p>
            <w:pPr>
              <w:pStyle w:val="null3"/>
              <w:ind w:left="120"/>
              <w:jc w:val="both"/>
            </w:pPr>
            <w:r>
              <w:rPr>
                <w:rFonts w:ascii="仿宋_GB2312" w:hAnsi="仿宋_GB2312" w:cs="仿宋_GB2312" w:eastAsia="仿宋_GB2312"/>
                <w:sz w:val="24"/>
              </w:rPr>
              <w:t>3.保密义务</w:t>
            </w:r>
          </w:p>
          <w:p>
            <w:pPr>
              <w:pStyle w:val="null3"/>
              <w:ind w:left="120"/>
              <w:jc w:val="both"/>
            </w:pPr>
            <w:r>
              <w:rPr>
                <w:rFonts w:ascii="仿宋_GB2312" w:hAnsi="仿宋_GB2312" w:cs="仿宋_GB2312" w:eastAsia="仿宋_GB2312"/>
                <w:sz w:val="24"/>
              </w:rPr>
              <w:t>供应商须签署保密协议，严格保守工作中接触的一切敏感信息</w:t>
            </w:r>
            <w:r>
              <w:rPr>
                <w:rFonts w:ascii="仿宋_GB2312" w:hAnsi="仿宋_GB2312" w:cs="仿宋_GB2312" w:eastAsia="仿宋_GB2312"/>
                <w:sz w:val="24"/>
              </w:rPr>
              <w:t>(包括但不限于案件内容、举报人信息、内部工作文件等),严禁泄露或用于其他目的。</w:t>
            </w:r>
          </w:p>
          <w:p>
            <w:pPr>
              <w:pStyle w:val="null3"/>
              <w:ind w:left="120"/>
              <w:jc w:val="both"/>
            </w:pPr>
            <w:r>
              <w:rPr>
                <w:rFonts w:ascii="仿宋_GB2312" w:hAnsi="仿宋_GB2312" w:cs="仿宋_GB2312" w:eastAsia="仿宋_GB2312"/>
                <w:sz w:val="24"/>
              </w:rPr>
              <w:t>4.服务连续性与稳定性</w:t>
            </w:r>
          </w:p>
          <w:p>
            <w:pPr>
              <w:pStyle w:val="null3"/>
              <w:ind w:left="120"/>
              <w:jc w:val="both"/>
            </w:pPr>
            <w:r>
              <w:rPr>
                <w:rFonts w:ascii="仿宋_GB2312" w:hAnsi="仿宋_GB2312" w:cs="仿宋_GB2312" w:eastAsia="仿宋_GB2312"/>
                <w:sz w:val="24"/>
              </w:rPr>
              <w:t>供应商应建立服务力量储备机制，确保服务不中断。</w:t>
            </w:r>
          </w:p>
          <w:p>
            <w:pPr>
              <w:pStyle w:val="null3"/>
              <w:ind w:left="120"/>
              <w:jc w:val="both"/>
            </w:pPr>
            <w:r>
              <w:rPr>
                <w:rFonts w:ascii="仿宋_GB2312" w:hAnsi="仿宋_GB2312" w:cs="仿宋_GB2312" w:eastAsia="仿宋_GB2312"/>
                <w:sz w:val="24"/>
                <w:b/>
              </w:rPr>
              <w:t>四、商务要求</w:t>
            </w:r>
          </w:p>
          <w:p>
            <w:pPr>
              <w:pStyle w:val="null3"/>
              <w:jc w:val="both"/>
            </w:pPr>
            <w:r>
              <w:rPr>
                <w:rFonts w:ascii="仿宋_GB2312" w:hAnsi="仿宋_GB2312" w:cs="仿宋_GB2312" w:eastAsia="仿宋_GB2312"/>
                <w:sz w:val="24"/>
              </w:rPr>
              <w:t>(一)服务期限</w:t>
            </w:r>
          </w:p>
          <w:p>
            <w:pPr>
              <w:pStyle w:val="null3"/>
              <w:jc w:val="both"/>
            </w:pPr>
            <w:r>
              <w:rPr>
                <w:rFonts w:ascii="仿宋_GB2312" w:hAnsi="仿宋_GB2312" w:cs="仿宋_GB2312" w:eastAsia="仿宋_GB2312"/>
                <w:sz w:val="24"/>
              </w:rPr>
              <w:t>自合同签订之日起</w:t>
            </w:r>
            <w:r>
              <w:rPr>
                <w:rFonts w:ascii="仿宋_GB2312" w:hAnsi="仿宋_GB2312" w:cs="仿宋_GB2312" w:eastAsia="仿宋_GB2312"/>
                <w:sz w:val="24"/>
              </w:rPr>
              <w:t>12个月内。</w:t>
            </w:r>
          </w:p>
          <w:p>
            <w:pPr>
              <w:pStyle w:val="null3"/>
              <w:jc w:val="both"/>
            </w:pPr>
            <w:r>
              <w:rPr>
                <w:rFonts w:ascii="仿宋_GB2312" w:hAnsi="仿宋_GB2312" w:cs="仿宋_GB2312" w:eastAsia="仿宋_GB2312"/>
                <w:sz w:val="24"/>
              </w:rPr>
              <w:t>(二)款项结算</w:t>
            </w:r>
          </w:p>
          <w:p>
            <w:pPr>
              <w:pStyle w:val="null3"/>
              <w:jc w:val="both"/>
            </w:pPr>
            <w:r>
              <w:rPr>
                <w:rFonts w:ascii="仿宋_GB2312" w:hAnsi="仿宋_GB2312" w:cs="仿宋_GB2312" w:eastAsia="仿宋_GB2312"/>
                <w:sz w:val="24"/>
              </w:rPr>
              <w:t>按月分批支付，具体以合同约定为准。</w:t>
            </w:r>
          </w:p>
          <w:p>
            <w:pPr>
              <w:pStyle w:val="null3"/>
              <w:jc w:val="both"/>
            </w:pPr>
            <w:r>
              <w:rPr>
                <w:rFonts w:ascii="仿宋_GB2312" w:hAnsi="仿宋_GB2312" w:cs="仿宋_GB2312" w:eastAsia="仿宋_GB2312"/>
                <w:sz w:val="24"/>
                <w:b/>
              </w:rPr>
              <w:t>五、其他</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进度要求</w:t>
            </w:r>
          </w:p>
          <w:p>
            <w:pPr>
              <w:pStyle w:val="null3"/>
              <w:jc w:val="both"/>
            </w:pPr>
            <w:r>
              <w:rPr>
                <w:rFonts w:ascii="仿宋_GB2312" w:hAnsi="仿宋_GB2312" w:cs="仿宋_GB2312" w:eastAsia="仿宋_GB2312"/>
                <w:sz w:val="24"/>
              </w:rPr>
              <w:t>合同签订后</w:t>
            </w:r>
            <w:r>
              <w:rPr>
                <w:rFonts w:ascii="仿宋_GB2312" w:hAnsi="仿宋_GB2312" w:cs="仿宋_GB2312" w:eastAsia="仿宋_GB2312"/>
                <w:sz w:val="24"/>
              </w:rPr>
              <w:t>15日内全面开展所有服务事项。</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成果交付要</w:t>
            </w:r>
            <w:r>
              <w:rPr>
                <w:rFonts w:ascii="仿宋_GB2312" w:hAnsi="仿宋_GB2312" w:cs="仿宋_GB2312" w:eastAsia="仿宋_GB2312"/>
                <w:sz w:val="24"/>
              </w:rPr>
              <w:t>求</w:t>
            </w:r>
          </w:p>
          <w:p>
            <w:pPr>
              <w:pStyle w:val="null3"/>
              <w:jc w:val="both"/>
            </w:pPr>
            <w:r>
              <w:rPr>
                <w:rFonts w:ascii="仿宋_GB2312" w:hAnsi="仿宋_GB2312" w:cs="仿宋_GB2312" w:eastAsia="仿宋_GB2312"/>
                <w:sz w:val="24"/>
              </w:rPr>
              <w:t>供应商按采购方交办的任务要求，按时、保质完成各项监管检查辅助服务。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)质量验收标准或规范</w:t>
            </w:r>
          </w:p>
          <w:p>
            <w:pPr>
              <w:pStyle w:val="null3"/>
              <w:jc w:val="both"/>
            </w:pPr>
            <w:r>
              <w:rPr>
                <w:rFonts w:ascii="仿宋_GB2312" w:hAnsi="仿宋_GB2312" w:cs="仿宋_GB2312" w:eastAsia="仿宋_GB2312"/>
                <w:sz w:val="24"/>
              </w:rPr>
              <w:t>供应商提交的交付成果即视为其承诺已全面履行合同义务，若采购</w:t>
            </w:r>
            <w:r>
              <w:rPr>
                <w:rFonts w:ascii="仿宋_GB2312" w:hAnsi="仿宋_GB2312" w:cs="仿宋_GB2312" w:eastAsia="仿宋_GB2312"/>
                <w:sz w:val="24"/>
              </w:rPr>
              <w:t>方事后发现供应商存在未履行、部分履行或虚假陈述的情形，即视为服务不合格。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)违约责任</w:t>
            </w:r>
          </w:p>
          <w:p>
            <w:pPr>
              <w:pStyle w:val="null3"/>
              <w:jc w:val="both"/>
            </w:pPr>
            <w:r>
              <w:rPr>
                <w:rFonts w:ascii="仿宋_GB2312" w:hAnsi="仿宋_GB2312" w:cs="仿宋_GB2312" w:eastAsia="仿宋_GB2312"/>
                <w:sz w:val="24"/>
              </w:rPr>
              <w:t>1.供应商未按合同约定履行服务，采购方有权拒付对应期间的全部服务费。</w:t>
            </w:r>
          </w:p>
          <w:p>
            <w:pPr>
              <w:pStyle w:val="null3"/>
            </w:pPr>
            <w:r>
              <w:rPr>
                <w:rFonts w:ascii="仿宋_GB2312" w:hAnsi="仿宋_GB2312" w:cs="仿宋_GB2312" w:eastAsia="仿宋_GB2312"/>
                <w:sz w:val="24"/>
              </w:rPr>
              <w:t>2.因供应商服务不到位或虚假履行导致采购方被投诉、追责或产生任何损失的，供应商承担全部赔偿责任。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本项目的最终验收由采购人、成交单位共同进行。供应商提交的交付成果即视为其承诺已全面履行合同义务，若采购 方事后发现供应商存在未履行、部分履行或虚假陈述的情形，即视为服务不合格。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合同签订后，成交供应商每月所产生的费用经采购人确认后按季度据实结算，最终结算金额不超过采购预算</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成交供应商每月所产生的费用经采购人确认后按季度据实结算，最终结算金额不超过采购预算</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成交供应商每月所产生的费用经采购人确认后按季度据实结算，最终结算金额不超过采购预算</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成交供应商每月所产生的费用经采购人确认后按季度据实结算，最终结算金额不超过采购预算</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 法定代表人授权书.docx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11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11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位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供应商需提供完整的总体服务方案，内容包括但不限于： ①项目背景；②需求分析；③整体服务目标与实施规划。 二、评审标准 ①完善性：方案全面，对上述3项评审内容均有详细阐述；②可实施性：方案切合项目实际，步骤清晰、合理可行；③针对性：方案紧扣本项目市场监管辅助服务特点，内容科学合理。 三、赋分标准 上述3项内容全部满足评审标准得12分；每缺一项扣4分；每项内容存在缺陷的，每个缺陷扣2分，扣完为止。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投诉举报电话接听服务方案</w:t>
            </w:r>
          </w:p>
        </w:tc>
        <w:tc>
          <w:tcPr>
            <w:tcW w:type="dxa" w:w="2492"/>
          </w:tcPr>
          <w:p>
            <w:pPr>
              <w:pStyle w:val="null3"/>
            </w:pPr>
            <w:r>
              <w:rPr>
                <w:rFonts w:ascii="仿宋_GB2312" w:hAnsi="仿宋_GB2312" w:cs="仿宋_GB2312" w:eastAsia="仿宋_GB2312"/>
              </w:rPr>
              <w:t>一、评审内容 供应商针对“投诉举报电话接听服务”提供专项方案，内容包括但不限于：①值班安排及工作日全时段覆盖保障机②来电接听规范流程（含接听用语、应答礼仪、记录标准）；③来电信息分类、筛选与转办机制（区分一般咨询、投诉举报、紧急事项等类型，明确记录要素与传递路径）；④漏接回拨、来电录音及服务质检、满意度回访与改进机制。 二、评审标准 ①完善性：方案全面，对上述4项评审内容均有详细阐述；②可实施性：方案切合项目实际，流程清晰、操作标准明确，具备可培训性与可考核性；③针对性：方案紧扣市场监管领域投诉举报电话涉密性强、时效要求高、事项类型复杂的特点，能有效保障来电信息的规范记录与准确传递。 三、赋分标准：上述4项内容全部满足评审标准得12分；每缺一项扣3分；每项内容存在缺陷的，每个缺陷扣1分，扣完为止。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台账管理服务方案</w:t>
            </w:r>
          </w:p>
        </w:tc>
        <w:tc>
          <w:tcPr>
            <w:tcW w:type="dxa" w:w="2492"/>
          </w:tcPr>
          <w:p>
            <w:pPr>
              <w:pStyle w:val="null3"/>
            </w:pPr>
            <w:r>
              <w:rPr>
                <w:rFonts w:ascii="仿宋_GB2312" w:hAnsi="仿宋_GB2312" w:cs="仿宋_GB2312" w:eastAsia="仿宋_GB2312"/>
              </w:rPr>
              <w:t>一、评审内容 供应商针对“台账管理服务”与“文件归档整理服务”两大核心内容，提供专项管理方案，内容包括但不限于：①案件电子台账的建立、更新与维护流程（含信息录入规范、分类逻辑、进度跟踪与到期提醒机制）；②纸质及电子文件的归档整理标准、编号规则、保管与检索调阅流程；③信息数据安全保障（防丢失、防泄露、备份机制等）。 二、评审标准 ①完善性：方案全面，对上述3项评审内容均有详细阐述；②可实施性：方案切合项目实际，管理流程清晰、规范，具备可操作性；③针对性：方案紧扣市场监管案件档案的保密性、规范性和高效检索需求，内容科学合理。 三、赋分标准 上述3项内容全部满足评审标准得9分；每缺一项扣3分；每项内容存在缺陷的，每个缺陷扣1分，扣完为止。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文件归档整理服务方案</w:t>
            </w:r>
          </w:p>
        </w:tc>
        <w:tc>
          <w:tcPr>
            <w:tcW w:type="dxa" w:w="2492"/>
          </w:tcPr>
          <w:p>
            <w:pPr>
              <w:pStyle w:val="null3"/>
            </w:pPr>
            <w:r>
              <w:rPr>
                <w:rFonts w:ascii="仿宋_GB2312" w:hAnsi="仿宋_GB2312" w:cs="仿宋_GB2312" w:eastAsia="仿宋_GB2312"/>
              </w:rPr>
              <w:t>一、评审内容 供应商针对“文件归档整理服务”提供专项方案，内容包括但不限于：①日常监管检查相关文件（纸质及电子）的整理、分类与编号规则（含归档范围界定、保管期限划分）；②纸质文件归档操作流程、存储环境要求及防损、防丢措施；③电子文件的命名规范、存储目录结构、备份策略及检索调阅流程；④归档文件的定期清点、移交记录及销毁审批等全生命周期管理。 二、评审标准：①完善性：方案全面，对上述4项评审内容均有详细阐述；②可实施性：方案切合项目实际，整理标准明确、归档流程清晰，具备可培训性与可考核性；③针对性：方案紧扣市场监管文件种类多、涉密性强、调阅频次高的特点，能有效保障归档文件的规范性、安全性与可追溯性。 三、赋分标准：上述4项内容全部满足评审标准得6分；每缺一项扣1.5分；每项内容存在缺陷的，每个缺陷扣0.5分，扣完为止。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日常监管现场辅助执行方案</w:t>
            </w:r>
          </w:p>
        </w:tc>
        <w:tc>
          <w:tcPr>
            <w:tcW w:type="dxa" w:w="2492"/>
          </w:tcPr>
          <w:p>
            <w:pPr>
              <w:pStyle w:val="null3"/>
            </w:pPr>
            <w:r>
              <w:rPr>
                <w:rFonts w:ascii="仿宋_GB2312" w:hAnsi="仿宋_GB2312" w:cs="仿宋_GB2312" w:eastAsia="仿宋_GB2312"/>
              </w:rPr>
              <w:t>一、评审内容 供应商针对“日常监管辅助服务”的具体执行环节，提供专项方案，内容包括但不限于：①现场检查前资料准备的标准化流程与核查机制（确保文件无遗漏、无错误）；②检查后数据录入的操作规范与时效保障方案（确保录入准确、及时）；③巡查记录整理、文书打印及复印的规范化作业流程与质量把控措施。 二、评审标准 ①完善性：方案全面，对上述3项评审内容均有详细阐述；②可实施性：流程设计清晰、操作标准明确，能切实指导甲方规范作业；③针对性：方案紧扣市场监管现场执法的行政支持需求，能有效提升执法的工作效率。 三、赋分标准 上述3项内容全部满足评审标准得9分；每缺一项扣3分；每项内容存在缺陷的，每个缺陷扣1分，扣完为止。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其他行政辅助服务方案</w:t>
            </w:r>
          </w:p>
        </w:tc>
        <w:tc>
          <w:tcPr>
            <w:tcW w:type="dxa" w:w="2492"/>
          </w:tcPr>
          <w:p>
            <w:pPr>
              <w:pStyle w:val="null3"/>
            </w:pPr>
            <w:r>
              <w:rPr>
                <w:rFonts w:ascii="仿宋_GB2312" w:hAnsi="仿宋_GB2312" w:cs="仿宋_GB2312" w:eastAsia="仿宋_GB2312"/>
              </w:rPr>
              <w:t>一、评审内容 供应商针对“其他行政辅助服务”中的临时任务与报表工作，提供专项方案，内容包括但不限于：①承接临时性任务的工作分配与响应机制（含工作调配、应急处理）；②信息统计工作的数据采集、汇总、校验与提交流程规范；③各类报表填报的操作规程、审核机制及易错点防范措施。 二、评审标准 ①完善性：方案全面，对上述3项评审内容均有详细阐述；②可实施性：工作机制灵活高效，统计与填报流程清晰，具备可执行性；③针对性：方案能科学应对任务突发性与数据准确性要求，避免对采购方决策产生误导，且不越权涉及执法决定。 三、赋分标准 上述3项内容全部满足评审标准得9分；每缺一项扣3分；每项内容存在缺陷的，每个缺陷扣1分，扣完为止。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需提供详细的服务质量保障措施方案，内容包括但不限于：①服务保障体系（如服务质量标准、内部考核机制）；②服务质量管理团队架构及职责；③对服务成果的定期审查方案及不合格服务的整改补救措施（需与需求书“质量验收标准”对应）。 二、评审标准：①完善性：方案全面，对上述3项评审内容均有详细阐述；②可实施性：方案切合项目实际，质量标准、考核机制清晰可行；③针对性：方案能有效应对“虚假履行、服务不到位”等核心风险，内容科学合理。 赋分标准 上述3项内容全部满足评审标准得9分；每缺一项扣3分；每项内容存在缺陷的，每个缺陷扣1分，扣完为止。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需提供针对本项目的应急措施方案，内容包括但不限于：①应急组织体系；②应急响应安排，突发任务增量的应急响应等；③应急团队配置及职责；④突发公共事件应急措施（如突发公共卫生事件、自然灾害等情况下保障服务连续性的预案）。 二、评审标准 ①完善性：方案全面，对上述4项评审内容均有详细阐述；②可实施性：方案切合项目实际，应急流程清晰、资源储备明确；③针对性：方案能有效应对本项目服务中断的主要风险，确保服务稳定性。 三、赋分标准上述4项内容全部满足评审标准得8分；每缺一项扣2分；每项内容存在缺陷的，每个缺陷扣1分，扣完为止。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一、评审内容 供应商需提供本项目的廉洁与保密措施方案，内容包括但不限于：①廉洁从业管理制度；②廉洁从业监督机制；③完善的保密制度（需明确保密范围涵盖案件内容、举报人信息、内部文件等，并签署保密协议）；④保密、管理与追责办法。 二、评审标准 ①完善性：方案全面，对上述3项评审内容均有详细阐述；②可实施性：方案切合项目实际，制度设计严密、可执行；③针对性：方案高度契合本项目涉密性强的特点，能有效防止敏感信息泄露。 三、赋分标准上述4项内容全部满足评审标准得10分；每缺一项扣2.5分；每项内容存在缺陷的，每个缺陷扣1分，扣完为止。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供应商近三年（2023年05月01日起至今）具有类似项目业绩，每提供1项有效业绩得2分，最高得6分。 注：业绩以合同或中标通知书复印件加盖公章为准，时间以合同签订日期或中标通知书落款时间为准。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磋商报价得分=（磋商基准价/最终磋商报价）×价格权值×100% 注：1、计算分数时四舍五入取小数点后两位。 2、专门面向中小企业采购项目不享受优惠政策。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