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版本号：HZ-J2026027C20260623001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2026年森林病虫害防治药剂注杆作业实施项目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HZ-J2026027C</w:t>
      </w:r>
      <w:r>
        <w:br/>
      </w:r>
      <w:r>
        <w:br/>
      </w:r>
      <w:r>
        <w:br/>
      </w:r>
    </w:p>
    <w:p>
      <w:pPr>
        <w:pStyle w:val="null3"/>
        <w:jc w:val="center"/>
        <w:outlineLvl w:val="2"/>
      </w:pPr>
      <w:r>
        <w:rPr>
          <w:rFonts w:ascii="仿宋_GB2312" w:hAnsi="仿宋_GB2312" w:cs="仿宋_GB2312" w:eastAsia="仿宋_GB2312"/>
          <w:sz w:val="28"/>
          <w:b/>
        </w:rPr>
        <w:t>汉中市褒河林场</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汉中市褒河林场</w:t>
      </w:r>
      <w:r>
        <w:rPr>
          <w:rFonts w:ascii="仿宋_GB2312" w:hAnsi="仿宋_GB2312" w:cs="仿宋_GB2312" w:eastAsia="仿宋_GB2312"/>
        </w:rPr>
        <w:t>委托，拟对</w:t>
      </w:r>
      <w:r>
        <w:rPr>
          <w:rFonts w:ascii="仿宋_GB2312" w:hAnsi="仿宋_GB2312" w:cs="仿宋_GB2312" w:eastAsia="仿宋_GB2312"/>
        </w:rPr>
        <w:t>2026年森林病虫害防治药剂注杆作业实施项目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HZ-J2026027C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2026年森林病虫害防治药剂注杆作业实施项目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本次森林病虫害防治重点区域为天台、褒姒、平安、黄花河、土地岭、山神庙管护站区域松林。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采购包1（汉中市褒河林场2026年森林病虫害防治药剂注杆作业实施项目）：属于专门面向中小企业采购。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供应商应授权合法的人员参加磋商全过程：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 注：若供应商未提供《汉中市政府采购供应商资格承诺函》，应当按照《中华人民共和国政府采购法》及其实施条例等相关法律法规规定，提供相应的证明材料：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7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7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pPr>
        <w:pStyle w:val="null3"/>
      </w:pPr>
      <w:r>
        <w:rPr>
          <w:rFonts w:ascii="仿宋_GB2312" w:hAnsi="仿宋_GB2312" w:cs="仿宋_GB2312" w:eastAsia="仿宋_GB2312"/>
        </w:rPr>
        <w:t>4、供应商的资格要求1：供应商提供的农药产品必须提供“三证”(分别是《农药登记证》、《农药生产许可证或农药生产批准文件》、《产品执行标准（产品执行国家标准、行业标准的提供对应标准文本；执行企业标准的，须提供企业标准备案证明）》。（材料应清晰可辨并进行电子签章）</w:t>
      </w:r>
    </w:p>
    <w:p>
      <w:pPr>
        <w:pStyle w:val="null3"/>
      </w:pPr>
      <w:r>
        <w:rPr>
          <w:rFonts w:ascii="仿宋_GB2312" w:hAnsi="仿宋_GB2312" w:cs="仿宋_GB2312" w:eastAsia="仿宋_GB2312"/>
        </w:rPr>
        <w:t>5、供应商的资格要求2：供应商须具备中国林学会或各省林学会颁发的有效期内的林业有害生物防治资质证书(丙级及以上)。（材料应清晰可辨并进行电子签章）</w:t>
      </w:r>
    </w:p>
    <w:p>
      <w:pPr>
        <w:pStyle w:val="null3"/>
      </w:pPr>
      <w:r>
        <w:rPr>
          <w:rFonts w:ascii="仿宋_GB2312" w:hAnsi="仿宋_GB2312" w:cs="仿宋_GB2312" w:eastAsia="仿宋_GB2312"/>
        </w:rPr>
        <w:t>6、不接受联合体磋商：不接受联合体磋商，按照格式填写承诺书。（材料应清晰可辨并进行电子签章）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汉中市褒河林场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汉中市汉台区河东店镇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闻先生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0916-2296216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依据《国家计委关于印发招标代理服务收费管理暂行办法的通知》（计价格〔2002〕1980号）和国家发改委办公厅颁发的《关于招标代理服务收费有关问题的通知》（发改办价格〔2003〕857号）文件规定标准收取（具体金额以采购结果公告发布为准）。2.采购代理服务费缴纳账户：账户名称：陕西汉正项目管理有限公司；开户行：中国建设银行股份有限公司西安科技二路支行；账号：6105 0110 7710 0000 0926。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汉中市褒河林场</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汉中市褒河林场</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汉中市褒河林场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本项目服务过程中产生的所有知识产权及使用权归采购人所有。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联系人：马敏</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本次森林病虫害防治重点区域为天台、褒姒、平安、黄花河、土地岭、山神庙管护站区域松林。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2026年森林病虫害防治药剂注杆作业实施</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标的名称：2026年森林病虫害防治药剂注杆作业实施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2"/>
                <w:b/>
              </w:rPr>
              <w:t>一、</w:t>
            </w:r>
            <w:r>
              <w:rPr>
                <w:rFonts w:ascii="仿宋_GB2312" w:hAnsi="仿宋_GB2312" w:cs="仿宋_GB2312" w:eastAsia="仿宋_GB2312"/>
                <w:sz w:val="22"/>
                <w:b/>
              </w:rPr>
              <w:t>森林病虫害防治基本情况</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汉中市褒河林场位于秦岭南麓，地处暖温带向亚热带过渡区域，林区总面积达</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36万亩，森林覆盖率高达92%，以天然次生针阔混交林为主，兼有华山松、油松、栎类等优势树种，是秦岭生物多样性保护重点区域，也是汉江流域重要的水源涵养林区，在维护区域生态安全、保障南水北调中线水源质量方面发挥着不可替代的作用。</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近年来，受气候变暖、极端天气频发及林分结构复杂等因素影响，林场森林病虫害呈现多发、频发态势。经</w:t>
            </w:r>
            <w:r>
              <w:rPr>
                <w:rFonts w:ascii="仿宋_GB2312" w:hAnsi="仿宋_GB2312" w:cs="仿宋_GB2312" w:eastAsia="仿宋_GB2312"/>
                <w:sz w:val="21"/>
              </w:rPr>
              <w:t>2025年度全域监测调查，当前主要面临松材线虫病潜在风险持续高位，林场毗邻疫区，马尾松、油松等寄主树种分布广泛，疫情防控形势严峻，若不及时防控，极易造成林木生长量下降甚至大面积落叶致死。</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针对上述病虫害特点，传统喷雾防治受限于林区地形复杂、海拔落差大、部分区域无公网信号等客观条件，作业效率低且易造成非靶标生物伤害。药剂注干技术作为精准防治的核心手段，通过直接向树体木质部输送药剂，实现药剂在树体内的系统传导，对蛀干害虫杀灭率可达</w:t>
            </w:r>
            <w:r>
              <w:rPr>
                <w:rFonts w:ascii="仿宋_GB2312" w:hAnsi="仿宋_GB2312" w:cs="仿宋_GB2312" w:eastAsia="仿宋_GB2312"/>
                <w:sz w:val="21"/>
              </w:rPr>
              <w:t>90%以上，同时避免药剂飘移对周边水体、土壤及非靶标生物的影响，尤其适用于水源涵养区、生物多样性核心区的病虫害防治。</w:t>
            </w:r>
          </w:p>
          <w:p>
            <w:pPr>
              <w:pStyle w:val="null3"/>
            </w:pPr>
            <w:r>
              <w:rPr>
                <w:rFonts w:ascii="仿宋_GB2312" w:hAnsi="仿宋_GB2312" w:cs="仿宋_GB2312" w:eastAsia="仿宋_GB2312"/>
                <w:sz w:val="21"/>
              </w:rPr>
              <w:t xml:space="preserve">   4.</w:t>
            </w:r>
            <w:r>
              <w:rPr>
                <w:rFonts w:ascii="仿宋_GB2312" w:hAnsi="仿宋_GB2312" w:cs="仿宋_GB2312" w:eastAsia="仿宋_GB2312"/>
                <w:sz w:val="21"/>
              </w:rPr>
              <w:t>根据历史调查情况，本次森林病虫害防治重点区域为天台、褒姒、平安、黄花河、土地岭、山神庙管护站区域松林。</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2"/>
                <w:b/>
              </w:rPr>
              <w:t>二、</w:t>
            </w:r>
            <w:r>
              <w:rPr>
                <w:rFonts w:ascii="仿宋_GB2312" w:hAnsi="仿宋_GB2312" w:cs="仿宋_GB2312" w:eastAsia="仿宋_GB2312"/>
                <w:sz w:val="22"/>
                <w:b/>
              </w:rPr>
              <w:t>依据</w:t>
            </w:r>
          </w:p>
          <w:p>
            <w:pPr>
              <w:pStyle w:val="null3"/>
              <w:ind w:firstLine="420"/>
              <w:jc w:val="both"/>
            </w:pPr>
            <w:r>
              <w:rPr>
                <w:rFonts w:ascii="仿宋_GB2312" w:hAnsi="仿宋_GB2312" w:cs="仿宋_GB2312" w:eastAsia="仿宋_GB2312"/>
                <w:sz w:val="21"/>
              </w:rPr>
              <w:t>1.《森林病虫害防治条例》；</w:t>
            </w:r>
          </w:p>
          <w:p>
            <w:pPr>
              <w:pStyle w:val="null3"/>
              <w:ind w:firstLine="420"/>
              <w:jc w:val="both"/>
            </w:pPr>
            <w:r>
              <w:rPr>
                <w:rFonts w:ascii="仿宋_GB2312" w:hAnsi="仿宋_GB2312" w:cs="仿宋_GB2312" w:eastAsia="仿宋_GB2312"/>
                <w:sz w:val="21"/>
              </w:rPr>
              <w:t>2.《中华人民共和国森林法》；</w:t>
            </w:r>
          </w:p>
          <w:p>
            <w:pPr>
              <w:pStyle w:val="null3"/>
              <w:ind w:firstLine="420"/>
              <w:jc w:val="both"/>
            </w:pPr>
            <w:r>
              <w:rPr>
                <w:rFonts w:ascii="仿宋_GB2312" w:hAnsi="仿宋_GB2312" w:cs="仿宋_GB2312" w:eastAsia="仿宋_GB2312"/>
                <w:sz w:val="21"/>
              </w:rPr>
              <w:t>3.《林业有害生物防治技术规程》(GB/T38171-2019）；</w:t>
            </w:r>
          </w:p>
          <w:p>
            <w:pPr>
              <w:pStyle w:val="null3"/>
              <w:ind w:firstLine="420"/>
              <w:jc w:val="both"/>
            </w:pPr>
            <w:r>
              <w:rPr>
                <w:rFonts w:ascii="仿宋_GB2312" w:hAnsi="仿宋_GB2312" w:cs="仿宋_GB2312" w:eastAsia="仿宋_GB2312"/>
                <w:sz w:val="21"/>
              </w:rPr>
              <w:t>4.《农药管理条例》及《林业用药安全使用规范》；</w:t>
            </w:r>
          </w:p>
          <w:p>
            <w:pPr>
              <w:pStyle w:val="null3"/>
              <w:ind w:firstLine="420"/>
              <w:jc w:val="both"/>
            </w:pPr>
            <w:r>
              <w:rPr>
                <w:rFonts w:ascii="仿宋_GB2312" w:hAnsi="仿宋_GB2312" w:cs="仿宋_GB2312" w:eastAsia="仿宋_GB2312"/>
                <w:sz w:val="21"/>
              </w:rPr>
              <w:t>5.国家林业和草原局《松材线虫病防治技术方案(2024年版)》(林生发(2024)78号)；</w:t>
            </w:r>
          </w:p>
          <w:p>
            <w:pPr>
              <w:pStyle w:val="null3"/>
              <w:ind w:firstLine="420"/>
              <w:jc w:val="both"/>
            </w:pPr>
            <w:r>
              <w:rPr>
                <w:rFonts w:ascii="仿宋_GB2312" w:hAnsi="仿宋_GB2312" w:cs="仿宋_GB2312" w:eastAsia="仿宋_GB2312"/>
                <w:sz w:val="21"/>
              </w:rPr>
              <w:t>6.《陕西省林业有害生物防治规划(2021-2025年)》；</w:t>
            </w:r>
          </w:p>
          <w:p>
            <w:pPr>
              <w:pStyle w:val="null3"/>
              <w:ind w:firstLine="420"/>
              <w:jc w:val="both"/>
            </w:pPr>
            <w:r>
              <w:rPr>
                <w:rFonts w:ascii="仿宋_GB2312" w:hAnsi="仿宋_GB2312" w:cs="仿宋_GB2312" w:eastAsia="仿宋_GB2312"/>
                <w:sz w:val="21"/>
              </w:rPr>
              <w:t>7.《陕西省林业有害生物防治检疫条例》；</w:t>
            </w:r>
          </w:p>
          <w:p>
            <w:pPr>
              <w:pStyle w:val="null3"/>
              <w:ind w:firstLine="420"/>
              <w:jc w:val="both"/>
            </w:pPr>
            <w:r>
              <w:rPr>
                <w:rFonts w:ascii="仿宋_GB2312" w:hAnsi="仿宋_GB2312" w:cs="仿宋_GB2312" w:eastAsia="仿宋_GB2312"/>
                <w:sz w:val="21"/>
              </w:rPr>
              <w:t>8.《陕西省林业局关于加强林业有害生物防治药剂药械管理的通知》；</w:t>
            </w:r>
          </w:p>
          <w:p>
            <w:pPr>
              <w:pStyle w:val="null3"/>
            </w:pPr>
            <w:r>
              <w:rPr>
                <w:rFonts w:ascii="仿宋_GB2312" w:hAnsi="仿宋_GB2312" w:cs="仿宋_GB2312" w:eastAsia="仿宋_GB2312"/>
                <w:sz w:val="21"/>
              </w:rPr>
              <w:t xml:space="preserve">    9.其他相关法规及文件。</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2"/>
                <w:b/>
              </w:rPr>
              <w:t>三、防治措施</w:t>
            </w:r>
          </w:p>
          <w:p>
            <w:pPr>
              <w:pStyle w:val="null3"/>
              <w:ind w:firstLine="420"/>
              <w:jc w:val="both"/>
            </w:pPr>
            <w:r>
              <w:rPr>
                <w:rFonts w:ascii="仿宋_GB2312" w:hAnsi="仿宋_GB2312" w:cs="仿宋_GB2312" w:eastAsia="仿宋_GB2312"/>
                <w:sz w:val="21"/>
              </w:rPr>
              <w:t>1.打孔插药瓶防治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根据林场森林病虫害发生特点及2026年发生趋势预测，药剂注干作业坚持“分区施策、绿色高效”的原则，采取差异化的防治技术措施，确保精准除治、生态安全。选用取得国家农药登记证、符合《林业用药安全使用规范》的内吸性药剂，优先选择对非靶标生物低毒、在土壤中易降解的品种，严禁使用高毒、高残留农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2）甲氨基阿维菌素苯甲酸盐(药剂规格:30-50ml);药物有效含量:&gt;2%;剂型:柱干剂;农药产品三证齐全。</w:t>
            </w:r>
          </w:p>
          <w:p>
            <w:pPr>
              <w:pStyle w:val="null3"/>
              <w:ind w:firstLine="420"/>
              <w:jc w:val="both"/>
            </w:pPr>
            <w:r>
              <w:rPr>
                <w:rFonts w:ascii="仿宋_GB2312" w:hAnsi="仿宋_GB2312" w:cs="仿宋_GB2312" w:eastAsia="仿宋_GB2312"/>
                <w:sz w:val="21"/>
              </w:rPr>
              <w:t>2.注射要求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1）施药时期:松树休眠期(根据当年当地气温和雨水情况做适当调整）。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2）施药方法: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2.1）打孔:在树干1m以下(钻孔高度距地面30-50公分，因地势最高不能超过1m)，选择表面光滑无死节，无受伤部位打孔，打孔器杆与树干成45°夹角，夹角开口向上，孔深度5-8cm(木质部)，其中需6mm-7mm的钻头，太大的钻头打孔容易造成注射液溢出注入孔，造成防治无效、浪费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2.2）扭盖:移去或剪开注射瓶的瓶尖头部。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2.3）入树:头部全部插入注入孔，保证药液进入木质部，通过导管往上输送。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2.4）开孔:在注射瓶底开出气空，即可输液(通气盲孔扎透即可，注药瓶内药液在5天左右时间流完)。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2.5）堵孔:输液结束后应封住伤口。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2.6）施药用量:药量一定要足，要按树木的胸径，注入足量的药物(树干胸径20公分以内，30ml/棵、树干胸径15-25公分以内，50ml/棵、树干胸径25-35公分以内，80ml/棵、树干胸径35公分以上，100-150ml/棵)。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3）施工单位必须按时、按指定区域完成注药工作。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4）施工单位安排专业技术人员跟班作业负责注药工作，按相关技术要求作业。</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标识编号:对树干注药的每株松木进行标记和信息登记，统一编号并挂牌、定位、拍照。标识的内容、样式送甲方审核同意后方可使用，标识应颜色醒目，标记信息清晰，固定于距离地面1.5m处，标识包含但不限于以下内容:树木编号、项目名称、防治公司、施工年度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6）检查注药:注药1周内，逐一检查注药质量，回收药瓶、封闭注药孔，发现有渗漏、注药受阻等不符合质量要求的，要重新注药。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记录要求:注药过程施工单位对操作过程进行详尽的记录(包含纸质记录及电子照片)，包括树木所处地理位置经纬度(含所有除治树木经纬度列表)、标号、胸径、株高、树种、生长情况、注药量(支数)等，该记录经施工单位、监理单位、褒河林场各管护站站长签字后生效，作为最终核算的依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项目必须配备足够的人员进行药物注射，作业期间，所有的安全责任及赔偿均由施工单位自行承担。加强宣传，在注药期间，采取张贴告示、树立安全警示标志等措施，提醒周围群众勿破坏药物;注射结束后回收空药瓶并覆孔，回收空药瓶并进行无害化处理。</w:t>
            </w:r>
          </w:p>
          <w:p>
            <w:pPr>
              <w:pStyle w:val="null3"/>
              <w:ind w:firstLine="420"/>
              <w:jc w:val="both"/>
            </w:pPr>
            <w:r>
              <w:rPr>
                <w:rFonts w:ascii="仿宋_GB2312" w:hAnsi="仿宋_GB2312" w:cs="仿宋_GB2312" w:eastAsia="仿宋_GB2312"/>
                <w:sz w:val="21"/>
              </w:rPr>
              <w:t>3.药剂与废弃物管理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1）药剂储存:施工单位药剂集中存放于专用药库(阴凉、干燥、通风，远离水源)，实行“双人双锁”管理，建立药剂出入库台账，记录药剂名称、数量、领用人、使用区域。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2）废弃物回收:注干作业产生的废弃药瓶等，按“谁作业、谁回收”原则。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设计内容及实施要求，分阶段开展检查验收工作，核实药品数量、作业数量、质量及防控措施落实情况。验收流程分为施工单位自检、监理检查、林场领导小组自查、上级主管部门复查，确保防治成效达标。项目的验收由项目领导小组负责检查、签字并确认项目质量。2.验收内容由防治药剂专项验收、施工作业竣工验收组成。一是防治药剂专项验收。乙方提供的每批次防治药剂在使用前，必须要经过甲方验收合格后方可使用，甲方验收人员将依据农药“三证”扫描件、合同、发票，核查农药来源和标签，验收农药剂型、剂量、有效期以及总用药量。二是施工作业验收。乙方按甲方要求完成施工作业，经自查合格后向甲方申请验收，并提供全套项目施工资料。甲方验收小组将依照项目方案、设计、施工合同等文件，采取现场随机抽样办法，对施工作业记录资料进行核查，通过标准为符合施工质量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2026年12月底前完成。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依据国家及行业现行标准和技术规范。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进度款，注药完成并经甲方自查验收后，达到付款条件起10个工作日内，支付合同总金额的40.0%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进度款，待上级验收后，达到付款条件起10个工作日内，支付合同总金额的10.0%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合同在履行过程中发生的争议，当事人双方应协商解决，协商达不成一致时，可向采购方所在地仲裁委员会申请仲裁或者向人民法院提请诉讼。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2.成交供应商在采购结果发布后3个工作日内向代理机构提交纸质版响应文件以便于存档，响应文件正本1份，副本2份（可以使用签章文件直接打印），电子版文件2份（以U盘为载体，电子化交易平台上传签章版PDF格式），纸质响应文件均须A4纸打印，分别各自装订成册。线下递交响应文件地点：汉中市南郑区南郑大道南300米（南郑工业园区管委会二楼）；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 注：若供应商未提供《汉中市政府采购供应商资格承诺函》，应当按照《中华人民共和国政府采购法》及其实施条例等相关法律法规规定，提供相应的证明材料：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7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7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供应商的资格要求1</w:t>
            </w:r>
          </w:p>
        </w:tc>
        <w:tc>
          <w:tcPr>
            <w:tcW w:type="dxa" w:w="3322"/>
          </w:tcPr>
          <w:p>
            <w:pPr>
              <w:pStyle w:val="null3"/>
            </w:pPr>
            <w:r>
              <w:rPr>
                <w:rFonts w:ascii="仿宋_GB2312" w:hAnsi="仿宋_GB2312" w:cs="仿宋_GB2312" w:eastAsia="仿宋_GB2312"/>
              </w:rPr>
              <w:t>供应商提供的农药产品必须提供“三证”(分别是《农药登记证》、《农药生产许可证或农药生产批准文件》、《产品执行标准（产品执行国家标准、行业标准的提供对应标准文本；执行企业标准的，须提供企业标准备案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供应商的资格要求2</w:t>
            </w:r>
          </w:p>
        </w:tc>
        <w:tc>
          <w:tcPr>
            <w:tcW w:type="dxa" w:w="3322"/>
          </w:tcPr>
          <w:p>
            <w:pPr>
              <w:pStyle w:val="null3"/>
            </w:pPr>
            <w:r>
              <w:rPr>
                <w:rFonts w:ascii="仿宋_GB2312" w:hAnsi="仿宋_GB2312" w:cs="仿宋_GB2312" w:eastAsia="仿宋_GB2312"/>
              </w:rPr>
              <w:t>供应商须具备中国林学会或各省林学会颁发的有效期内的林业有害生物防治资质证书(丙级及以上)。（材料应清晰可辨并进行电子签章）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业绩一览表.docx 供应商应提交的相关资格证明材料.docx 中小企业声明函 残疾人福利性单位声明函 商务要求应答表.docx 标的清单 报价表 服务内容及服务要求应答表.docx 响应函 监狱企业的证明文件 项目团队人员配备表.docx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商务要求应答表.docx 标的清单 报价表 服务内容及服务要求应答表.docx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商务要求应答表.docx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针对本项目制定整体服务方案，包括①对项目背景和需求的理解②工作思路③重点难点分析及应对措施④药剂选型方案⑤打孔注药作业规程⑥打孔注药操作流程⑦项目进度安排⑧人员组织及培训⑨标识与档案管理方案⑩药剂与废弃物管理方案⑪环境保护方案⑫应急处理方案⑬质量保障措施。 二、赋分标准： 1.完整性：满足评审标准得1分；较满足评审标准得0.5分；有缺陷得0分；此项不提供不得分。 2.针对性：满足评审标准得1分；较满足评审标准得0.5分；有缺陷得0分；此项不提供不得分。 3.可实施性：满足评审标准得1分；较满足评审标准得0.5分；有缺陷得0分；此项不提供不得分。 说明: 1.满足评审标准是指:内容逻辑混乱、描述清晰与项目特点匹配、要求的内容无遗漏等情形;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岗位专人负责制度②安全责任制度③质量管控与检查制度④药剂与物资管理制度⑤进度管控与履约制度⑥档案与信息管理制度⑦环境与废弃物管理制度⑧应急管理制度。 二、赋分标准：每提供一项得2分，满分16分；不提供不得分。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一、评审内容:团队成员中具备满足本项目实施的相关专业人员配备。二、赋分标准:每提供1个满足本项目实施的专业人员得2分，最多得10分;未提供不得分。备注:以上人员须提供职称证复印件并加盖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1.供应商针对本项目有售后服务承诺措施（含防治效果跟踪、问题响应等），得4分，未完整承诺或未提供不得分。 2.投标人承诺接到采购人服务要求后，具体能到达现场的时间。未完整承诺或未提供不得分。 3.承诺专人对接并全程跟进服务，得2分，未完整承诺或未提供不得分。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一、评审内容：供应商提供2023年6月1日至今类似项目业绩。 二、赋分标准： 每提供1份得2.5分，满分5分。无此项内容不得分。（注：业绩证明材料以中标（成交）通知书或合同协议书为准，并加盖企业公章。）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详见附件：项目团队人员配备表.docx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