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版本号：zchz-zb-2026-05020260827002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略阳县2026年松材线虫病百日攻坚“即死即清”除治项目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zchz-zb-2026-050</w:t>
      </w:r>
      <w:r>
        <w:br/>
      </w:r>
      <w:r>
        <w:br/>
      </w:r>
      <w:r>
        <w:br/>
      </w:r>
    </w:p>
    <w:p>
      <w:pPr>
        <w:pStyle w:val="null3"/>
        <w:jc w:val="center"/>
        <w:outlineLvl w:val="2"/>
      </w:pPr>
      <w:r>
        <w:rPr>
          <w:rFonts w:ascii="仿宋_GB2312" w:hAnsi="仿宋_GB2312" w:cs="仿宋_GB2312" w:eastAsia="仿宋_GB2312"/>
          <w:sz w:val="28"/>
          <w:b/>
        </w:rPr>
        <w:t>略阳县秦岭生态保护中心</w:t>
      </w:r>
    </w:p>
    <w:p>
      <w:pPr>
        <w:pStyle w:val="null3"/>
        <w:jc w:val="center"/>
        <w:outlineLvl w:val="2"/>
      </w:pPr>
      <w:r>
        <w:rPr>
          <w:rFonts w:ascii="仿宋_GB2312" w:hAnsi="仿宋_GB2312" w:cs="仿宋_GB2312" w:eastAsia="仿宋_GB2312"/>
          <w:sz w:val="28"/>
          <w:b/>
        </w:rPr>
        <w:t>中创名建工程管理集团有限公司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中创名建工程管理集团有限公司</w:t>
      </w:r>
      <w:r>
        <w:rPr>
          <w:rFonts w:ascii="仿宋_GB2312" w:hAnsi="仿宋_GB2312" w:cs="仿宋_GB2312" w:eastAsia="仿宋_GB2312"/>
        </w:rPr>
        <w:t>（以下简称“代理机构”）受</w:t>
      </w:r>
      <w:r>
        <w:rPr>
          <w:rFonts w:ascii="仿宋_GB2312" w:hAnsi="仿宋_GB2312" w:cs="仿宋_GB2312" w:eastAsia="仿宋_GB2312"/>
        </w:rPr>
        <w:t>略阳县秦岭生态保护中心</w:t>
      </w:r>
      <w:r>
        <w:rPr>
          <w:rFonts w:ascii="仿宋_GB2312" w:hAnsi="仿宋_GB2312" w:cs="仿宋_GB2312" w:eastAsia="仿宋_GB2312"/>
        </w:rPr>
        <w:t>委托，拟对</w:t>
      </w:r>
      <w:r>
        <w:rPr>
          <w:rFonts w:ascii="仿宋_GB2312" w:hAnsi="仿宋_GB2312" w:cs="仿宋_GB2312" w:eastAsia="仿宋_GB2312"/>
        </w:rPr>
        <w:t>略阳县2026年松材线虫病百日攻坚“即死即清”除治项目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zchz-zb-2026-050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略阳县2026年松材线虫病百日攻坚“即死即清”除治项目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对全县13个镇(街)(即：横现河街道、金家河、 郭镇、徐家坪、马蹄湾、硖口驿、两河口、仙台坝、黑河、观 音寺、五龙洞、西淮坝、乐素河镇)松材线虫病疫木进行全面除治，共计18750株。</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采购包1（疫木除治施工）：属于专门面向中小企业采购。</w:t>
      </w:r>
    </w:p>
    <w:p>
      <w:pPr>
        <w:pStyle w:val="null3"/>
      </w:pPr>
      <w:r>
        <w:rPr>
          <w:rFonts w:ascii="仿宋_GB2312" w:hAnsi="仿宋_GB2312" w:cs="仿宋_GB2312" w:eastAsia="仿宋_GB2312"/>
        </w:rPr>
        <w:t>采购包2（监理）：属于专门面向中小企业采购。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2、法定代表人证明书及授权书：法定代表人授权委托书（附法定代表人身份证复印件）及被授权委托人身份证（法定代表人参加投标须提供法定代表人身份证及法人身份证明）；</w:t>
      </w:r>
    </w:p>
    <w:p>
      <w:pPr>
        <w:pStyle w:val="null3"/>
      </w:pPr>
      <w:r>
        <w:rPr>
          <w:rFonts w:ascii="仿宋_GB2312" w:hAnsi="仿宋_GB2312" w:cs="仿宋_GB2312" w:eastAsia="仿宋_GB2312"/>
        </w:rPr>
        <w:t>3、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4、是否面向中、小企业：本项目为专门面向中小企业项目，预留份额为整体预留，供应商须填写《中小企业声明函》；</w:t>
      </w:r>
    </w:p>
    <w:p>
      <w:pPr>
        <w:pStyle w:val="null3"/>
      </w:pPr>
      <w:r>
        <w:rPr>
          <w:rFonts w:ascii="仿宋_GB2312" w:hAnsi="仿宋_GB2312" w:cs="仿宋_GB2312" w:eastAsia="仿宋_GB2312"/>
        </w:rPr>
        <w:t>5、其他要求：本项目不接受联合体投标，供应商需提供非联合体书面声明。</w:t>
      </w:r>
    </w:p>
    <w:p>
      <w:pPr>
        <w:pStyle w:val="null3"/>
      </w:pPr>
      <w:r>
        <w:rPr>
          <w:rFonts w:ascii="仿宋_GB2312" w:hAnsi="仿宋_GB2312" w:cs="仿宋_GB2312" w:eastAsia="仿宋_GB2312"/>
        </w:rPr>
        <w:t>6、资质要求：投标人须具有林业有害生物防治作业资质(丙级及以上)。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2、法定代表人证明书及授权书：法定代表人授权委托书（附法定代表人身份证复印件）及被授权委托人身份证（法定代表人参加投标须提供法定代表人身份证及法人身份证明）；</w:t>
      </w:r>
    </w:p>
    <w:p>
      <w:pPr>
        <w:pStyle w:val="null3"/>
      </w:pPr>
      <w:r>
        <w:rPr>
          <w:rFonts w:ascii="仿宋_GB2312" w:hAnsi="仿宋_GB2312" w:cs="仿宋_GB2312" w:eastAsia="仿宋_GB2312"/>
        </w:rPr>
        <w:t>3、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4、是否面向中、小企业：本项目为专门面向中小企业项目，预留份额为整体预留，供应商须填写《中小企业声明函》；</w:t>
      </w:r>
    </w:p>
    <w:p>
      <w:pPr>
        <w:pStyle w:val="null3"/>
      </w:pPr>
      <w:r>
        <w:rPr>
          <w:rFonts w:ascii="仿宋_GB2312" w:hAnsi="仿宋_GB2312" w:cs="仿宋_GB2312" w:eastAsia="仿宋_GB2312"/>
        </w:rPr>
        <w:t>5、其他要求：本项目不接受联合体投标，供应商需提供非联合体书面声明。</w:t>
      </w:r>
    </w:p>
    <w:p>
      <w:pPr>
        <w:pStyle w:val="null3"/>
      </w:pPr>
      <w:r>
        <w:rPr>
          <w:rFonts w:ascii="仿宋_GB2312" w:hAnsi="仿宋_GB2312" w:cs="仿宋_GB2312" w:eastAsia="仿宋_GB2312"/>
        </w:rPr>
        <w:t>6、资质要求：供应商须具备林业有害生物防治监理资质证书（丙级及以上）</w:t>
      </w:r>
    </w:p>
    <w:p>
      <w:pPr>
        <w:pStyle w:val="null3"/>
      </w:pPr>
      <w:r>
        <w:rPr>
          <w:rFonts w:ascii="仿宋_GB2312" w:hAnsi="仿宋_GB2312" w:cs="仿宋_GB2312" w:eastAsia="仿宋_GB2312"/>
        </w:rPr>
        <w:t>7、人员要求：总监理工程师应具有森林保护或林业高级及以上专业技术职称；陕西省林业有害生物社会化防治人员资格证书。（以上两者满足一个即可）</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略阳县秦岭生态保护中心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略阳县县城水灵路林业局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0916-4833420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中创名建工程管理集团有限公司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陕西省汉中市汉台区万仙桥居民委员会四楼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0916-2223660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采购包1：1,406,250.00元</w:t>
            </w:r>
          </w:p>
          <w:p>
            <w:pPr>
              <w:pStyle w:val="null3"/>
            </w:pPr>
            <w:r>
              <w:rPr>
                <w:rFonts w:ascii="仿宋_GB2312" w:hAnsi="仿宋_GB2312" w:cs="仿宋_GB2312" w:eastAsia="仿宋_GB2312"/>
              </w:rPr>
              <w:t>采购包2：93,750.00元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采购包2保证金金额：1,000.00元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开户名称：中创名建工程管理集团有限公司汉中汉台分公司</w:t>
            </w:r>
          </w:p>
          <w:p>
            <w:pPr>
              <w:pStyle w:val="null3"/>
            </w:pPr>
            <w:r>
              <w:rPr>
                <w:rFonts w:ascii="仿宋_GB2312" w:hAnsi="仿宋_GB2312" w:cs="仿宋_GB2312" w:eastAsia="仿宋_GB2312"/>
              </w:rPr>
              <w:t>开户银行：中国工商银行汉中广场支行</w:t>
            </w:r>
          </w:p>
          <w:p>
            <w:pPr>
              <w:pStyle w:val="null3"/>
            </w:pPr>
            <w:r>
              <w:rPr>
                <w:rFonts w:ascii="仿宋_GB2312" w:hAnsi="仿宋_GB2312" w:cs="仿宋_GB2312" w:eastAsia="仿宋_GB2312"/>
              </w:rPr>
              <w:t>银行账号：2606 0540 1920 0057 777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 号规定计取（不足3000元的，统一按3000元收取）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略阳县秦岭生态保护中心</w:t>
      </w:r>
      <w:r>
        <w:rPr>
          <w:rFonts w:ascii="仿宋_GB2312" w:hAnsi="仿宋_GB2312" w:cs="仿宋_GB2312" w:eastAsia="仿宋_GB2312"/>
        </w:rPr>
        <w:t>和</w:t>
      </w:r>
      <w:r>
        <w:rPr>
          <w:rFonts w:ascii="仿宋_GB2312" w:hAnsi="仿宋_GB2312" w:cs="仿宋_GB2312" w:eastAsia="仿宋_GB2312"/>
        </w:rPr>
        <w:t>中创名建工程管理集团有限公司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略阳县秦岭生态保护中心</w:t>
      </w:r>
      <w:r>
        <w:rPr>
          <w:rFonts w:ascii="仿宋_GB2312" w:hAnsi="仿宋_GB2312" w:cs="仿宋_GB2312" w:eastAsia="仿宋_GB2312"/>
        </w:rPr>
        <w:t>负责解释。除上述磋商文件内容，其他内容由</w:t>
      </w:r>
      <w:r>
        <w:rPr>
          <w:rFonts w:ascii="仿宋_GB2312" w:hAnsi="仿宋_GB2312" w:cs="仿宋_GB2312" w:eastAsia="仿宋_GB2312"/>
        </w:rPr>
        <w:t>中创名建工程管理集团有限公司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略阳县秦岭生态保护中心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中创名建工程管理集团有限公司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遵照国家有关规定和最终合同约定执行。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遵照国家有关规定和最终合同约定执行。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中创名建工程管理集团有限公司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中创名建工程管理集团有限公司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中创名建工程管理集团有限公司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联系人：周女士</w:t>
      </w:r>
    </w:p>
    <w:p>
      <w:pPr>
        <w:pStyle w:val="null3"/>
      </w:pPr>
      <w:r>
        <w:rPr>
          <w:rFonts w:ascii="仿宋_GB2312" w:hAnsi="仿宋_GB2312" w:cs="仿宋_GB2312" w:eastAsia="仿宋_GB2312"/>
        </w:rPr>
        <w:t>联系电话：19992619393</w:t>
      </w:r>
    </w:p>
    <w:p>
      <w:pPr>
        <w:pStyle w:val="null3"/>
      </w:pPr>
      <w:r>
        <w:rPr>
          <w:rFonts w:ascii="仿宋_GB2312" w:hAnsi="仿宋_GB2312" w:cs="仿宋_GB2312" w:eastAsia="仿宋_GB2312"/>
        </w:rPr>
        <w:t>地址：陕西省汉中市汉台区万仙桥居民委员会四楼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对全县13个镇(街)(即：横现河街道、金家河、 郭镇、徐家坪、马蹄湾、硖口驿、两河口、仙台坝、黑河、观 音寺、五龙洞、西淮坝、乐素河镇)松材线虫病疫木进行全面除治，共计18750株</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1,406,250.00</w:t>
      </w:r>
    </w:p>
    <w:p>
      <w:pPr>
        <w:pStyle w:val="null3"/>
      </w:pPr>
      <w:r>
        <w:rPr>
          <w:rFonts w:ascii="仿宋_GB2312" w:hAnsi="仿宋_GB2312" w:cs="仿宋_GB2312" w:eastAsia="仿宋_GB2312"/>
        </w:rPr>
        <w:t>采购包最高限价（元）: 1,406,250.00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疫木除治施工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1,406,250.00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93,750.00</w:t>
      </w:r>
    </w:p>
    <w:p>
      <w:pPr>
        <w:pStyle w:val="null3"/>
      </w:pPr>
      <w:r>
        <w:rPr>
          <w:rFonts w:ascii="仿宋_GB2312" w:hAnsi="仿宋_GB2312" w:cs="仿宋_GB2312" w:eastAsia="仿宋_GB2312"/>
        </w:rPr>
        <w:t>采购包最高限价（元）: 93,750.00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监理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93,750.00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标的名称：疫木除治施工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对全县</w:t>
            </w:r>
            <w:r>
              <w:rPr>
                <w:rFonts w:ascii="仿宋_GB2312" w:hAnsi="仿宋_GB2312" w:cs="仿宋_GB2312" w:eastAsia="仿宋_GB2312"/>
              </w:rPr>
              <w:t>13个镇(街)(即：横现河街道、金家河、 郭镇、徐家坪、马蹄湾、硖口驿、两河口、仙台坝、黑河、观 音寺、五龙洞、西淮坝、乐素河镇)松材线虫病疫木进行全面除治，共计18750株。对松材线虫病疫木除治完成率达到100%。</w:t>
            </w:r>
          </w:p>
          <w:p>
            <w:pPr>
              <w:pStyle w:val="null3"/>
            </w:pPr>
            <w:r>
              <w:rPr>
                <w:rFonts w:ascii="仿宋_GB2312" w:hAnsi="仿宋_GB2312" w:cs="仿宋_GB2312" w:eastAsia="仿宋_GB2312"/>
              </w:rPr>
              <w:t>1</w:t>
            </w:r>
            <w:r>
              <w:rPr>
                <w:rFonts w:ascii="仿宋_GB2312" w:hAnsi="仿宋_GB2312" w:cs="仿宋_GB2312" w:eastAsia="仿宋_GB2312"/>
              </w:rPr>
              <w:t>.疫木处理</w:t>
            </w:r>
          </w:p>
          <w:p>
            <w:pPr>
              <w:pStyle w:val="null3"/>
            </w:pPr>
            <w:r>
              <w:rPr>
                <w:rFonts w:ascii="仿宋_GB2312" w:hAnsi="仿宋_GB2312" w:cs="仿宋_GB2312" w:eastAsia="仿宋_GB2312"/>
              </w:rPr>
              <w:t>根据《陕西省松材线虫病疫木处置利用管理办法》第六条</w:t>
            </w:r>
            <w:r>
              <w:rPr>
                <w:rFonts w:ascii="仿宋_GB2312" w:hAnsi="仿宋_GB2312" w:cs="仿宋_GB2312" w:eastAsia="仿宋_GB2312"/>
              </w:rPr>
              <w:t>规定，疫木处置应当采取烧毁或者粉碎处理的方式。</w:t>
            </w:r>
          </w:p>
          <w:p>
            <w:pPr>
              <w:pStyle w:val="null3"/>
            </w:pPr>
            <w:r>
              <w:rPr>
                <w:rFonts w:ascii="仿宋_GB2312" w:hAnsi="仿宋_GB2312" w:cs="仿宋_GB2312" w:eastAsia="仿宋_GB2312"/>
              </w:rPr>
              <w:t>烧毁处理作业要求：疫木伐倒后，将主干切割成</w:t>
            </w:r>
            <w:r>
              <w:rPr>
                <w:rFonts w:ascii="仿宋_GB2312" w:hAnsi="仿宋_GB2312" w:cs="仿宋_GB2312" w:eastAsia="仿宋_GB2312"/>
              </w:rPr>
              <w:t>1—2m 长 的段木，对直径1cm 以上的枝丫、树皮和厚度1cm 以上的木块 必须就地烧毁，焚烧现场要实行专人全过程旁站式监管，确保 用火安全。疫木烧毁处理前应当向防火部门报备，配备扑火工 具(设备),做好各项防火准备工作；禁止在大风天气进行疫 木烧毁处理；在疫木烧毁处理现场，施工作业人员应当按规定 做好影像记录、台账登记，并存档备查，在疫木烧毁完毕确认 无火灾等隐患后方能离开。</w:t>
            </w:r>
          </w:p>
          <w:p>
            <w:pPr>
              <w:pStyle w:val="null3"/>
            </w:pPr>
            <w:r>
              <w:rPr>
                <w:rFonts w:ascii="仿宋_GB2312" w:hAnsi="仿宋_GB2312" w:cs="仿宋_GB2312" w:eastAsia="仿宋_GB2312"/>
              </w:rPr>
              <w:t>粉碎处理作业要求：山场就地粉碎，粉碎物最大粒径不超</w:t>
            </w:r>
            <w:r>
              <w:rPr>
                <w:rFonts w:ascii="仿宋_GB2312" w:hAnsi="仿宋_GB2312" w:cs="仿宋_GB2312" w:eastAsia="仿宋_GB2312"/>
              </w:rPr>
              <w:t>过</w:t>
            </w:r>
            <w:r>
              <w:rPr>
                <w:rFonts w:ascii="仿宋_GB2312" w:hAnsi="仿宋_GB2312" w:cs="仿宋_GB2312" w:eastAsia="仿宋_GB2312"/>
              </w:rPr>
              <w:t>1厘米等),实际作业中根据现场条件和防火要求选择适用。 严格加强疫木监管，坚决禁止疫木外运离开山场，确保除治效 果显著。</w:t>
            </w:r>
          </w:p>
          <w:p>
            <w:pPr>
              <w:pStyle w:val="null3"/>
            </w:pPr>
            <w:r>
              <w:rPr>
                <w:rFonts w:ascii="仿宋_GB2312" w:hAnsi="仿宋_GB2312" w:cs="仿宋_GB2312" w:eastAsia="仿宋_GB2312"/>
              </w:rPr>
              <w:t>2</w:t>
            </w:r>
            <w:r>
              <w:rPr>
                <w:rFonts w:ascii="仿宋_GB2312" w:hAnsi="仿宋_GB2312" w:cs="仿宋_GB2312" w:eastAsia="仿宋_GB2312"/>
              </w:rPr>
              <w:t>.伐桩处理</w:t>
            </w:r>
          </w:p>
          <w:p>
            <w:pPr>
              <w:pStyle w:val="null3"/>
            </w:pPr>
            <w:r>
              <w:rPr>
                <w:rFonts w:ascii="仿宋_GB2312" w:hAnsi="仿宋_GB2312" w:cs="仿宋_GB2312" w:eastAsia="仿宋_GB2312"/>
              </w:rPr>
              <w:t>作业要求：伐桩高度不得超过</w:t>
            </w:r>
            <w:r>
              <w:rPr>
                <w:rFonts w:ascii="仿宋_GB2312" w:hAnsi="仿宋_GB2312" w:cs="仿宋_GB2312" w:eastAsia="仿宋_GB2312"/>
              </w:rPr>
              <w:t>5厘米。在伐桩上放置熏蒸 药剂，用0.1 毫米以上厚度的塑料薄膜覆盖，绑紧后用土将塑 料薄膜四周压实，进行密封熏蒸，杀灭松材线虫、松褐天牛， 清除伐桩病源和媒介昆虫，或使用钢丝直径≥0.17毫米，网目 数≥16目的锻压钢丝网罩覆盖伐桩，并将钢丝网罩严密固定在 伐桩上严防天牛。</w:t>
            </w:r>
          </w:p>
          <w:p>
            <w:pPr>
              <w:pStyle w:val="null3"/>
            </w:pPr>
            <w:r>
              <w:rPr>
                <w:rFonts w:ascii="仿宋_GB2312" w:hAnsi="仿宋_GB2312" w:cs="仿宋_GB2312" w:eastAsia="仿宋_GB2312"/>
              </w:rPr>
              <w:t>3</w:t>
            </w:r>
            <w:r>
              <w:rPr>
                <w:rFonts w:ascii="仿宋_GB2312" w:hAnsi="仿宋_GB2312" w:cs="仿宋_GB2312" w:eastAsia="仿宋_GB2312"/>
              </w:rPr>
              <w:t>.除治标识</w:t>
            </w:r>
          </w:p>
          <w:p>
            <w:pPr>
              <w:pStyle w:val="null3"/>
            </w:pPr>
            <w:r>
              <w:rPr>
                <w:rFonts w:ascii="仿宋_GB2312" w:hAnsi="仿宋_GB2312" w:cs="仿宋_GB2312" w:eastAsia="仿宋_GB2312"/>
                <w:sz w:val="21"/>
              </w:rPr>
              <w:t>除治区域应设置除治标识，内容包括除治地点、除治面积</w:t>
            </w:r>
            <w:r>
              <w:rPr>
                <w:rFonts w:ascii="仿宋_GB2312" w:hAnsi="仿宋_GB2312" w:cs="仿宋_GB2312" w:eastAsia="仿宋_GB2312"/>
                <w:sz w:val="21"/>
              </w:rPr>
              <w:t>和株数、除治方式、作业单位、监督电话等信息。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标的名称：监理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对全县</w:t>
            </w:r>
            <w:r>
              <w:rPr>
                <w:rFonts w:ascii="仿宋_GB2312" w:hAnsi="仿宋_GB2312" w:cs="仿宋_GB2312" w:eastAsia="仿宋_GB2312"/>
              </w:rPr>
              <w:t>13个镇(街)(即：横现河街道、金家河、 郭镇、徐家坪、马蹄湾、硖口驿、两河口、仙台坝、黑河、观 音寺、五龙洞、西淮坝、乐素河镇)松材线虫病疫木进行全面除治，共计18750株。对松材线虫病疫木除治完成率达100%。</w:t>
            </w:r>
            <w:r>
              <w:rPr>
                <w:rFonts w:ascii="仿宋_GB2312" w:hAnsi="仿宋_GB2312" w:cs="仿宋_GB2312" w:eastAsia="仿宋_GB2312"/>
              </w:rPr>
              <w:t>由监理公司对除治承包期内松材线虫病疫木除治清理质量全程跟班监理并上传平台数据，并出具松材线虫病疫木</w:t>
            </w:r>
            <w:r>
              <w:rPr>
                <w:rFonts w:ascii="仿宋_GB2312" w:hAnsi="仿宋_GB2312" w:cs="仿宋_GB2312" w:eastAsia="仿宋_GB2312"/>
              </w:rPr>
              <w:t>“即死即清” 枯死松树清理除治项目质量监理报告，对除治承包区域内疫木除治质量进行量化评价。</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遵照国家有关规定和最终合同约定执行。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遵照国家有关规定和最终合同约定执行。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进度款，完成疫木除治县级验收合格后，达到付款条件起30个工作日内，支付合同总金额的40.0%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进度款，项目完成资料归档并完成审计，达到付款条件起30个工作日内，支付合同总金额的30.0%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进度款，在完成疫木除治质量验收后，达到付款条件起30个工作日内，支付合同总金额的30.0%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进度款，在完成普查和疫木除治质量验收后，达到付款条件起30个工作日内，支付合同总金额的40.0%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进度款，在完成质量验收和工程审计等，达到付款条件起30个工作日内，支付合同总金额的30.0%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遵照国家有关规定和最终合同约定执行。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遵照国家有关规定和最终合同约定执行。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主体资格证明文件.docx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法定代表人授权委托书（附法定代表人身份证复印件）及被授权委托人身份证（法定代表人参加投标须提供法定代表人身份证及法人身份证明）；</w:t>
            </w:r>
          </w:p>
        </w:tc>
        <w:tc>
          <w:tcPr>
            <w:tcW w:type="dxa" w:w="1661"/>
          </w:tcPr>
          <w:p>
            <w:pPr>
              <w:pStyle w:val="null3"/>
            </w:pPr>
            <w:r>
              <w:rPr>
                <w:rFonts w:ascii="仿宋_GB2312" w:hAnsi="仿宋_GB2312" w:cs="仿宋_GB2312" w:eastAsia="仿宋_GB2312"/>
              </w:rPr>
              <w:t>法定代表人证明书及授权书.docx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本项目为专门面向中小企业项目，预留份额为整体预留，供应商须填写《中小企业声明函》；</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非联合体书面声明.docx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投标人须具有林业有害生物防治作业资质(丙级及以上)。</w:t>
            </w:r>
          </w:p>
        </w:tc>
        <w:tc>
          <w:tcPr>
            <w:tcW w:type="dxa" w:w="1661"/>
          </w:tcPr>
          <w:p>
            <w:pPr>
              <w:pStyle w:val="null3"/>
            </w:pPr>
            <w:r>
              <w:rPr>
                <w:rFonts w:ascii="仿宋_GB2312" w:hAnsi="仿宋_GB2312" w:cs="仿宋_GB2312" w:eastAsia="仿宋_GB2312"/>
              </w:rPr>
              <w:t>资质要求.docx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主体资格证明文件.docx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法定代表人授权委托书（附法定代表人身份证复印件）及被授权委托人身份证（法定代表人参加投标须提供法定代表人身份证及法人身份证明）；</w:t>
            </w:r>
          </w:p>
        </w:tc>
        <w:tc>
          <w:tcPr>
            <w:tcW w:type="dxa" w:w="1661"/>
          </w:tcPr>
          <w:p>
            <w:pPr>
              <w:pStyle w:val="null3"/>
            </w:pPr>
            <w:r>
              <w:rPr>
                <w:rFonts w:ascii="仿宋_GB2312" w:hAnsi="仿宋_GB2312" w:cs="仿宋_GB2312" w:eastAsia="仿宋_GB2312"/>
              </w:rPr>
              <w:t>法定代表人证明书及授权书.docx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本项目为专门面向中小企业项目，预留份额为整体预留，供应商须填写《中小企业声明函》；</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非联合体书面声明.docx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供应商须具备林业有害生物防治监理资质证书（丙级及以上）</w:t>
            </w:r>
          </w:p>
        </w:tc>
        <w:tc>
          <w:tcPr>
            <w:tcW w:type="dxa" w:w="1661"/>
          </w:tcPr>
          <w:p>
            <w:pPr>
              <w:pStyle w:val="null3"/>
            </w:pPr>
            <w:r>
              <w:rPr>
                <w:rFonts w:ascii="仿宋_GB2312" w:hAnsi="仿宋_GB2312" w:cs="仿宋_GB2312" w:eastAsia="仿宋_GB2312"/>
              </w:rPr>
              <w:t>资质要求.docx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人员要求</w:t>
            </w:r>
          </w:p>
        </w:tc>
        <w:tc>
          <w:tcPr>
            <w:tcW w:type="dxa" w:w="3322"/>
          </w:tcPr>
          <w:p>
            <w:pPr>
              <w:pStyle w:val="null3"/>
            </w:pPr>
            <w:r>
              <w:rPr>
                <w:rFonts w:ascii="仿宋_GB2312" w:hAnsi="仿宋_GB2312" w:cs="仿宋_GB2312" w:eastAsia="仿宋_GB2312"/>
              </w:rPr>
              <w:t>总监理工程师应具有森林保护或林业高级及以上专业技术职称；陕西省林业有害生物社会化防治人员资格证书。（以上两者满足一个即可）</w:t>
            </w:r>
          </w:p>
        </w:tc>
        <w:tc>
          <w:tcPr>
            <w:tcW w:type="dxa" w:w="1661"/>
          </w:tcPr>
          <w:p>
            <w:pPr>
              <w:pStyle w:val="null3"/>
            </w:pPr>
            <w:r>
              <w:rPr>
                <w:rFonts w:ascii="仿宋_GB2312" w:hAnsi="仿宋_GB2312" w:cs="仿宋_GB2312" w:eastAsia="仿宋_GB2312"/>
              </w:rPr>
              <w:t>人员要求.docx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非联合体书面声明.docx 资质要求.docx 主体资格证明文件.docx 中小企业声明函 商务应答表 服务内容及服务要求应答表 报价表 汉中市政府采购供应商资格承诺函.docx 响应文件封面 残疾人福利性单位声明函 法定代表人证明书及授权书.docx 服务方案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响应文件应按照竞争性磋商文件要求签署、盖章</w:t>
            </w:r>
          </w:p>
        </w:tc>
        <w:tc>
          <w:tcPr>
            <w:tcW w:type="dxa" w:w="1661"/>
          </w:tcPr>
          <w:p>
            <w:pPr>
              <w:pStyle w:val="null3"/>
            </w:pPr>
            <w:r>
              <w:rPr>
                <w:rFonts w:ascii="仿宋_GB2312" w:hAnsi="仿宋_GB2312" w:cs="仿宋_GB2312" w:eastAsia="仿宋_GB2312"/>
              </w:rPr>
              <w:t>非联合体书面声明.docx 资质要求.docx 主体资格证明文件.docx 中小企业声明函 商务应答表 服务内容及服务要求应答表 报价表 汉中市政府采购供应商资格承诺函.docx 响应文件封面 残疾人福利性单位声明函 法定代表人证明书及授权书.docx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报价是否超过竞争性磋商文件中规定的预算金额或者最高限价</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非联合体书面声明.docx 资质要求.docx 主体资格证明文件.docx 中小企业声明函 商务应答表 服务内容及服务要求应答表 报价表 汉中市政府采购供应商资格承诺函.docx 响应文件封面 残疾人福利性单位声明函 法定代表人证明书及授权书.docx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非联合体书面声明.docx 资质要求.docx 主体资格证明文件.docx 中小企业声明函 商务应答表 服务内容及服务要求应答表 报价表 汉中市政府采购供应商资格承诺函.docx 响应文件封面 残疾人福利性单位声明函 法定代表人证明书及授权书.docx 服务方案 标的清单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非联合体书面声明.docx 资质要求.docx 主体资格证明文件.docx 中小企业声明函 商务应答表 服务内容及服务要求应答表 报价表 汉中市政府采购供应商资格承诺函.docx 人员要求.docx 响应文件封面 法定代表人证明书及授权书.docx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响应文件应按照竞争性磋商文件要求签署、盖章</w:t>
            </w:r>
          </w:p>
        </w:tc>
        <w:tc>
          <w:tcPr>
            <w:tcW w:type="dxa" w:w="1661"/>
          </w:tcPr>
          <w:p>
            <w:pPr>
              <w:pStyle w:val="null3"/>
            </w:pPr>
            <w:r>
              <w:rPr>
                <w:rFonts w:ascii="仿宋_GB2312" w:hAnsi="仿宋_GB2312" w:cs="仿宋_GB2312" w:eastAsia="仿宋_GB2312"/>
              </w:rPr>
              <w:t>非联合体书面声明.docx 资质要求.docx 主体资格证明文件.docx 中小企业声明函 商务应答表 服务内容及服务要求应答表 报价表 汉中市政府采购供应商资格承诺函.docx 响应文件封面 人员要求.docx 残疾人福利性单位声明函 法定代表人证明书及授权书.docx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报价是否超过竞争性磋商文件中规定的预算金额或者最高限价</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非联合体书面声明.docx 资质要求.docx 主体资格证明文件.docx 中小企业声明函 商务应答表 服务内容及服务要求应答表 报价表 汉中市政府采购供应商资格承诺函.docx 响应文件封面 人员要求.docx 残疾人福利性单位声明函 法定代表人证明书及授权书.docx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非联合体书面声明.docx 资质要求.docx 主体资格证明文件.docx 中小企业声明函 商务应答表 服务内容及服务要求应答表 报价表 汉中市政府采购供应商资格承诺函.docx 人员要求.docx 响应文件封面 法定代表人证明书及授权书.docx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pPr>
      <w:r>
        <w:rPr>
          <w:rFonts w:ascii="仿宋_GB2312" w:hAnsi="仿宋_GB2312" w:cs="仿宋_GB2312" w:eastAsia="仿宋_GB2312"/>
        </w:rPr>
        <w:t>采购包2：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出适用于本项目的实施方案。包括但不限于：①项目目标及认知；②项⽬实施重点难点分析③总体实施方案（疫木伐除、伐桩控制、疫木销毁、林地清理等）；④安全规范作业（用火安全、伐木安全、用工安全等）；⑤建立除治台账及工作图片和影像资料的档案管理；⑥生物多样性与环境保护措施；⑦服务质量保障措施；⑧野外作业应急措施。 评审标准：1.完整性：⽅案内容全⾯合理、符合逻辑2 .可实施性：⽅案切实可⾏，实施过程务实3 .针对性：⽅案完全切合项⽬实际需求。 赋分标准：满分40分 ①项目目标及认知：满⾜完整性的，得2分，满足可实施性的，得2分，满足针对性的，得1分，有缺陷扣0.5分，不满⾜得0分，满分5分； ②项⽬实施重点难点分析：满⾜完整性的，得2分，满足可实施性的，得2分，满足针对性的，得1分，有缺陷扣0.5分，不满⾜得0分，满分5分； ③总体实施方案（疫木伐除、伐桩控制、疫木销毁、林地清理等）：满⾜完整性的，得2分，满足可实施性的，得2分，满足针对性的，得1分，有缺陷扣0.5分，不满⾜得0分，满分5分； ④安全规范作业（用火安全、伐木安全、用工安全等）：满⾜完整性的，得2分，满足可实施性的，得2分，满足针对性的，得1分，有缺陷扣0.5分，不满⾜得0分，满分5分； ⑤建立除治台账及工作图片和影像资料的档案管理：满⾜完整性的，得2分，满足可实施性的，得2分，满足针对性的，得1分，有缺陷扣0.5分，不满⾜得0分，满分5分； ⑥生物多样性与环境保护措施：满⾜完整性的，得2分，满足可实施性的，得2分，满足针对性的，得1分，有缺陷扣0.5分，不满⾜得0分，满分5分； ⑦服务质量保障措施：满⾜完整性的，得2分，满足可实施性的，得2分，满足针对性的，得1分，有缺陷扣0.5分，不满⾜得0分，满分5分； ⑧野外作业应急措施：满⾜完整性的，得2分，满足可实施性的，得2分，满足针对性的，得1分，有缺陷扣0.5分，不满⾜得0分，满分5分；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①提供人员配置明细表得5分，不提供不得分； ②配备1名项目负责人，并提供身份证及劳动合同等证明材料得2分，提供不全或未提供的不得分； ③配备1名项目技术负责人，并提供身份证及劳动合同等证明材料得2分，提供不全或未提供的不得分； ④除项目负责人及项目技术负责人外，提供5名及以上配置人员相关身份证明得3分；提供4名配置人员相关身份证明得2分，提供3名配置人员相关身份证明得1分，不足3人或不提供均不得分，本项最高3分； ⑤提供主要人员到场及不随意更换人员承诺得2分，不提供不得分。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①提供拟投入设备配置明细表得5分，不提供不得分； ②提供拟投入设备及时进场承诺得3分，不提供不得分； ③提供拟投入设备状况良好，满足项目需求的承诺得3分，不提供不得分； ④应对突发事件具有足够的可调度设备储备确保工作任务正常进行，提供承诺得3分，不提供不得分。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①提供为作业人员购买人身意外伤害险承诺得3分，不提供不得分； ②供应商承诺对疫木流失进行有效监管，不私自外运贩卖得3分，不提供不得分； ③提供焚烧时段现场监管，确保森林防火工作无隐患，无火情发生的承诺得3分，不提供不得分； ④提供磷化铝施药安全承诺得3分，不提供不得分。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供应商提供2023年1月1日至今完成的类似项目业绩证明，每提供一份计2.5分，最高计5.0分；（以合同签订日期为准） 注：业绩须是供应商完成的类似项目，以成交通知书或协议书（合同）加盖公章的复印件为准。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2、满足磋商文件要求且投标价格最低的投标报价为评标基准价，其价格分为满分。其他磋商供应商的价格分统一按照下列公式计算：磋商报价 得分=（评标基准价/磋商报价）×15%×100。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监理实施方案</w:t>
            </w:r>
          </w:p>
        </w:tc>
        <w:tc>
          <w:tcPr>
            <w:tcW w:type="dxa" w:w="2492"/>
          </w:tcPr>
          <w:p>
            <w:pPr>
              <w:pStyle w:val="null3"/>
            </w:pPr>
            <w:r>
              <w:rPr>
                <w:rFonts w:ascii="仿宋_GB2312" w:hAnsi="仿宋_GB2312" w:cs="仿宋_GB2312" w:eastAsia="仿宋_GB2312"/>
              </w:rPr>
              <w:t>监理实施方案内容至少包括①对项目的理解分析；②监理总体的工作目标；③监理内容；④服务方式；⑤监理流程等。 评审标准：1.完整性：⽅案内容全⾯合理、符合逻辑2 .可实施性：⽅案切实可⾏，实施过程务实3 .针对性：⽅案完全切合项⽬实际需求。 赋分标准：满分20分 ①对项目的理解分析：满⾜完整性的，得2分，满足可实施性的，得1分，满足针对性的，得1分，有缺陷扣0.5分，不满⾜得0分，满分4分； ②监理总体的工作目标：满⾜完整性的，得2分，满足可实施性的，得1分，满足针对性的，得1分，有缺陷扣0.5分，不满⾜得0分，满分4分； ③监理内容：满⾜完整性的，得2分，满足可实施性的，得1分，满足针对性的，得1分，有缺陷扣0.5分，不满⾜得0分，满分4分； ④服务方式：满⾜完整性的，得2分，满足可实施性的，得1分，满足针对性的，得1分，有缺陷扣0.5分，不满⾜得0分，满分4分； ⑤监理流程：满⾜完整性的，得2分，满足可实施性的，得1分，满足针对性的，得1分，有缺陷扣0.5分，不满⾜得0分，满分4分；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项目整体控制措施</w:t>
            </w:r>
          </w:p>
        </w:tc>
        <w:tc>
          <w:tcPr>
            <w:tcW w:type="dxa" w:w="2492"/>
          </w:tcPr>
          <w:p>
            <w:pPr>
              <w:pStyle w:val="null3"/>
            </w:pPr>
            <w:r>
              <w:rPr>
                <w:rFonts w:ascii="仿宋_GB2312" w:hAnsi="仿宋_GB2312" w:cs="仿宋_GB2312" w:eastAsia="仿宋_GB2312"/>
              </w:rPr>
              <w:t>项目整体控制措施内容至少包括①项目进度保障措施；②项目质量控制的方法和措施；③人员作业安全措施；④变更控制的方法和措施；⑤投资控制的方法和措施。 评审标准：1.完整性：措施内容全⾯合理、符合逻辑2 .可实施性：措施切实可⾏，实施过程务实3 .针对性：措施完全切合项⽬实际需求。 赋分标准：满分15分 ①项目进度保障措施：满⾜完整性的，得1分，满足可实施性的，得1分，满足针对性的，得1分，有缺陷扣0.5分，不满⾜得0分，满分3分； ②项目质量控制的方法和措施：满⾜完整性的，得1分，满足可实施性的，得1分，满足针对性的，得1分，有缺陷扣0.5分，不满⾜得0分，满分3分； ③人员作业安全措施：满⾜完整性的，得1分，满足可实施性的，得1分，满足针对性的，得1分，有缺陷扣0.5分，不满⾜得0分，满分3分； ④变更控制的方法和措施：满⾜完整性的，得1分，满足可实施性的，得1分，满足针对性的，得1分，有缺陷扣0.5分，不满⾜得0分，满分3分； ⑤投资控制的方法和措施：满⾜完整性的，得1分，满足可实施性的，得1分，满足针对性的，得1分，有缺陷扣0.5分，不满⾜得0分，满分3分；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供应商针对本项目的实际情况，对项目的重点难点分析及对策：包括但不限于①对项目实施重点、难点的分析、②合理化建议、③解决方案； 满分 3 分。每有一项缺项扣 1 分；每有一处内容存在缺陷，扣 0.5 分，扣完为止。 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项目管理机构配置</w:t>
            </w:r>
          </w:p>
        </w:tc>
        <w:tc>
          <w:tcPr>
            <w:tcW w:type="dxa" w:w="2492"/>
          </w:tcPr>
          <w:p>
            <w:pPr>
              <w:pStyle w:val="null3"/>
            </w:pPr>
            <w:r>
              <w:rPr>
                <w:rFonts w:ascii="仿宋_GB2312" w:hAnsi="仿宋_GB2312" w:cs="仿宋_GB2312" w:eastAsia="仿宋_GB2312"/>
              </w:rPr>
              <w:t>1、拟派驻本项⽬的监理⼈员≥3⼈计4分，2⼈计2分，1⼈不计分。 2、供应商提供2023年1⽉⾄今，总监理⼯程师参与类似项目业绩证明(每提供⼀份得2分),最⾼得4分(需提供中标通知书或合同复印件，业绩时间以签订施⼯合同时间为准)，未提供得0分。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服务承诺包括但不限于：1、安全生产、文明施工监理承诺；2、进度控制承诺3、投资、造价控制承诺；4、工程质量控制承诺；5、合同与信息管理承诺。二、赋分标准：每提供一项承诺得3分，满分15分。未提供此项内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项目目标</w:t>
            </w:r>
          </w:p>
        </w:tc>
        <w:tc>
          <w:tcPr>
            <w:tcW w:type="dxa" w:w="2492"/>
          </w:tcPr>
          <w:p>
            <w:pPr>
              <w:pStyle w:val="null3"/>
            </w:pPr>
            <w:r>
              <w:rPr>
                <w:rFonts w:ascii="仿宋_GB2312" w:hAnsi="仿宋_GB2312" w:cs="仿宋_GB2312" w:eastAsia="仿宋_GB2312"/>
              </w:rPr>
              <w:t>供应商应提出针对本项目的项目目标计划：包括但不限于①材料设备进场管控计划、 ②隐蔽工程验收、旁站计划目标、③验收及竣工备案计划、④质量通病防治计划； 满分 12 分。每有一项缺项内容扣 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供应商编制应急处置方案：内容至少包括①应急组织机构；②应急响应时间；③应急保障措施；④调动人员的数量;满分12分。每有一项缺项内容扣3分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提供2023年1⽉1⽇以来类似项⽬的业绩证明材料（每提供⼀份得2.5分）最⾼得5分。未提供不得分。（以成交（中标）通知书或合同签订时间为准，须提供成交（中标）通知书或合同复印件）。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2、满足磋商文件要求且投标价格最低的投标报价为评标基准价，其价格分为满分。其他磋商供应商的价格分统一按照下列公式计算：磋商报价 得分=（评标基准价/磋商报价）×10%×100。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详见附件：主体资格证明文件.docx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详见附件：非联合体书面声明.docx</w:t>
      </w:r>
    </w:p>
    <w:p>
      <w:pPr>
        <w:pStyle w:val="null3"/>
        <w:ind w:firstLine="960"/>
      </w:pPr>
      <w:r>
        <w:rPr>
          <w:rFonts w:ascii="仿宋_GB2312" w:hAnsi="仿宋_GB2312" w:cs="仿宋_GB2312" w:eastAsia="仿宋_GB2312"/>
        </w:rPr>
        <w:t>详见附件：资质要求.docx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详见附件：主体资格证明文件.docx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详见附件：非联合体书面声明.docx</w:t>
      </w:r>
    </w:p>
    <w:p>
      <w:pPr>
        <w:pStyle w:val="null3"/>
        <w:ind w:firstLine="960"/>
      </w:pPr>
      <w:r>
        <w:rPr>
          <w:rFonts w:ascii="仿宋_GB2312" w:hAnsi="仿宋_GB2312" w:cs="仿宋_GB2312" w:eastAsia="仿宋_GB2312"/>
        </w:rPr>
        <w:t>详见附件：资质要求.docx</w:t>
      </w:r>
    </w:p>
    <w:p>
      <w:pPr>
        <w:pStyle w:val="null3"/>
        <w:ind w:firstLine="960"/>
      </w:pPr>
      <w:r>
        <w:rPr>
          <w:rFonts w:ascii="仿宋_GB2312" w:hAnsi="仿宋_GB2312" w:cs="仿宋_GB2312" w:eastAsia="仿宋_GB2312"/>
        </w:rPr>
        <w:t>详见附件：人员要求.docx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详见附件：合同书范本.docx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