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版本号：CG-JMYC-2026-03820260610001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2026年度西乡县杨河镇拱桥社区蔬菜保供基地智能农业平台建设项目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CG-JMYC-2026-038</w:t>
      </w:r>
      <w:r>
        <w:br/>
      </w:r>
      <w:r>
        <w:br/>
      </w:r>
      <w:r>
        <w:br/>
      </w:r>
    </w:p>
    <w:p>
      <w:pPr>
        <w:pStyle w:val="null3"/>
        <w:jc w:val="center"/>
        <w:outlineLvl w:val="2"/>
      </w:pPr>
      <w:r>
        <w:rPr>
          <w:rFonts w:ascii="仿宋_GB2312" w:hAnsi="仿宋_GB2312" w:cs="仿宋_GB2312" w:eastAsia="仿宋_GB2312"/>
          <w:sz w:val="28"/>
          <w:b/>
        </w:rPr>
        <w:t>西乡县杨河镇人民政府</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西乡县杨河镇人民政府</w:t>
      </w:r>
      <w:r>
        <w:rPr>
          <w:rFonts w:ascii="仿宋_GB2312" w:hAnsi="仿宋_GB2312" w:cs="仿宋_GB2312" w:eastAsia="仿宋_GB2312"/>
        </w:rPr>
        <w:t>委托，拟对</w:t>
      </w:r>
      <w:r>
        <w:rPr>
          <w:rFonts w:ascii="仿宋_GB2312" w:hAnsi="仿宋_GB2312" w:cs="仿宋_GB2312" w:eastAsia="仿宋_GB2312"/>
        </w:rPr>
        <w:t>2026年度西乡县杨河镇拱桥社区蔬菜保供基地智能农业平台建设项目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2026年度西乡县杨河镇拱桥社区蔬菜保供基地智能农业平台建设项目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建设地点位于西乡县杨河镇拱桥社区。主要建设内容为：1#大棚铺设水培给水、回水管道，新建砖砌营养池、沉淀池各1座；1#~4#大棚更换12丝PO农用棚膜15532㎡，棚内增加内遮阳钢骨架并安装PE圆丝遮阳网10925.64㎡，砌筑砖砌电缆井7座，安装摄像头12台，强电线路安装及预埋弱电管（不含弱电布线）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采购包1（2026年度西乡县杨河镇拱桥社区蔬菜保供基地智能农业平台建设项目）：属于专门面向中小企业采购。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 事业法人、 其他组织或自然人， 提供营业执照（事业单位须事业单位法人证、 组织机构代码证等证明文件； 其他组织应提供合法证明文件、 自然人提供身份证明文件）</w:t>
      </w:r>
    </w:p>
    <w:p>
      <w:pPr>
        <w:pStyle w:val="null3"/>
      </w:pPr>
      <w:r>
        <w:rPr>
          <w:rFonts w:ascii="仿宋_GB2312" w:hAnsi="仿宋_GB2312" w:cs="仿宋_GB2312" w:eastAsia="仿宋_GB2312"/>
        </w:rPr>
        <w:t>2、供应商资质要求：供应商具有建筑工程施工总承包三级以上（含三级） 资质， 具有有效的安全生产许可证；</w:t>
      </w:r>
    </w:p>
    <w:p>
      <w:pPr>
        <w:pStyle w:val="null3"/>
      </w:pPr>
      <w:r>
        <w:rPr>
          <w:rFonts w:ascii="仿宋_GB2312" w:hAnsi="仿宋_GB2312" w:cs="仿宋_GB2312" w:eastAsia="仿宋_GB2312"/>
        </w:rPr>
        <w:t>3、拟派项目负责人资质及专业要求：拟派项目负责人须具有建筑工程专业注册建造师二级（含二级）以上资格和安全生产考核合格B证，且无在建项目；</w:t>
      </w:r>
    </w:p>
    <w:p>
      <w:pPr>
        <w:pStyle w:val="null3"/>
      </w:pPr>
      <w:r>
        <w:rPr>
          <w:rFonts w:ascii="仿宋_GB2312" w:hAnsi="仿宋_GB2312" w:cs="仿宋_GB2312" w:eastAsia="仿宋_GB2312"/>
        </w:rPr>
        <w:t>4、磋商代表要求：供应商应授权合法的人员参加磋商， 其中法定代表人直接参加的， 须出具法定代表人身份证明书及法人身份证； 授权代表参加的， 须出具法定代表人授权书及被授权人身份证；</w:t>
      </w:r>
    </w:p>
    <w:p>
      <w:pPr>
        <w:pStyle w:val="null3"/>
      </w:pPr>
      <w:r>
        <w:rPr>
          <w:rFonts w:ascii="仿宋_GB2312" w:hAnsi="仿宋_GB2312" w:cs="仿宋_GB2312" w:eastAsia="仿宋_GB2312"/>
        </w:rPr>
        <w:t>5、政府采购供应商资格承诺函：供应商具有良好的商业信誉和健全的财务会计制度， 具有履行合同所必需的设备和专业技术能力， 具有依法缴纳税收和社会保障金的良好记录， 参加本项目采购活动前三年内无重大违法活动记录。 供应商未列入在信用中国网站“失信被执行人”、 “重大税收违法案件当事人名单”中（www.creditchina.gov.cn） ， 也未列入中国政府采购网“政府采购严重违法失信行为记录名单”中（www.ccgp.gov.cn） ， 按照汉财办采管[2024]20号文件要求， 提供《汉中市政府采购供应商资格承诺函》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西乡县杨河镇人民政府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西乡县杨河镇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0916-6461306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采购包1：918,102.86元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西乡县杨河镇人民政府</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西乡县杨河镇人民政府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西乡县杨河镇人民政府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地址：陕西省汉中市西乡县西乡县汉白路西段中图石油东10米院内代理部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918,102.86</w:t>
      </w:r>
    </w:p>
    <w:p>
      <w:pPr>
        <w:pStyle w:val="null3"/>
      </w:pPr>
      <w:r>
        <w:rPr>
          <w:rFonts w:ascii="仿宋_GB2312" w:hAnsi="仿宋_GB2312" w:cs="仿宋_GB2312" w:eastAsia="仿宋_GB2312"/>
        </w:rPr>
        <w:t>采购包最高限价（元）: 918,102.86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蔬菜保供基地智能农业平台建设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918,102.86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标的名称：蔬菜保供基地智能农业平台建设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firstLine="582"/>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本工程建设地点位于西乡县杨河镇拱桥社区。主要建设内容为：1#大棚铺设水培给水、回水管道，新建砖砌营养池、沉淀池各1座；1#~4#大棚更换12丝PO农用棚膜15532㎡，棚内增加内遮阳钢骨架并安装PE圆丝遮阳网10925.64㎡，砌筑砖砌电缆井7座，安装摄像头12台，强电线路安装及预埋弱电管（不含弱电布线）等。</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1、陕西省工程建设标准《建设工程工程量清单计价标准》DB61/T 5126-2025。</w:t>
            </w:r>
          </w:p>
          <w:p>
            <w:pPr>
              <w:pStyle w:val="null3"/>
            </w:pPr>
            <w:r>
              <w:rPr>
                <w:rFonts w:ascii="仿宋_GB2312" w:hAnsi="仿宋_GB2312" w:cs="仿宋_GB2312" w:eastAsia="仿宋_GB2312"/>
              </w:rPr>
              <w:t>2、陕西省工程建设标准《房屋建筑与装饰工程工程量计算标准》DB61/T 5129-2025、陕西省工程建设标准《通用安装工程工程量计算标准》。</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w:t>
            </w:r>
          </w:p>
          <w:p>
            <w:pPr>
              <w:pStyle w:val="null3"/>
            </w:pPr>
            <w:r>
              <w:rPr>
                <w:rFonts w:ascii="仿宋_GB2312" w:hAnsi="仿宋_GB2312" w:cs="仿宋_GB2312" w:eastAsia="仿宋_GB2312"/>
              </w:rPr>
              <w:t>通用安装工程消耗量定额》（2025）、《陕西省园林绿化工程工程量计算标准》（2025）、《陕西省市政工程工程量计算标准》（2025）。</w:t>
            </w:r>
          </w:p>
          <w:p>
            <w:pPr>
              <w:pStyle w:val="null3"/>
            </w:pPr>
            <w:r>
              <w:rPr>
                <w:rFonts w:ascii="仿宋_GB2312" w:hAnsi="仿宋_GB2312" w:cs="仿宋_GB2312" w:eastAsia="仿宋_GB2312"/>
              </w:rPr>
              <w:t>5、《陕西省房屋建筑与装饰工程基价表》(2025)、《陕西省通用安装工程基价表》(2025)、《陕西省园林绿化工程工程基价表》(2025)、《陕西省市政工程工程基价表》(2025)。</w:t>
            </w:r>
          </w:p>
          <w:p>
            <w:pPr>
              <w:pStyle w:val="null3"/>
            </w:pPr>
            <w:r>
              <w:rPr>
                <w:rFonts w:ascii="仿宋_GB2312" w:hAnsi="仿宋_GB2312" w:cs="仿宋_GB2312" w:eastAsia="仿宋_GB2312"/>
              </w:rPr>
              <w:t>6、《陕西省建设工程施工机械台班费用定额》（2025）、《陕西省建设工程施工仪器仪表台班费用定额》（2025）。</w:t>
            </w:r>
          </w:p>
          <w:p>
            <w:pPr>
              <w:pStyle w:val="null3"/>
            </w:pPr>
            <w:r>
              <w:rPr>
                <w:rFonts w:ascii="仿宋_GB2312" w:hAnsi="仿宋_GB2312" w:cs="仿宋_GB2312" w:eastAsia="仿宋_GB2312"/>
              </w:rPr>
              <w:t>7、材料价依据《汉中市建设工程信息》2026年第4期，部分材料价参考市场价。</w:t>
            </w:r>
          </w:p>
          <w:p>
            <w:pPr>
              <w:pStyle w:val="null3"/>
            </w:pPr>
            <w:r>
              <w:rPr>
                <w:rFonts w:ascii="仿宋_GB2312" w:hAnsi="仿宋_GB2312" w:cs="仿宋_GB2312" w:eastAsia="仿宋_GB2312"/>
              </w:rPr>
              <w:t>三、编制说明</w:t>
            </w:r>
          </w:p>
          <w:p>
            <w:pPr>
              <w:pStyle w:val="null3"/>
              <w:numPr>
                <w:ilvl w:val="0"/>
                <w:numId w:val="1"/>
              </w:numPr>
            </w:pPr>
            <w:r>
              <w:rPr>
                <w:rFonts w:ascii="仿宋_GB2312" w:hAnsi="仿宋_GB2312" w:cs="仿宋_GB2312" w:eastAsia="仿宋_GB2312"/>
              </w:rPr>
              <w:t>拆除原有大棚膜综合单价暂按0.5元/m²计算，结算时据实结算；</w:t>
            </w:r>
          </w:p>
          <w:p>
            <w:pPr>
              <w:pStyle w:val="null3"/>
              <w:numPr>
                <w:ilvl w:val="0"/>
                <w:numId w:val="1"/>
              </w:numPr>
            </w:pPr>
            <w:r>
              <w:rPr>
                <w:rFonts w:ascii="仿宋_GB2312" w:hAnsi="仿宋_GB2312" w:cs="仿宋_GB2312" w:eastAsia="仿宋_GB2312"/>
              </w:rPr>
              <w:t>本次电气设备安装工程计算内容为APA配电柜至AP1、AP2、AP3、AP4（终端配电箱）和外部气象站电源之间的强电预埋管及电缆敷设和配电柜，终端配电箱至卷帘机、棚内机柜、物联网配电柜（弱电）之间的预埋管及电缆敷设，1-4号大棚内弱电管预埋，1-4号大棚内传感器电线管预埋，摄像头及电缆井；不含物联网配电柜、光纤、传感器弱电线及传感器设备等。</w:t>
            </w:r>
          </w:p>
          <w:p>
            <w:pPr>
              <w:pStyle w:val="null3"/>
            </w:pPr>
            <w:r>
              <w:rPr>
                <w:rFonts w:ascii="仿宋_GB2312" w:hAnsi="仿宋_GB2312" w:cs="仿宋_GB2312" w:eastAsia="仿宋_GB2312"/>
              </w:rPr>
              <w:t>四、工    期：60天</w:t>
            </w:r>
          </w:p>
          <w:p>
            <w:pPr>
              <w:pStyle w:val="null3"/>
            </w:pPr>
            <w:r>
              <w:rPr>
                <w:rFonts w:ascii="仿宋_GB2312" w:hAnsi="仿宋_GB2312" w:cs="仿宋_GB2312" w:eastAsia="仿宋_GB2312"/>
              </w:rPr>
              <w:t>五、工程质量：合   格</w:t>
            </w:r>
          </w:p>
          <w:p>
            <w:pPr>
              <w:pStyle w:val="null3"/>
            </w:pPr>
            <w:r>
              <w:rPr>
                <w:rFonts w:ascii="仿宋_GB2312" w:hAnsi="仿宋_GB2312" w:cs="仿宋_GB2312" w:eastAsia="仿宋_GB2312"/>
              </w:rPr>
              <w:t>六、计价软件：广联达云计价平台GCCP7.0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 事业法人、 其他组织或自然人， 提供营业执照（事业单位须事业单位法人证、 组织机构代码证等证明文件； 其他组织应提供合法证明文件、 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供应商具有建筑工程施工总承包三级以上（含三级） 资质， 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拟派项目负责人须具有建筑工程专业注册建造师二级（含二级）以上资格和安全生产考核合格B证，且无在建项目；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项目经理和主要技术管理人员配置.docx 项目管理机构组成表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 其中法定代表人直接参加的， 须出具法定代表人身份证明书及法人身份证； 授权代表参加的， 须出具法定代表人授权书及被授权人身份证；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 具有履行合同所必需的设备和专业技术能力， 具有依法缴纳税收和社会保障金的良好记录， 参加本项目采购活动前三年内无重大违法活动记录。 供应商未列入在信用中国网站“失信被执行人”、 “重大税收违法案件当事人名单”中（www.creditchina.gov.cn） ， 也未列入中国政府采购网“政府采购严重违法失信行为记录名单”中（www.ccgp.gov.cn） ， 按照汉财办采管[2024]20号文件要求， 提供《汉中市政府采购供应商资格承诺函》 ；</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政府采购供应商拒绝政府采购领域商业贿赂承诺书.docx 类似业绩情况表.docx 项目管理机构组成表 残疾人福利性单位声明函 报价函 强制、优先采购产品承诺函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类似业绩情况表.docx 响应文件封面 政府采购供应商拒绝政府采购领域商业贿赂承诺书.docx 项目管理机构组成表 残疾人福利性单位声明函 报价函 强制、优先采购产品承诺函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响应文件封面 政府采购供应商拒绝政府采购领域商业贿赂承诺书.docx 类似业绩情况表.docx 项目管理机构组成表 残疾人福利性单位声明函 报价函 强制、优先采购产品承诺函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拟派项目经理具有高级职称的得3.5分； 具有中级职称的得2.5分； 具有初级职称的得1.5分。（须提供项目经理身份证及职称证书扫描件， 未提供相关证明材料不得分。）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供应商每提供1名拟派主要技术管理人员相关证明材料扫描件，得1.5分，满分7.5分；（证明材料应提供施工员、安全员、质量员、材料员、资料员的身份证、资格证书的扫描件，未提供证明材料，该人员此项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拟委任的项目经理情况表.docx</w:t>
            </w:r>
          </w:p>
          <w:p>
            <w:pPr>
              <w:pStyle w:val="null3"/>
            </w:pPr>
            <w:r>
              <w:rPr>
                <w:rFonts w:ascii="仿宋_GB2312" w:hAnsi="仿宋_GB2312" w:cs="仿宋_GB2312" w:eastAsia="仿宋_GB2312"/>
              </w:rPr>
              <w:t>项目经理和主要技术管理人员配置.docx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提供2023年至今的类似项目业绩（以中标通知书和合同为准），每提供1个得2.5分，最高得5分；未提供不得分。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科学合理、可行性强、细节考虑全面并有针对性，技术措施完善得10-12分；施工方案合理、可行强、有一定的针对性，技术措施基本完善得7-9分；施工方案合理、基本可行、针对性一般，技术措施基本完善得4-6分；施工方案基本合理、可行性差，技术措施欠缺得1-3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质量保证体系健全，质量目标明确，全过程质量管控措施完善、合理可行，有明确的质量通病防治措施得7-9分；质量保证体系基本健全，质量保证措施基本完善、合理可行得4-6分；质量保证体系不健全，质量保证措施欠缺、无法保证工程质量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安全文明施工保证体系健全，责任到人，各项安全防护、文明施工、环境保护措施完善、合理可行，有针对性的应急预案得7-9分；安全文明施工保证体系基本健全，各项措施基本完善、合理得4-6分；安全文明施工保证体系不健全，各项措施欠缺、合理性差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1.进度计划完整性：提供详细的横道图或网络图，明确各分项工程的起止时间和关键线路，得3分；提供简单的进度计划，明确主要分项工程的起止时间，得2分；仅提供总工期安排，无分项工程进度计划，得1分；未提供不得分。2.工期保证措施：同时提供人员保障、材料保障、设备保障、应急赶工措施，得 4分；提供 3 项保障措施，得3分；提供1-2项保障措施，得1分；未提供不得分。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1.劳动力配置：明确各工种人数及进场时间，且总人数满足施工需求，得 3 分；仅明确总人数，未明确各工种及进场时间，得 1.5分；未提供不得分。 2.施工设备配置：提供详细的施工设备清单（含设备名称、型号、数量、进场时间），且设备配置满足施工需求，得3分；提供简单的设备清单，未明确型号及进场时间，得1.5分；未提供不得分。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新技术新工艺</w:t>
            </w:r>
          </w:p>
        </w:tc>
        <w:tc>
          <w:tcPr>
            <w:tcW w:type="dxa" w:w="2492"/>
          </w:tcPr>
          <w:p>
            <w:pPr>
              <w:pStyle w:val="null3"/>
            </w:pPr>
            <w:r>
              <w:rPr>
                <w:rFonts w:ascii="仿宋_GB2312" w:hAnsi="仿宋_GB2312" w:cs="仿宋_GB2312" w:eastAsia="仿宋_GB2312"/>
              </w:rPr>
              <w:t>每提供1项国家或行业推广的新技术、新工艺应用方案，且方案明确应用部位、预期效果及实施步骤，得1分，最高得 3分；仅提及技术名称，无具体应用方案的，不得分。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针对本项目的施工工艺、成本控制、工期优化、质量提升、安全管理等方面提出具体、可操作的合理化建议，每提出 1 条经评审委员会确认具有实际应用价值的建议，得1分，最高得3分；泛泛而谈、无具体内容的建议不得分。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详见附件：项目管理机构组成表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