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版本号：HXGJXM2026-ZC-GK102220260515001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高通量金属熔炼装置与高温接触角及变形测量系统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HXGJXM2026-ZC-GK1022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高通量金属熔炼装置与高温接触角及变形测量系统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高通量金属熔炼装置与高温接触角及变形测量系统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采购包1：高通量金属熔炼装置是在一次熔炼过程中，通过半连续浇铸系统设计，同步制备出数十个成分连续变化或精确差异的合金样品，极大提升研究效率。具体详见招标文件第三章相关要求。 采购包2：高温接触角及变形测量系统用于材料研发与制造，有助于精确测量材料的热膨胀系数和热变形过程，进而制定材料烧结工艺或热处理工艺。具体要求详见谈判文件第三章。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采购包1（高通量金属熔炼装置）：属于专门面向中小企业采购。</w:t>
      </w:r>
    </w:p>
    <w:p>
      <w:pPr>
        <w:pStyle w:val="null3"/>
      </w:pPr>
      <w:r>
        <w:rPr>
          <w:rFonts w:ascii="仿宋_GB2312" w:hAnsi="仿宋_GB2312" w:cs="仿宋_GB2312" w:eastAsia="仿宋_GB2312"/>
        </w:rPr>
        <w:t>采购包2（高温接触角及变形测量系统）：属于专门面向中小企业采购。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魏依依、张宝育、张艳萍、康敏茹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开户名称：华夏国际项目管理（西安）有限公司（转账时备注项目名称+包号）</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说明：履约保证金金额为合同总价的5%。在签订政府采购合同前，中标供应商向采购人缴纳履约保证金，缴纳时需备注项目名称，最终验收合格后采购人无息退还。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说明：履约保证金金额为合同总价的5%。在签订政府采购合同前，中标供应商向采购人缴纳履约保证金，缴纳时需备注项目名称，最终验收合格后采购人无息退还。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连续运行72小时无故障；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联系人：魏依依、张宝育、张艳萍、康敏茹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采购包1：高通量金属熔炼装置是在一次熔炼过程中，通过半连续浇铸系统设计，同步制备出数十个成分连续变化或精确差异的合金样品，极大提升研究效率。具体详见招标文件第三章相关要求。 采购包2：高温接触角及变形测量系统用于材料研发与制造，有助于精确测量材料的热膨胀系数和热变形过程，进而制定材料烧结工艺或热处理工艺。具体要求详见谈判文件第三章。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高通量金属熔炼装置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高温接触角及变形测量系统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标的名称：高通量金属熔炼装置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★1.最大熔炼重量≥30kg，具备带电浇铸功能（浇铸时不用关电源）；</w:t>
            </w:r>
          </w:p>
          <w:p>
            <w:pPr>
              <w:pStyle w:val="null3"/>
              <w:jc w:val="both"/>
            </w:pPr>
            <w:r>
              <w:rPr>
                <w:rFonts w:ascii="仿宋_GB2312" w:hAnsi="仿宋_GB2312" w:cs="仿宋_GB2312" w:eastAsia="仿宋_GB2312"/>
              </w:rPr>
              <w:t>2.最大加热功率100kW；</w:t>
            </w:r>
          </w:p>
          <w:p>
            <w:pPr>
              <w:pStyle w:val="null3"/>
              <w:jc w:val="both"/>
            </w:pPr>
            <w:r>
              <w:rPr>
                <w:rFonts w:ascii="仿宋_GB2312" w:hAnsi="仿宋_GB2312" w:cs="仿宋_GB2312" w:eastAsia="仿宋_GB2312"/>
              </w:rPr>
              <w:t>▲3.最高温度1600℃；</w:t>
            </w:r>
          </w:p>
          <w:p>
            <w:pPr>
              <w:pStyle w:val="null3"/>
              <w:jc w:val="both"/>
            </w:pPr>
            <w:r>
              <w:rPr>
                <w:rFonts w:ascii="仿宋_GB2312" w:hAnsi="仿宋_GB2312" w:cs="仿宋_GB2312" w:eastAsia="仿宋_GB2312"/>
              </w:rPr>
              <w:t>▲4.具有机械泵、罗茨泵和扩散泵三级泵；</w:t>
            </w:r>
          </w:p>
          <w:p>
            <w:pPr>
              <w:pStyle w:val="null3"/>
              <w:jc w:val="both"/>
            </w:pPr>
            <w:r>
              <w:rPr>
                <w:rFonts w:ascii="仿宋_GB2312" w:hAnsi="仿宋_GB2312" w:cs="仿宋_GB2312" w:eastAsia="仿宋_GB2312"/>
              </w:rPr>
              <w:t>5.真空泵配置粉尘过滤器及油雾过滤器；</w:t>
            </w:r>
          </w:p>
          <w:p>
            <w:pPr>
              <w:pStyle w:val="null3"/>
              <w:jc w:val="both"/>
            </w:pPr>
            <w:r>
              <w:rPr>
                <w:rFonts w:ascii="仿宋_GB2312" w:hAnsi="仿宋_GB2312" w:cs="仿宋_GB2312" w:eastAsia="仿宋_GB2312"/>
              </w:rPr>
              <w:t>▲6.冷态真空度≤1×10</w:t>
            </w:r>
            <w:r>
              <w:rPr>
                <w:rFonts w:ascii="仿宋_GB2312" w:hAnsi="仿宋_GB2312" w:cs="仿宋_GB2312" w:eastAsia="仿宋_GB2312"/>
                <w:vertAlign w:val="superscript"/>
              </w:rPr>
              <w:t>-3</w:t>
            </w:r>
            <w:r>
              <w:rPr>
                <w:rFonts w:ascii="仿宋_GB2312" w:hAnsi="仿宋_GB2312" w:cs="仿宋_GB2312" w:eastAsia="仿宋_GB2312"/>
              </w:rPr>
              <w:t>Pa；</w:t>
            </w:r>
          </w:p>
          <w:p>
            <w:pPr>
              <w:pStyle w:val="null3"/>
              <w:jc w:val="both"/>
            </w:pPr>
            <w:r>
              <w:rPr>
                <w:rFonts w:ascii="仿宋_GB2312" w:hAnsi="仿宋_GB2312" w:cs="仿宋_GB2312" w:eastAsia="仿宋_GB2312"/>
              </w:rPr>
              <w:t>★7.具有主加料室、熔炼室及铸锭室三室结构，可实现高通量半连续感应熔炼；</w:t>
            </w:r>
          </w:p>
          <w:p>
            <w:pPr>
              <w:pStyle w:val="null3"/>
              <w:jc w:val="both"/>
            </w:pPr>
            <w:r>
              <w:rPr>
                <w:rFonts w:ascii="仿宋_GB2312" w:hAnsi="仿宋_GB2312" w:cs="仿宋_GB2312" w:eastAsia="仿宋_GB2312"/>
              </w:rPr>
              <w:t>▲8.设备总高度≤5000mm，铸锭室高度≥1500mm；</w:t>
            </w:r>
          </w:p>
          <w:p>
            <w:pPr>
              <w:pStyle w:val="null3"/>
              <w:jc w:val="both"/>
            </w:pPr>
            <w:r>
              <w:rPr>
                <w:rFonts w:ascii="仿宋_GB2312" w:hAnsi="仿宋_GB2312" w:cs="仿宋_GB2312" w:eastAsia="仿宋_GB2312"/>
              </w:rPr>
              <w:t>▲9.铸锭室具备三温区加热和控温，最高加热温度1200℃，控温精度±2℃。</w:t>
            </w:r>
          </w:p>
          <w:p>
            <w:pPr>
              <w:pStyle w:val="null3"/>
              <w:jc w:val="both"/>
            </w:pPr>
            <w:r>
              <w:rPr>
                <w:rFonts w:ascii="仿宋_GB2312" w:hAnsi="仿宋_GB2312" w:cs="仿宋_GB2312" w:eastAsia="仿宋_GB2312"/>
              </w:rPr>
              <w:t>10.压升率：≤0.67Pa/h</w:t>
            </w:r>
          </w:p>
          <w:p>
            <w:pPr>
              <w:pStyle w:val="null3"/>
              <w:jc w:val="both"/>
            </w:pPr>
            <w:r>
              <w:rPr>
                <w:rFonts w:ascii="仿宋_GB2312" w:hAnsi="仿宋_GB2312" w:cs="仿宋_GB2312" w:eastAsia="仿宋_GB2312"/>
              </w:rPr>
              <w:t>11.真空测量系统：数显复合真空计</w:t>
            </w:r>
          </w:p>
          <w:p>
            <w:pPr>
              <w:pStyle w:val="null3"/>
              <w:jc w:val="both"/>
            </w:pPr>
            <w:r>
              <w:rPr>
                <w:rFonts w:ascii="仿宋_GB2312" w:hAnsi="仿宋_GB2312" w:cs="仿宋_GB2312" w:eastAsia="仿宋_GB2312"/>
              </w:rPr>
              <w:t>12.设备结构：转塔加料及测温系统+熔炼保温铸锭系统+取样拉伸系统</w:t>
            </w:r>
          </w:p>
          <w:p>
            <w:pPr>
              <w:pStyle w:val="null3"/>
              <w:jc w:val="both"/>
            </w:pPr>
            <w:r>
              <w:rPr>
                <w:rFonts w:ascii="仿宋_GB2312" w:hAnsi="仿宋_GB2312" w:cs="仿宋_GB2312" w:eastAsia="仿宋_GB2312"/>
              </w:rPr>
              <w:t>13.控制系统：整机采用触摸屏+PLC控制</w:t>
            </w:r>
          </w:p>
          <w:p>
            <w:pPr>
              <w:pStyle w:val="null3"/>
              <w:jc w:val="both"/>
            </w:pPr>
            <w:r>
              <w:rPr>
                <w:rFonts w:ascii="仿宋_GB2312" w:hAnsi="仿宋_GB2312" w:cs="仿宋_GB2312" w:eastAsia="仿宋_GB2312"/>
              </w:rPr>
              <w:t>14.在线加料方式：转塔机构，棒料送入室+碎料投入室</w:t>
            </w:r>
          </w:p>
          <w:p>
            <w:pPr>
              <w:pStyle w:val="null3"/>
              <w:jc w:val="both"/>
            </w:pPr>
            <w:r>
              <w:rPr>
                <w:rFonts w:ascii="仿宋_GB2312" w:hAnsi="仿宋_GB2312" w:cs="仿宋_GB2312" w:eastAsia="仿宋_GB2312"/>
              </w:rPr>
              <w:t>15.在线测温方式：电机驱动、电动升降与加料仓共用转塔机构</w:t>
            </w:r>
          </w:p>
          <w:p>
            <w:pPr>
              <w:pStyle w:val="null3"/>
              <w:jc w:val="both"/>
            </w:pPr>
            <w:r>
              <w:rPr>
                <w:rFonts w:ascii="仿宋_GB2312" w:hAnsi="仿宋_GB2312" w:cs="仿宋_GB2312" w:eastAsia="仿宋_GB2312"/>
              </w:rPr>
              <w:t>16.送料及在线测温系统材质：304不锈钢，转塔形式</w:t>
            </w:r>
          </w:p>
          <w:p>
            <w:pPr>
              <w:pStyle w:val="null3"/>
            </w:pPr>
            <w:r>
              <w:rPr>
                <w:rFonts w:ascii="仿宋_GB2312" w:hAnsi="仿宋_GB2312" w:cs="仿宋_GB2312" w:eastAsia="仿宋_GB2312"/>
              </w:rPr>
              <w:t>17.冷却水系统设有电接点式水温表、水压表，具有水压低、断流、水温高报警功能，主要回路安装有水温及水流量传感器。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标的名称：高温接触角及变形测量系统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★1.最高温度1600℃；</w:t>
            </w:r>
          </w:p>
          <w:p>
            <w:pPr>
              <w:pStyle w:val="null3"/>
              <w:jc w:val="both"/>
            </w:pPr>
            <w:r>
              <w:rPr>
                <w:rFonts w:ascii="仿宋_GB2312" w:hAnsi="仿宋_GB2312" w:cs="仿宋_GB2312" w:eastAsia="仿宋_GB2312"/>
              </w:rPr>
              <w:t>▲2.使用环境：真空/惰性气氛/有氧气氛（预留接口）切换；</w:t>
            </w:r>
          </w:p>
          <w:p>
            <w:pPr>
              <w:pStyle w:val="null3"/>
              <w:jc w:val="both"/>
            </w:pPr>
            <w:r>
              <w:rPr>
                <w:rFonts w:ascii="仿宋_GB2312" w:hAnsi="仿宋_GB2312" w:cs="仿宋_GB2312" w:eastAsia="仿宋_GB2312"/>
              </w:rPr>
              <w:t>▲3.图像获取频率≥1张/秒，频率可调；</w:t>
            </w:r>
          </w:p>
          <w:p>
            <w:pPr>
              <w:pStyle w:val="null3"/>
              <w:jc w:val="both"/>
            </w:pPr>
            <w:r>
              <w:rPr>
                <w:rFonts w:ascii="仿宋_GB2312" w:hAnsi="仿宋_GB2312" w:cs="仿宋_GB2312" w:eastAsia="仿宋_GB2312"/>
              </w:rPr>
              <w:t>▲4.接触角精度±1°，接触角范围0~180°；</w:t>
            </w:r>
          </w:p>
          <w:p>
            <w:pPr>
              <w:pStyle w:val="null3"/>
              <w:jc w:val="both"/>
            </w:pPr>
            <w:r>
              <w:rPr>
                <w:rFonts w:ascii="仿宋_GB2312" w:hAnsi="仿宋_GB2312" w:cs="仿宋_GB2312" w:eastAsia="仿宋_GB2312"/>
              </w:rPr>
              <w:t>★5.自动连续计算高温熔体接触角、直径、高度和体积等参数；</w:t>
            </w:r>
          </w:p>
          <w:p>
            <w:pPr>
              <w:pStyle w:val="null3"/>
              <w:jc w:val="both"/>
            </w:pPr>
            <w:r>
              <w:rPr>
                <w:rFonts w:ascii="仿宋_GB2312" w:hAnsi="仿宋_GB2312" w:cs="仿宋_GB2312" w:eastAsia="仿宋_GB2312"/>
              </w:rPr>
              <w:t>6.控温精度：±1℃；</w:t>
            </w:r>
          </w:p>
          <w:p>
            <w:pPr>
              <w:pStyle w:val="null3"/>
              <w:jc w:val="both"/>
            </w:pPr>
            <w:r>
              <w:rPr>
                <w:rFonts w:ascii="仿宋_GB2312" w:hAnsi="仿宋_GB2312" w:cs="仿宋_GB2312" w:eastAsia="仿宋_GB2312"/>
              </w:rPr>
              <w:t>7.测温精度：0.2级；</w:t>
            </w:r>
          </w:p>
          <w:p>
            <w:pPr>
              <w:pStyle w:val="null3"/>
              <w:jc w:val="both"/>
            </w:pPr>
            <w:r>
              <w:rPr>
                <w:rFonts w:ascii="仿宋_GB2312" w:hAnsi="仿宋_GB2312" w:cs="仿宋_GB2312" w:eastAsia="仿宋_GB2312"/>
              </w:rPr>
              <w:t>8.样品腔直径：内径≥Ф50mm（内），长度≥700mm（长）；</w:t>
            </w:r>
          </w:p>
          <w:p>
            <w:pPr>
              <w:pStyle w:val="null3"/>
              <w:jc w:val="both"/>
            </w:pPr>
            <w:r>
              <w:rPr>
                <w:rFonts w:ascii="仿宋_GB2312" w:hAnsi="仿宋_GB2312" w:cs="仿宋_GB2312" w:eastAsia="仿宋_GB2312"/>
              </w:rPr>
              <w:t>9.样品支架系统：刚玉支架和基片；</w:t>
            </w:r>
          </w:p>
          <w:p>
            <w:pPr>
              <w:pStyle w:val="null3"/>
              <w:jc w:val="both"/>
            </w:pPr>
            <w:r>
              <w:rPr>
                <w:rFonts w:ascii="仿宋_GB2312" w:hAnsi="仿宋_GB2312" w:cs="仿宋_GB2312" w:eastAsia="仿宋_GB2312"/>
              </w:rPr>
              <w:t>10.光学系统：LED光源；</w:t>
            </w:r>
          </w:p>
          <w:p>
            <w:pPr>
              <w:pStyle w:val="null3"/>
              <w:jc w:val="both"/>
            </w:pPr>
            <w:r>
              <w:rPr>
                <w:rFonts w:ascii="仿宋_GB2312" w:hAnsi="仿宋_GB2312" w:cs="仿宋_GB2312" w:eastAsia="仿宋_GB2312"/>
              </w:rPr>
              <w:t>11.影像数据成像系统具备远心镜头和镀膜滤光组件；</w:t>
            </w:r>
          </w:p>
          <w:p>
            <w:pPr>
              <w:pStyle w:val="null3"/>
              <w:jc w:val="both"/>
            </w:pPr>
            <w:r>
              <w:rPr>
                <w:rFonts w:ascii="仿宋_GB2312" w:hAnsi="仿宋_GB2312" w:cs="仿宋_GB2312" w:eastAsia="仿宋_GB2312"/>
              </w:rPr>
              <w:t>▲12.尺寸收缩测量精度：</w:t>
            </w:r>
            <w:r>
              <w:rPr>
                <w:rFonts w:ascii="仿宋_GB2312" w:hAnsi="仿宋_GB2312" w:cs="仿宋_GB2312" w:eastAsia="仿宋_GB2312"/>
              </w:rPr>
              <w:t>≥</w:t>
            </w:r>
            <w:r>
              <w:rPr>
                <w:rFonts w:ascii="仿宋_GB2312" w:hAnsi="仿宋_GB2312" w:cs="仿宋_GB2312" w:eastAsia="仿宋_GB2312"/>
              </w:rPr>
              <w:t>10微米/像素；</w:t>
            </w:r>
          </w:p>
          <w:p>
            <w:pPr>
              <w:pStyle w:val="null3"/>
              <w:jc w:val="both"/>
            </w:pPr>
            <w:r>
              <w:rPr>
                <w:rFonts w:ascii="仿宋_GB2312" w:hAnsi="仿宋_GB2312" w:cs="仿宋_GB2312" w:eastAsia="仿宋_GB2312"/>
              </w:rPr>
              <w:t>▲13.软件系统：高温形变数据分析，包含图像存储，高度、宽度、面积、接触角等数据采集分析；</w:t>
            </w:r>
          </w:p>
          <w:p>
            <w:pPr>
              <w:pStyle w:val="null3"/>
              <w:jc w:val="both"/>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.配备水冷机：压缩机功率 ：</w:t>
            </w:r>
            <w:r>
              <w:rPr>
                <w:rFonts w:ascii="仿宋_GB2312" w:hAnsi="仿宋_GB2312" w:cs="仿宋_GB2312" w:eastAsia="仿宋_GB2312"/>
              </w:rPr>
              <w:t>≥</w:t>
            </w:r>
            <w:r>
              <w:rPr>
                <w:rFonts w:ascii="仿宋_GB2312" w:hAnsi="仿宋_GB2312" w:cs="仿宋_GB2312" w:eastAsia="仿宋_GB2312"/>
              </w:rPr>
              <w:t>0.5</w:t>
            </w:r>
            <w:r>
              <w:rPr>
                <w:rFonts w:ascii="仿宋_GB2312" w:hAnsi="仿宋_GB2312" w:cs="仿宋_GB2312" w:eastAsia="仿宋_GB2312"/>
              </w:rPr>
              <w:t>0</w:t>
            </w:r>
            <w:r>
              <w:rPr>
                <w:rFonts w:ascii="仿宋_GB2312" w:hAnsi="仿宋_GB2312" w:cs="仿宋_GB2312" w:eastAsia="仿宋_GB2312"/>
              </w:rPr>
              <w:t>kW；额定流量：</w:t>
            </w:r>
            <w:r>
              <w:rPr>
                <w:rFonts w:ascii="仿宋_GB2312" w:hAnsi="仿宋_GB2312" w:cs="仿宋_GB2312" w:eastAsia="仿宋_GB2312"/>
              </w:rPr>
              <w:t>≥</w:t>
            </w:r>
            <w:r>
              <w:rPr>
                <w:rFonts w:ascii="仿宋_GB2312" w:hAnsi="仿宋_GB2312" w:cs="仿宋_GB2312" w:eastAsia="仿宋_GB2312"/>
              </w:rPr>
              <w:t>8L/min；</w:t>
            </w:r>
          </w:p>
          <w:p>
            <w:pPr>
              <w:pStyle w:val="null3"/>
              <w:jc w:val="both"/>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.冷态真空度</w:t>
            </w:r>
            <w:r>
              <w:rPr>
                <w:rFonts w:ascii="仿宋_GB2312" w:hAnsi="仿宋_GB2312" w:cs="仿宋_GB2312" w:eastAsia="仿宋_GB2312"/>
              </w:rPr>
              <w:t>≤</w:t>
            </w:r>
            <w:r>
              <w:rPr>
                <w:rFonts w:ascii="仿宋_GB2312" w:hAnsi="仿宋_GB2312" w:cs="仿宋_GB2312" w:eastAsia="仿宋_GB2312"/>
              </w:rPr>
              <w:t>6×10</w:t>
            </w:r>
            <w:r>
              <w:rPr>
                <w:rFonts w:ascii="仿宋_GB2312" w:hAnsi="仿宋_GB2312" w:cs="仿宋_GB2312" w:eastAsia="仿宋_GB2312"/>
                <w:vertAlign w:val="superscript"/>
              </w:rPr>
              <w:t>-3</w:t>
            </w:r>
            <w:r>
              <w:rPr>
                <w:rFonts w:ascii="仿宋_GB2312" w:hAnsi="仿宋_GB2312" w:cs="仿宋_GB2312" w:eastAsia="仿宋_GB2312"/>
              </w:rPr>
              <w:t>Pa；</w:t>
            </w:r>
          </w:p>
          <w:p>
            <w:pPr>
              <w:pStyle w:val="null3"/>
            </w:pPr>
            <w:r>
              <w:rPr>
                <w:rFonts w:ascii="仿宋_GB2312" w:hAnsi="仿宋_GB2312" w:cs="仿宋_GB2312" w:eastAsia="仿宋_GB2312"/>
              </w:rPr>
              <w:t>16.气体控制系统：质量流量计，流量量程500sccm，精度±1.0%F.S。</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接采购人书面通知后60个日历日完成供货、安装、调试并交付使用。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设备安装调试完成，经甲方最终验收合格并签署《验收合格报告》后，乙方开具全额合法有效的增值税专用发票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设备安装调试完成，经甲方最终验收合格并签署《验收合格报告》后，乙方开具全额合法有效的增值税专用发票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连续运行72小时无故障；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（6）产品保修期（三包期）及质保期：自验收合格之日起1年。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（6）产品保修期（三包期）及质保期：自验收合格之日起1年。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 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 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 4.在乙方依约履行本合同的前提下，甲方因自身原因逾期向乙方支付合同款项的，应按全国银行间同业拆借中心公布的同期贷款市场报价利率（LPR）和逾期天数向乙方支付逾期付款部分的利息。 5.乙方未经甲方书面同意擅自将定制设备项目分包或转让的，甲方有权立即解除合同，乙方除返还甲方已支付款项外，还应向甲方支付合同总金额20%的违约金，如该违约金不足以弥补甲方损失的，乙方还应予以赔偿。 6.任何一方违反本合同约定，给对方造成损失的，应赔偿对方全部直接和间接损失，包括但不限于诉讼费、律师费、鉴定费、保全费、差旅费等。 7.本合同项下约定的所有甲方应付款项，若因乙方违约（包括但不限于质量、交付、安装调试、验收等问题）导致甲方付款条件未成就或付款时间延后的，不视为甲方违约，乙方仍应承担相应的违约责任。 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9.未按合同要求提供设备或提供的设备质量或规格不能满足技术要求，甲方有权终止合同并对乙方违约行为进行追究，同时按政府采购法的有关规定进行相应的处罚； 10.招标文件、投标文件规定的其他违约情形； 11.其他：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 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 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 4.在乙方依约履行本合同的前提下，甲方因自身原因逾期向乙方支付合同款项的，应按全国银行间同业拆借中心公布的同期贷款市场报价利率（LPR）和逾期天数向乙方支付逾期付款部分的利息。 5.乙方未经甲方书面同意擅自将定制设备项目分包或转让的，甲方有权立即解除合同，乙方除返还甲方已支付款项外，还应向甲方支付合同总金额20%的违约金，如该违约金不足以弥补甲方损失的，乙方还应予以赔偿。 6.任何一方违反本合同约定，给对方造成损失的，应赔偿对方全部直接和间接损失，包括但不限于诉讼费、律师费、鉴定费、保全费、差旅费等。 7.本合同项下约定的所有甲方应付款项，若因乙方违约（包括但不限于质量、交付、安装调试、验收等问题）导致甲方付款条件未成就或付款时间延后的，不视为甲方违约，乙方仍应承担相应的违约责任。 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9.未按合同要求提供设备或提供的设备质量或规格不能满足技术要求，甲方有权终止合同并对乙方违约行为进行追究，同时按政府采购法的有关规定进行相应的处罚； 10.招标文件、投标文件规定的其他违约情形； 11.其他：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应提供纸质投标文件三份（正本壹份、副本贰份），投标文件需包含目录、无少页、缺页、投标文件第一页开始连续页码（或单独使用打码器打码），书脊处应打印项目名称。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商务要求条款全部响应，不能有采购人不能接受的附加条件。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应满足招标文件中要求的交货时间、质保期。</w:t>
            </w:r>
          </w:p>
        </w:tc>
        <w:tc>
          <w:tcPr>
            <w:tcW w:type="dxa" w:w="1661"/>
          </w:tcPr>
          <w:p>
            <w:pPr>
              <w:pStyle w:val="null3"/>
            </w:pPr>
            <w:r>
              <w:rPr>
                <w:rFonts w:ascii="仿宋_GB2312" w:hAnsi="仿宋_GB2312" w:cs="仿宋_GB2312" w:eastAsia="仿宋_GB2312"/>
              </w:rPr>
              <w:t>开标一览表.docx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商务要求条款全部响应，不能有采购人不能接受的附加条件。</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应满足招标文件中要求的交货时间、质保期。</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所投产品技术参数清楚、明确，并能逐条响应招标文件第三章“技术参数表”中全部技术参数满足要求的，得30分。 “▲”项(5项)参数要求满分15分，每负偏离一项扣3分，扣完为止； 非“▲”项(10项)参数要求满分15分,每负偏离一项扣1.5分,扣完为止。 备注：所有“▲”及★项参数须有佐证材料，佐证材料例如：国家认可的检测机构出具的检测报告或产品说明书或设计图纸或技术参数说明书或制造商检验报告或产品彩页或官网功能截图任意一种，不提供或缺漏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根据项目需求提供设备质量保证措施。内容包含①质量管理体系②货物整体的质量控制及保障措施。 二、评审标准 1、完整性：方案须全面，对评审内容中的各项要求有详细描述； 2、可实施性：切合本项目实际情况，方案清晰、合理； 3、针对性：方案紧扣项目实际情况，内容科学合理。 三、赋分依据（满分3分） ①质量管理体系：每完全满足一个评审标准得0.5分，满分1.5分； ②货物整体的质量控制及保障措施:每完全满足一个评审标准得0.5分，满分1.5分。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根据项目实际需求，提供完整详细的项目实施方案。内容包含①供货组织及进度安排②对接及运输方案③安装及调试方案④人员、物力调配安排。 二、评审标准 1、完整性：方案须全面，对评审内容中的各项要求有详细描述； 2、可实施性：切合本项目实际情况，实施步骤清晰、合理； 3、针对性：方案能够紧扣项目实际情况，内容科学合理。 三、赋分依据（满分6分） ①供货组织及进度安排：每完全满足一个评审标准得0.5分，满分1.5分； ②对接及运输方案:每完全满足一个评审标准得0.5分，满分1.5分； ③安装及调试方案:每完全满足一个评审标准得0.5分，满分1.5分；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1、完整性：方案须全面，对评审内容中的各项要求描述详细； 2、可实施性：切合本项目实际情况，实施步骤清晰、合理；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提供投标人2023年1月1日以来类似项目业绩（以合同签订日期为准），每份合格业绩合同计2分，满分10分。 赋分依据：须提供完整业绩合同及对应货款发票（任意一张）复印件，并加盖投标人公章。前述两种证明材料同时提供方可得分，否则不得分。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投标人针对本项目提供有利于本项目开展的其它承诺(例如：硬件、软件更新、配件更换服务等增值服务)，每提供一项承诺，得1分，满分3分，无承诺不得分。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40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所投产品技术参数清楚、明确，并能逐条响应招标文件第三章“技术参数表”中全部技术参数满足要求的，得30分。 “▲”项(5项)参数要求满分15分，每负偏离一项扣3分，扣完为止； 非“▲”项(9项)参数要求满分15分,每负偏离一项扣1.67分,扣完为止。 备注：所有“▲”及★项参数须有佐证材料，佐证材料例如：国家认可的检测机构出具的检测报告或产品说明书或技术参数说明书或制造商检验报告或产品彩页或官网功能截图任意一种，不提供或缺漏项不得分。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三、赋分依据（满分12分） ①供货组织及进度安排：每完全满足一个评审标准得1分，满分3分； ②对接及运输方案:每完全满足一个评审标准得1分，满分3分； ③安装调试方案:每完全满足一个评审标准得1分，满分3分； ④人员、物力调配安排：每完全满足一个评审标准得1分，满分3分。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根据项目需求提供设备质量保证措施。内容包含①质量管理体系②货物整体的质量控制及保障措施。 二、评审标准 1、完整性：方案须全面，对评审内容中的各项要求有详细描述； 2、可实施性：切合本项目实际情况，方案清晰、合理； 3、针对性：方案紧扣项目实际情况，内容科学合理。 三、赋分依据（满分3分） ①质量管理体系：每完全满足一个评审标准得0.5分，满分1.5分； ②货物整体的质量控制及保障措施:每完全满足一个评审标准得0.5分，满分1.5分。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1、完整性：方案须全面，对评审内容中的各项要求描述详细； 2、可实施性：切合本项目实际情况，实施步骤清晰、合理；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提供投标人2023年1月1日以来类似项目业绩（以合同签订日期为准），每份合格业绩合同计1分，满分7分。 赋分依据：须提供完整业绩合同及对应货款发票（任意一张）复印件，并加盖投标人公章。前述两种证明材料同时提供方可得分，否则不得分。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40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