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73A4C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服务内容</w:t>
      </w:r>
    </w:p>
    <w:p w14:paraId="50378B16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593B7060">
      <w:pPr>
        <w:pStyle w:val="8"/>
      </w:pPr>
      <w:r>
        <w:rPr>
          <w:rFonts w:ascii="仿宋_GB2312" w:hAnsi="仿宋_GB2312" w:eastAsia="仿宋_GB2312" w:cs="仿宋_GB2312"/>
        </w:rPr>
        <w:t>采购包预算金额（元）: 1,418,300.00</w:t>
      </w:r>
    </w:p>
    <w:p w14:paraId="536EFA90">
      <w:pPr>
        <w:pStyle w:val="8"/>
      </w:pPr>
      <w:r>
        <w:rPr>
          <w:rFonts w:ascii="仿宋_GB2312" w:hAnsi="仿宋_GB2312" w:eastAsia="仿宋_GB2312" w:cs="仿宋_GB2312"/>
        </w:rPr>
        <w:t>采购包最高限价（元）: 1,418,300.00</w:t>
      </w:r>
    </w:p>
    <w:p w14:paraId="6C70E2DA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1597204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5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1209"/>
        <w:gridCol w:w="1258"/>
        <w:gridCol w:w="2423"/>
        <w:gridCol w:w="1210"/>
        <w:gridCol w:w="1210"/>
      </w:tblGrid>
      <w:tr w14:paraId="2B4CDE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pct"/>
          </w:tcPr>
          <w:p w14:paraId="4EDFA0B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09" w:type="pct"/>
          </w:tcPr>
          <w:p w14:paraId="0006631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8" w:type="pct"/>
          </w:tcPr>
          <w:p w14:paraId="3FE9817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21" w:type="pct"/>
          </w:tcPr>
          <w:p w14:paraId="79B1BE8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10" w:type="pct"/>
          </w:tcPr>
          <w:p w14:paraId="1C4D196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10" w:type="pct"/>
          </w:tcPr>
          <w:p w14:paraId="5F58B12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41BC14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pct"/>
          </w:tcPr>
          <w:p w14:paraId="27AB652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09" w:type="pct"/>
          </w:tcPr>
          <w:p w14:paraId="55CE128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服务</w:t>
            </w:r>
          </w:p>
        </w:tc>
        <w:tc>
          <w:tcPr>
            <w:tcW w:w="738" w:type="pct"/>
          </w:tcPr>
          <w:p w14:paraId="53DF7C5D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21" w:type="pct"/>
          </w:tcPr>
          <w:p w14:paraId="30D0A21D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1,418,300.00</w:t>
            </w:r>
          </w:p>
        </w:tc>
        <w:tc>
          <w:tcPr>
            <w:tcW w:w="710" w:type="pct"/>
          </w:tcPr>
          <w:p w14:paraId="15C3C19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10" w:type="pct"/>
          </w:tcPr>
          <w:p w14:paraId="46CBCA6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</w:tr>
    </w:tbl>
    <w:p w14:paraId="7A5E53BA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6407DBFA">
      <w:pPr>
        <w:pStyle w:val="8"/>
      </w:pPr>
      <w:r>
        <w:rPr>
          <w:rFonts w:ascii="仿宋_GB2312" w:hAnsi="仿宋_GB2312" w:eastAsia="仿宋_GB2312" w:cs="仿宋_GB2312"/>
        </w:rPr>
        <w:t>采购包预算金额（元）: 1,137,500.00</w:t>
      </w:r>
    </w:p>
    <w:p w14:paraId="2AB515F3">
      <w:pPr>
        <w:pStyle w:val="8"/>
      </w:pPr>
      <w:r>
        <w:rPr>
          <w:rFonts w:ascii="仿宋_GB2312" w:hAnsi="仿宋_GB2312" w:eastAsia="仿宋_GB2312" w:cs="仿宋_GB2312"/>
        </w:rPr>
        <w:t>采购包最高限价（元）: 1,137,500.00</w:t>
      </w:r>
    </w:p>
    <w:p w14:paraId="6C700BED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B7839D7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5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1209"/>
        <w:gridCol w:w="1258"/>
        <w:gridCol w:w="2423"/>
        <w:gridCol w:w="1210"/>
        <w:gridCol w:w="1210"/>
      </w:tblGrid>
      <w:tr w14:paraId="6330D0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09" w:type="pct"/>
          </w:tcPr>
          <w:p w14:paraId="455F480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09" w:type="pct"/>
          </w:tcPr>
          <w:p w14:paraId="60A1B78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8" w:type="pct"/>
          </w:tcPr>
          <w:p w14:paraId="1099E36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21" w:type="pct"/>
          </w:tcPr>
          <w:p w14:paraId="317997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10" w:type="pct"/>
          </w:tcPr>
          <w:p w14:paraId="558C4E6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10" w:type="pct"/>
          </w:tcPr>
          <w:p w14:paraId="710A99A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801CE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pct"/>
          </w:tcPr>
          <w:p w14:paraId="4ECAF8C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09" w:type="pct"/>
          </w:tcPr>
          <w:p w14:paraId="5B7D7FE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服务</w:t>
            </w:r>
          </w:p>
        </w:tc>
        <w:tc>
          <w:tcPr>
            <w:tcW w:w="738" w:type="pct"/>
          </w:tcPr>
          <w:p w14:paraId="06B44996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21" w:type="pct"/>
          </w:tcPr>
          <w:p w14:paraId="3B995D95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1,137,500.00</w:t>
            </w:r>
          </w:p>
        </w:tc>
        <w:tc>
          <w:tcPr>
            <w:tcW w:w="710" w:type="pct"/>
          </w:tcPr>
          <w:p w14:paraId="057D507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10" w:type="pct"/>
          </w:tcPr>
          <w:p w14:paraId="538C14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</w:tr>
    </w:tbl>
    <w:p w14:paraId="725B47ED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3C5B7E79">
      <w:pPr>
        <w:pStyle w:val="8"/>
      </w:pPr>
      <w:r>
        <w:rPr>
          <w:rFonts w:ascii="仿宋_GB2312" w:hAnsi="仿宋_GB2312" w:eastAsia="仿宋_GB2312" w:cs="仿宋_GB2312"/>
        </w:rPr>
        <w:t>采购包预算金额（元）: 1,064,500.00</w:t>
      </w:r>
    </w:p>
    <w:p w14:paraId="0C4F3B12">
      <w:pPr>
        <w:pStyle w:val="8"/>
      </w:pPr>
      <w:r>
        <w:rPr>
          <w:rFonts w:ascii="仿宋_GB2312" w:hAnsi="仿宋_GB2312" w:eastAsia="仿宋_GB2312" w:cs="仿宋_GB2312"/>
        </w:rPr>
        <w:t>采购包最高限价（元）: 1,064,500.00</w:t>
      </w:r>
    </w:p>
    <w:p w14:paraId="0CC79375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DDCEDCF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5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1209"/>
        <w:gridCol w:w="1258"/>
        <w:gridCol w:w="2423"/>
        <w:gridCol w:w="1210"/>
        <w:gridCol w:w="1210"/>
      </w:tblGrid>
      <w:tr w14:paraId="631565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pct"/>
          </w:tcPr>
          <w:p w14:paraId="1B1E870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09" w:type="pct"/>
          </w:tcPr>
          <w:p w14:paraId="38603E8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8" w:type="pct"/>
          </w:tcPr>
          <w:p w14:paraId="1E6452F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21" w:type="pct"/>
          </w:tcPr>
          <w:p w14:paraId="0594DD3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10" w:type="pct"/>
          </w:tcPr>
          <w:p w14:paraId="128EB06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10" w:type="pct"/>
          </w:tcPr>
          <w:p w14:paraId="552920E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070F34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pct"/>
          </w:tcPr>
          <w:p w14:paraId="0B4A719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09" w:type="pct"/>
          </w:tcPr>
          <w:p w14:paraId="4EE859E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服务</w:t>
            </w:r>
          </w:p>
        </w:tc>
        <w:tc>
          <w:tcPr>
            <w:tcW w:w="738" w:type="pct"/>
          </w:tcPr>
          <w:p w14:paraId="5290AA46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21" w:type="pct"/>
          </w:tcPr>
          <w:p w14:paraId="63BA7A71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1,064,500.00</w:t>
            </w:r>
          </w:p>
        </w:tc>
        <w:tc>
          <w:tcPr>
            <w:tcW w:w="710" w:type="pct"/>
          </w:tcPr>
          <w:p w14:paraId="0CEBECC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10" w:type="pct"/>
          </w:tcPr>
          <w:p w14:paraId="4FCFEB8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</w:tr>
    </w:tbl>
    <w:p w14:paraId="4777A0D4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服务要求</w:t>
      </w:r>
    </w:p>
    <w:p w14:paraId="6C4A26AB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394E35AB">
      <w:pPr>
        <w:pStyle w:val="8"/>
      </w:pPr>
      <w:r>
        <w:rPr>
          <w:rFonts w:ascii="仿宋_GB2312" w:hAnsi="仿宋_GB2312" w:eastAsia="仿宋_GB2312" w:cs="仿宋_GB2312"/>
        </w:rPr>
        <w:t>标的名称：服务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1014"/>
        <w:gridCol w:w="6751"/>
      </w:tblGrid>
      <w:tr w14:paraId="203C02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0B8E06C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014" w:type="dxa"/>
          </w:tcPr>
          <w:p w14:paraId="29FB8EB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751" w:type="dxa"/>
          </w:tcPr>
          <w:p w14:paraId="675A93C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36058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6B077F8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14" w:type="dxa"/>
          </w:tcPr>
          <w:p w14:paraId="461736A2"/>
        </w:tc>
        <w:tc>
          <w:tcPr>
            <w:tcW w:w="6751" w:type="dxa"/>
          </w:tcPr>
          <w:p w14:paraId="4FCACE5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一、项目基本情况</w:t>
            </w:r>
          </w:p>
          <w:p w14:paraId="2936985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本项目为招标第三方运维公司负责承担西安市现有7座交通空气质量监测子站的运行维护服务；运维总预算141.83万元；运维周期一年。</w:t>
            </w:r>
          </w:p>
          <w:p w14:paraId="528A144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交通空气质量监测子站监测57种PAMS、非甲烷总烃、VOCs（苯系物）、总碳烃THC、NO2（NOX、NO）、CO、SO2、O3、PM2.5、PM10、BC 等指标以及气象五参数（包括风 速、风向、温度、湿度、气压）、车流量等参数；站点设备为57种PAMS、非甲烷总烃、VOCs（苯系物）、总碳烃T HC、NO2（NOX、NO）、CO、SO2、O3、PM2.5、PM10、BC等分析仪、零气发生器、动态气体校准仪、气象五参数、车流量监测设备、大气 采样系统、数据采集与传输软硬件、钢瓶气、供电系统、摄影系统、视频监控、子站站房、安防设施等。</w:t>
            </w:r>
          </w:p>
          <w:p w14:paraId="4F9E4D2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站点清单</w:t>
            </w:r>
          </w:p>
          <w:tbl>
            <w:tblPr>
              <w:tblStyle w:val="5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2"/>
              <w:gridCol w:w="1055"/>
              <w:gridCol w:w="4525"/>
            </w:tblGrid>
            <w:tr w14:paraId="4694D4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73827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序号</w:t>
                  </w:r>
                </w:p>
              </w:tc>
              <w:tc>
                <w:tcPr>
                  <w:tcW w:w="80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F765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站点名称</w:t>
                  </w:r>
                </w:p>
              </w:tc>
              <w:tc>
                <w:tcPr>
                  <w:tcW w:w="346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2C87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站点地址</w:t>
                  </w:r>
                </w:p>
              </w:tc>
            </w:tr>
            <w:tr w14:paraId="4C4492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F9A75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F4AB6E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铁路货场站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8817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西安市灞桥区西安港综合口岸中铁联集县中心站出口对面</w:t>
                  </w:r>
                </w:p>
              </w:tc>
            </w:tr>
            <w:tr w14:paraId="7DDCBD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A41E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6BE55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西三环站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0AB42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西安市未央区西三环红光公园西门路边绿化带内</w:t>
                  </w:r>
                </w:p>
              </w:tc>
            </w:tr>
            <w:tr w14:paraId="1D9C2D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C2A4B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C0F8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经开站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01F5A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西安市经开区未央路与凤城八路张家堡环岛内</w:t>
                  </w:r>
                </w:p>
              </w:tc>
            </w:tr>
            <w:tr w14:paraId="7B9BBD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5E2347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D9BBE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环城南路站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58C6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西安市碑林区环城南路东段绿化带内</w:t>
                  </w:r>
                </w:p>
              </w:tc>
            </w:tr>
            <w:tr w14:paraId="1D949F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D353E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234D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北大街站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12A94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西安市莲湖区地铁2号线北大街站C2出口</w:t>
                  </w:r>
                </w:p>
              </w:tc>
            </w:tr>
            <w:tr w14:paraId="5C7FFA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C1361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71CE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浐灞站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45CD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西安市灞桥区浐河西路与浐灞大道东南方</w:t>
                  </w:r>
                </w:p>
              </w:tc>
            </w:tr>
            <w:tr w14:paraId="29E3AC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A750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</w:t>
                  </w:r>
                </w:p>
              </w:tc>
              <w:tc>
                <w:tcPr>
                  <w:tcW w:w="80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122F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太白南路站</w:t>
                  </w:r>
                </w:p>
              </w:tc>
              <w:tc>
                <w:tcPr>
                  <w:tcW w:w="3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C55A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西安市雁塔区太白立交交叉口东南方</w:t>
                  </w:r>
                </w:p>
              </w:tc>
            </w:tr>
          </w:tbl>
          <w:p w14:paraId="1A67AE8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主要监测因子</w:t>
            </w:r>
          </w:p>
          <w:tbl>
            <w:tblPr>
              <w:tblStyle w:val="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00"/>
              <w:gridCol w:w="400"/>
              <w:gridCol w:w="780"/>
              <w:gridCol w:w="400"/>
              <w:gridCol w:w="685"/>
              <w:gridCol w:w="400"/>
              <w:gridCol w:w="400"/>
              <w:gridCol w:w="400"/>
              <w:gridCol w:w="590"/>
              <w:gridCol w:w="590"/>
              <w:gridCol w:w="400"/>
              <w:gridCol w:w="495"/>
              <w:gridCol w:w="590"/>
            </w:tblGrid>
            <w:tr w14:paraId="770E28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59F3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序号</w:t>
                  </w:r>
                </w:p>
              </w:tc>
              <w:tc>
                <w:tcPr>
                  <w:tcW w:w="2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2A36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站点名称</w:t>
                  </w:r>
                </w:p>
              </w:tc>
              <w:tc>
                <w:tcPr>
                  <w:tcW w:w="2102" w:type="dxa"/>
                  <w:gridSpan w:val="11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9B6B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主要监测因子</w:t>
                  </w:r>
                </w:p>
              </w:tc>
            </w:tr>
            <w:tr w14:paraId="16A542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1841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ED2C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铁路货场站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2571D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C35F1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BAD0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85D7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5798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O3</w:t>
                  </w:r>
                </w:p>
              </w:tc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FD754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A4B7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甲烷、非甲烷总烃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0163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PM10</w:t>
                  </w:r>
                </w:p>
              </w:tc>
              <w:tc>
                <w:tcPr>
                  <w:tcW w:w="15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E2D9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BC</w:t>
                  </w:r>
                </w:p>
              </w:tc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D945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SO2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9F90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VOCs 57种PAMS</w:t>
                  </w:r>
                </w:p>
              </w:tc>
            </w:tr>
            <w:tr w14:paraId="210245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26F1D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6593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西三环站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E7A2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E282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278A3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10F1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8B17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51E2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17D1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非甲烷总烃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546C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PM10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DCEDD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BC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984A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2895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VOCs苯系物</w:t>
                  </w:r>
                </w:p>
              </w:tc>
            </w:tr>
            <w:tr w14:paraId="7D8D3A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6EB4B4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2EEB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经开站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3E49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D4477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FF1B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5DC2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65D1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95535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44705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甲烷、非甲烷总烃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043C97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PM10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FC73CA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FEEF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BCE4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</w:tr>
            <w:tr w14:paraId="34DE89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C6E7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58ED01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环城南路站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21577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3E4A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0FA9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A256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739E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O3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5C47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总碳氢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EFB0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BBCA5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8631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E47A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4D63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</w:tr>
            <w:tr w14:paraId="1655E8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98B5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EA59A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北大街站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9BC46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D5251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BF43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6770B4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DD56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O3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AB27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总碳氢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D610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15E5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AC4C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7FEC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531B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</w:tr>
            <w:tr w14:paraId="1AA180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C74E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2B683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浐灞站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4DFE7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8FD5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CFE7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9B4B8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F848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O3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F9435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总碳氢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6652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02D75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BC434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E7563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7748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</w:tr>
            <w:tr w14:paraId="3DB97B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C3453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</w:t>
                  </w:r>
                </w:p>
              </w:tc>
              <w:tc>
                <w:tcPr>
                  <w:tcW w:w="25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81A4E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太白南路站</w:t>
                  </w:r>
                </w:p>
              </w:tc>
              <w:tc>
                <w:tcPr>
                  <w:tcW w:w="20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6A29E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NO2 (NOX、NO)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E2AAF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CO</w:t>
                  </w:r>
                </w:p>
              </w:tc>
              <w:tc>
                <w:tcPr>
                  <w:tcW w:w="2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F2AC4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PM2.5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5766AB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车流量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3D1CC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O3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32D4D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总碳氢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45766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E37C0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5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B1BC1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3A322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  <w:tc>
                <w:tcPr>
                  <w:tcW w:w="2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AAB59">
                  <w:pPr>
                    <w:pStyle w:val="8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/</w:t>
                  </w:r>
                </w:p>
              </w:tc>
            </w:tr>
          </w:tbl>
          <w:p w14:paraId="3C487CE1">
            <w:pPr>
              <w:pStyle w:val="8"/>
            </w:pPr>
          </w:p>
        </w:tc>
      </w:tr>
    </w:tbl>
    <w:p w14:paraId="4DBB2AFA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0E958C74">
      <w:pPr>
        <w:pStyle w:val="8"/>
      </w:pPr>
      <w:r>
        <w:rPr>
          <w:rFonts w:ascii="仿宋_GB2312" w:hAnsi="仿宋_GB2312" w:eastAsia="仿宋_GB2312" w:cs="仿宋_GB2312"/>
        </w:rPr>
        <w:t>标的名称：服务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1222"/>
        <w:gridCol w:w="6367"/>
      </w:tblGrid>
      <w:tr w14:paraId="192FC2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8" w:type="dxa"/>
          </w:tcPr>
          <w:p w14:paraId="69011F7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22" w:type="dxa"/>
          </w:tcPr>
          <w:p w14:paraId="0F858AC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67" w:type="dxa"/>
          </w:tcPr>
          <w:p w14:paraId="009BB8C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64625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8" w:type="dxa"/>
          </w:tcPr>
          <w:p w14:paraId="099AA1A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22" w:type="dxa"/>
          </w:tcPr>
          <w:p w14:paraId="39BABEEF"/>
        </w:tc>
        <w:tc>
          <w:tcPr>
            <w:tcW w:w="6367" w:type="dxa"/>
          </w:tcPr>
          <w:p w14:paraId="28E581A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一、项目概述</w:t>
            </w:r>
          </w:p>
          <w:p w14:paraId="22CA15F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对西安市已建成5套机动车排气污染固定式遥感监测系统运行维护。</w:t>
            </w:r>
          </w:p>
          <w:p w14:paraId="37E4875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服务期限：自合同签订之日起1年。</w:t>
            </w:r>
          </w:p>
          <w:p w14:paraId="6EBFD93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服务地点：5套监测设备分布在文景路与凤城七路交汇处，港务大道与保税三路处，绕城高速香王收费站出口，绕城高速河池寨收费站出口，绕城高速曲江收费站出口。</w:t>
            </w:r>
          </w:p>
          <w:p w14:paraId="7E5E799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维护内容</w:t>
            </w:r>
          </w:p>
          <w:p w14:paraId="1D23FDE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（1）水泥基础设施：应包含设备基础沉降防治、裂缝修补、水平维持和安全防护；</w:t>
            </w:r>
          </w:p>
          <w:p w14:paraId="5619DBB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（2）辅助构件设施：应包含立杆保养、机柜防水、恒温控制、管线检查和安全防护；</w:t>
            </w:r>
          </w:p>
          <w:p w14:paraId="49C5846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（3）网络电力保障：应包含维护管理期内各点位产生的电费、网费；</w:t>
            </w:r>
          </w:p>
          <w:p w14:paraId="1A69F2E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（4）监测设备系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统：应包含主控计算机、便携计算机、污染物检测单元、速度加速度检测单元、环境气象测量单元、车牌自动识别单元、标定气体校准单元以及安防监控设备管理维护；</w:t>
            </w:r>
          </w:p>
          <w:p w14:paraId="736853F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（5）数据处理系统：应包含遥测系统综合应用软件、遥测系统数据分析软件、遥测系统数据传输软件、数据输出LED显示器、数据输出打印以及数据保存系统的管理维护；</w:t>
            </w:r>
          </w:p>
          <w:p w14:paraId="2B1E1A3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（6）遥感数据监测平台：应包含服务器遥感数据处理以及平台软件维护。</w:t>
            </w:r>
          </w:p>
        </w:tc>
      </w:tr>
    </w:tbl>
    <w:p w14:paraId="1BC93D72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7E7D7F23">
      <w:pPr>
        <w:pStyle w:val="8"/>
      </w:pPr>
      <w:r>
        <w:rPr>
          <w:rFonts w:ascii="仿宋_GB2312" w:hAnsi="仿宋_GB2312" w:eastAsia="仿宋_GB2312" w:cs="仿宋_GB2312"/>
        </w:rPr>
        <w:t>标的名称：服务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178"/>
        <w:gridCol w:w="6604"/>
      </w:tblGrid>
      <w:tr w14:paraId="3753BC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0" w:type="dxa"/>
          </w:tcPr>
          <w:p w14:paraId="6D40FB0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78" w:type="dxa"/>
          </w:tcPr>
          <w:p w14:paraId="6ABE3B6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04" w:type="dxa"/>
          </w:tcPr>
          <w:p w14:paraId="336E1B2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97A0E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0" w:type="dxa"/>
          </w:tcPr>
          <w:p w14:paraId="0EA3494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78" w:type="dxa"/>
          </w:tcPr>
          <w:p w14:paraId="52FA29E1"/>
        </w:tc>
        <w:tc>
          <w:tcPr>
            <w:tcW w:w="6604" w:type="dxa"/>
          </w:tcPr>
          <w:p w14:paraId="069A163A">
            <w:pPr>
              <w:pStyle w:val="8"/>
            </w:pPr>
            <w:r>
              <w:rPr>
                <w:rFonts w:ascii="仿宋_GB2312" w:hAnsi="仿宋_GB2312" w:eastAsia="仿宋_GB2312" w:cs="仿宋_GB2312"/>
                <w:sz w:val="21"/>
              </w:rPr>
              <w:t>1.服务对象及范围</w:t>
            </w:r>
          </w:p>
          <w:tbl>
            <w:tblPr>
              <w:tblStyle w:val="5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0"/>
              <w:gridCol w:w="1983"/>
              <w:gridCol w:w="880"/>
              <w:gridCol w:w="880"/>
              <w:gridCol w:w="1321"/>
            </w:tblGrid>
            <w:tr w14:paraId="6801D8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186F1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分类</w:t>
                  </w:r>
                </w:p>
              </w:tc>
              <w:tc>
                <w:tcPr>
                  <w:tcW w:w="1552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DC9D31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详细项目</w:t>
                  </w:r>
                </w:p>
              </w:tc>
              <w:tc>
                <w:tcPr>
                  <w:tcW w:w="689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ADF2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</w:t>
                  </w:r>
                </w:p>
              </w:tc>
              <w:tc>
                <w:tcPr>
                  <w:tcW w:w="689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AC4617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单位</w:t>
                  </w:r>
                </w:p>
              </w:tc>
              <w:tc>
                <w:tcPr>
                  <w:tcW w:w="103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FE96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服务范围</w:t>
                  </w:r>
                </w:p>
              </w:tc>
            </w:tr>
            <w:tr w14:paraId="6E35D6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3BA54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西安市机动车尾气排放综合管理平台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（软件）</w:t>
                  </w:r>
                </w:p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F2365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现有系统功能模块维护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DE5B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85ECE4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20D35B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平台运维、技术支持、故障排除</w:t>
                  </w:r>
                </w:p>
              </w:tc>
            </w:tr>
            <w:tr w14:paraId="6B94FB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75AF60A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055D2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系统维护升级：根据政府下发文件进行系统升级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F7DBE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1B2DF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61643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平台运维、技术支持、故障排除</w:t>
                  </w:r>
                </w:p>
              </w:tc>
            </w:tr>
            <w:tr w14:paraId="5EF53F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7249467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B8DB7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数据接口对接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0C79E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DEED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D8212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平台运维、技术支持、故障排除</w:t>
                  </w:r>
                </w:p>
              </w:tc>
            </w:tr>
            <w:tr w14:paraId="7570D6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3D3CE54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43D9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系统数据统计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2CB7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8FEF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CED31A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平台运维、技术支持、故障排除</w:t>
                  </w:r>
                </w:p>
              </w:tc>
            </w:tr>
            <w:tr w14:paraId="1145AC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5ED245C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DF7DA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系统巡检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D0DC7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F332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C09AB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平台运维、技术支持、故障排除</w:t>
                  </w:r>
                </w:p>
              </w:tc>
            </w:tr>
            <w:tr w14:paraId="53640D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278964A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06154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交通道路空气站分析报告生成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E708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/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2D94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份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60A01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按需生成</w:t>
                  </w:r>
                </w:p>
              </w:tc>
            </w:tr>
            <w:tr w14:paraId="061836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4F5C4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西安市机动车尾气排放综合管理平台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（硬件）</w:t>
                  </w:r>
                </w:p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39773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交通道路空气质量监测站（含耗材、维护等）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167C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8FBCE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290AB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014EBB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45186C1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E9A8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手持平板电脑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75425E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F54FE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台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B58A9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6C14DE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8F7111E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F8EBB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便携式彩色打印机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FA828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861F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台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79622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191C30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831E640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A0F9D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硫含量快速检测仪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B126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1ECA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A68BD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671BCE0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05DDE8D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4BAAB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服务器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CE58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DE8A6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台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F726E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2D0206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86BEAF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DE462F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下一代防火墙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14437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C8DE3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台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51B9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553EB1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344DA86"/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C12F9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运维安全审计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FFFD0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FE6863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台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8935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硬件检测、技术支持、故障排除</w:t>
                  </w:r>
                </w:p>
              </w:tc>
            </w:tr>
            <w:tr w14:paraId="7140BC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861CC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西安市机动车尾气排放综合管理平台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（其他）</w:t>
                  </w:r>
                </w:p>
              </w:tc>
              <w:tc>
                <w:tcPr>
                  <w:tcW w:w="15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6836E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互联网专线（50M）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27511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66DF1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条</w:t>
                  </w:r>
                </w:p>
              </w:tc>
              <w:tc>
                <w:tcPr>
                  <w:tcW w:w="103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F1208">
                  <w:pPr>
                    <w:pStyle w:val="8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保障网络畅通</w:t>
                  </w:r>
                </w:p>
              </w:tc>
            </w:tr>
          </w:tbl>
          <w:p w14:paraId="1FFEFB5B">
            <w:pPr>
              <w:pStyle w:val="8"/>
            </w:pPr>
          </w:p>
        </w:tc>
      </w:tr>
    </w:tbl>
    <w:p w14:paraId="057E4FA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93A16"/>
    <w:rsid w:val="379E338E"/>
    <w:rsid w:val="4C910E89"/>
    <w:rsid w:val="4CB8444C"/>
    <w:rsid w:val="53744FA3"/>
    <w:rsid w:val="5A0C0C52"/>
    <w:rsid w:val="5C152502"/>
    <w:rsid w:val="61AC5060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429</Words>
  <Characters>443</Characters>
  <Lines>0</Lines>
  <Paragraphs>0</Paragraphs>
  <TotalTime>2</TotalTime>
  <ScaleCrop>false</ScaleCrop>
  <LinksUpToDate>false</LinksUpToDate>
  <CharactersWithSpaces>443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2026-08-28T08:47:07Z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