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188AA">
      <w:pPr>
        <w:rPr>
          <w:rFonts w:hint="eastAsia" w:ascii="宋体" w:hAnsi="宋体" w:eastAsia="宋体" w:cs="宋体"/>
          <w:b/>
          <w:bCs/>
          <w:color w:val="auto"/>
          <w:sz w:val="28"/>
          <w:szCs w:val="28"/>
          <w:highlight w:val="none"/>
          <w:lang w:val="zh-CN"/>
        </w:rPr>
      </w:pPr>
    </w:p>
    <w:p w14:paraId="35B666F9">
      <w:pPr>
        <w:pStyle w:val="4"/>
        <w:rPr>
          <w:rFonts w:hint="eastAsia"/>
          <w:lang w:val="zh-CN"/>
        </w:rPr>
      </w:pPr>
    </w:p>
    <w:p w14:paraId="3950238C">
      <w:pPr>
        <w:rPr>
          <w:rFonts w:hint="eastAsia" w:ascii="宋体" w:hAnsi="宋体" w:eastAsia="宋体" w:cs="宋体"/>
          <w:b/>
          <w:color w:val="auto"/>
          <w:sz w:val="36"/>
          <w:szCs w:val="36"/>
          <w:highlight w:val="none"/>
          <w:lang w:val="en-US" w:eastAsia="zh-CN"/>
        </w:rPr>
      </w:pPr>
    </w:p>
    <w:p w14:paraId="2F2CCE99">
      <w:pPr>
        <w:rPr>
          <w:rFonts w:hint="eastAsia" w:ascii="宋体" w:hAnsi="宋体" w:eastAsia="宋体" w:cs="宋体"/>
          <w:b/>
          <w:color w:val="auto"/>
          <w:sz w:val="36"/>
          <w:szCs w:val="36"/>
          <w:highlight w:val="none"/>
          <w:lang w:val="en-US" w:eastAsia="zh-CN"/>
        </w:rPr>
      </w:pPr>
    </w:p>
    <w:p w14:paraId="7F03B768">
      <w:pPr>
        <w:rPr>
          <w:rFonts w:hint="eastAsia" w:ascii="宋体" w:hAnsi="宋体" w:eastAsia="宋体" w:cs="宋体"/>
          <w:b/>
          <w:color w:val="auto"/>
          <w:sz w:val="36"/>
          <w:szCs w:val="36"/>
          <w:highlight w:val="none"/>
          <w:lang w:val="en-US" w:eastAsia="zh-CN"/>
        </w:rPr>
      </w:pPr>
    </w:p>
    <w:p w14:paraId="5FE021E0">
      <w:pPr>
        <w:rPr>
          <w:rFonts w:hint="eastAsia" w:ascii="宋体" w:hAnsi="宋体" w:eastAsia="宋体" w:cs="宋体"/>
          <w:b/>
          <w:bCs/>
          <w:color w:val="auto"/>
          <w:sz w:val="28"/>
          <w:szCs w:val="28"/>
          <w:highlight w:val="none"/>
          <w:lang w:val="zh-CN"/>
        </w:rPr>
      </w:pPr>
      <w:r>
        <w:rPr>
          <w:rFonts w:hint="eastAsia" w:ascii="宋体" w:hAnsi="宋体" w:eastAsia="宋体" w:cs="宋体"/>
          <w:b/>
          <w:color w:val="auto"/>
          <w:sz w:val="36"/>
          <w:szCs w:val="36"/>
          <w:highlight w:val="none"/>
          <w:lang w:val="en-US" w:eastAsia="zh-CN"/>
        </w:rPr>
        <w:t>陕西省“十五五”推进农业农村现代化规划编制项目</w:t>
      </w:r>
    </w:p>
    <w:p w14:paraId="6812A542">
      <w:pPr>
        <w:rPr>
          <w:rFonts w:hint="eastAsia" w:ascii="宋体" w:hAnsi="宋体" w:eastAsia="宋体" w:cs="宋体"/>
          <w:b/>
          <w:bCs/>
          <w:color w:val="auto"/>
          <w:sz w:val="28"/>
          <w:szCs w:val="28"/>
          <w:highlight w:val="none"/>
          <w:lang w:val="zh-CN"/>
        </w:rPr>
      </w:pPr>
    </w:p>
    <w:p w14:paraId="275F4C96">
      <w:pPr>
        <w:rPr>
          <w:rFonts w:hint="eastAsia" w:ascii="宋体" w:hAnsi="宋体" w:eastAsia="宋体" w:cs="宋体"/>
          <w:b/>
          <w:bCs/>
          <w:color w:val="auto"/>
          <w:sz w:val="28"/>
          <w:szCs w:val="28"/>
          <w:highlight w:val="none"/>
          <w:lang w:val="zh-CN"/>
        </w:rPr>
      </w:pPr>
    </w:p>
    <w:p w14:paraId="5C441590">
      <w:pPr>
        <w:pStyle w:val="4"/>
        <w:rPr>
          <w:rFonts w:hint="eastAsia" w:ascii="宋体" w:hAnsi="宋体" w:eastAsia="宋体" w:cs="宋体"/>
          <w:b/>
          <w:bCs/>
          <w:color w:val="auto"/>
          <w:sz w:val="28"/>
          <w:szCs w:val="28"/>
          <w:highlight w:val="none"/>
          <w:lang w:val="zh-CN"/>
        </w:rPr>
      </w:pPr>
    </w:p>
    <w:p w14:paraId="1FB284C1">
      <w:pPr>
        <w:pStyle w:val="4"/>
        <w:rPr>
          <w:rFonts w:hint="eastAsia" w:ascii="宋体" w:hAnsi="宋体" w:eastAsia="宋体" w:cs="宋体"/>
          <w:b/>
          <w:bCs/>
          <w:color w:val="auto"/>
          <w:sz w:val="28"/>
          <w:szCs w:val="28"/>
          <w:highlight w:val="none"/>
          <w:lang w:val="zh-CN"/>
        </w:rPr>
      </w:pPr>
    </w:p>
    <w:p w14:paraId="5E993F45">
      <w:pPr>
        <w:pStyle w:val="4"/>
        <w:rPr>
          <w:rFonts w:hint="eastAsia" w:ascii="宋体" w:hAnsi="宋体" w:eastAsia="宋体" w:cs="宋体"/>
          <w:b/>
          <w:bCs/>
          <w:color w:val="auto"/>
          <w:sz w:val="28"/>
          <w:szCs w:val="28"/>
          <w:highlight w:val="none"/>
          <w:lang w:val="zh-CN"/>
        </w:rPr>
      </w:pPr>
    </w:p>
    <w:p w14:paraId="6BC0EFD5">
      <w:pPr>
        <w:pStyle w:val="4"/>
        <w:rPr>
          <w:rFonts w:hint="eastAsia"/>
          <w:lang w:val="zh-CN"/>
        </w:rPr>
      </w:pPr>
    </w:p>
    <w:p w14:paraId="71EE82DC">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sz w:val="72"/>
          <w:szCs w:val="72"/>
          <w:highlight w:val="none"/>
        </w:rPr>
        <w:t>服 务 合 同</w:t>
      </w:r>
    </w:p>
    <w:p w14:paraId="4078B51F">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71312255">
      <w:pPr>
        <w:rPr>
          <w:rFonts w:hint="eastAsia"/>
          <w:lang w:val="zh-CN"/>
        </w:rPr>
      </w:pPr>
    </w:p>
    <w:p w14:paraId="69DDCBD7">
      <w:pPr>
        <w:pStyle w:val="2"/>
        <w:rPr>
          <w:rFonts w:hint="eastAsia"/>
          <w:lang w:val="zh-CN"/>
        </w:rPr>
      </w:pPr>
    </w:p>
    <w:p w14:paraId="657C4A9D">
      <w:pPr>
        <w:rPr>
          <w:rFonts w:hint="eastAsia"/>
          <w:lang w:val="zh-CN"/>
        </w:rPr>
      </w:pPr>
    </w:p>
    <w:p w14:paraId="2C9E20D3">
      <w:pPr>
        <w:rPr>
          <w:rFonts w:hint="eastAsia"/>
          <w:lang w:val="zh-CN"/>
        </w:rPr>
      </w:pPr>
    </w:p>
    <w:p w14:paraId="1DB272E9">
      <w:pPr>
        <w:pStyle w:val="2"/>
        <w:rPr>
          <w:rFonts w:hint="eastAsia"/>
          <w:lang w:val="zh-CN"/>
        </w:rPr>
      </w:pPr>
    </w:p>
    <w:p w14:paraId="2E7BBAC8">
      <w:pPr>
        <w:rPr>
          <w:rFonts w:hint="eastAsia"/>
          <w:lang w:val="zh-CN"/>
        </w:rPr>
      </w:pPr>
    </w:p>
    <w:p w14:paraId="44E01217">
      <w:pPr>
        <w:pStyle w:val="3"/>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p>
    <w:p w14:paraId="4D581189">
      <w:pPr>
        <w:spacing w:line="480" w:lineRule="auto"/>
        <w:ind w:firstLine="1606" w:firstLineChars="500"/>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甲方：</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u w:val="single"/>
          <w:lang w:val="en-US" w:eastAsia="zh-CN"/>
        </w:rPr>
        <w:t xml:space="preserve">                         </w:t>
      </w:r>
    </w:p>
    <w:p w14:paraId="49B6E62C">
      <w:pPr>
        <w:pStyle w:val="3"/>
        <w:keepNext w:val="0"/>
        <w:keepLines w:val="0"/>
        <w:pageBreakBefore w:val="0"/>
        <w:widowControl w:val="0"/>
        <w:numPr>
          <w:ilvl w:val="0"/>
          <w:numId w:val="0"/>
        </w:numPr>
        <w:wordWrap/>
        <w:overflowPunct/>
        <w:topLinePunct w:val="0"/>
        <w:bidi w:val="0"/>
        <w:spacing w:line="480" w:lineRule="auto"/>
        <w:ind w:firstLine="1606" w:firstLineChars="500"/>
        <w:jc w:val="both"/>
        <w:rPr>
          <w:rFonts w:hint="default"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rPr>
        <w:t>乙方：</w:t>
      </w:r>
      <w:r>
        <w:rPr>
          <w:rFonts w:hint="eastAsia" w:ascii="宋体" w:hAnsi="宋体" w:eastAsia="宋体" w:cs="宋体"/>
          <w:b/>
          <w:bCs/>
          <w:color w:val="auto"/>
          <w:sz w:val="32"/>
          <w:szCs w:val="32"/>
          <w:highlight w:val="none"/>
          <w:u w:val="single"/>
          <w:lang w:val="en-US" w:eastAsia="zh-CN"/>
        </w:rPr>
        <w:t xml:space="preserve">                          </w:t>
      </w:r>
    </w:p>
    <w:p w14:paraId="574CA025">
      <w:pPr>
        <w:pStyle w:val="3"/>
        <w:keepNext w:val="0"/>
        <w:keepLines w:val="0"/>
        <w:pageBreakBefore w:val="0"/>
        <w:widowControl w:val="0"/>
        <w:numPr>
          <w:ilvl w:val="0"/>
          <w:numId w:val="0"/>
        </w:numPr>
        <w:wordWrap/>
        <w:overflowPunct/>
        <w:topLinePunct w:val="0"/>
        <w:bidi w:val="0"/>
        <w:spacing w:line="480" w:lineRule="auto"/>
        <w:ind w:firstLine="1606" w:firstLineChars="500"/>
        <w:jc w:val="both"/>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签订时间：</w:t>
      </w:r>
      <w:r>
        <w:rPr>
          <w:rFonts w:hint="eastAsia" w:ascii="宋体" w:hAnsi="宋体" w:eastAsia="宋体" w:cs="宋体"/>
          <w:b/>
          <w:bCs/>
          <w:color w:val="auto"/>
          <w:sz w:val="32"/>
          <w:szCs w:val="32"/>
          <w:highlight w:val="none"/>
          <w:u w:val="single"/>
        </w:rPr>
        <w:t xml:space="preserve">          </w:t>
      </w:r>
      <w:r>
        <w:rPr>
          <w:rFonts w:hint="eastAsia" w:ascii="宋体" w:hAnsi="宋体" w:eastAsia="宋体" w:cs="宋体"/>
          <w:b/>
          <w:bCs/>
          <w:color w:val="auto"/>
          <w:sz w:val="32"/>
          <w:szCs w:val="32"/>
          <w:highlight w:val="none"/>
          <w:u w:val="single"/>
          <w:lang w:val="en-US" w:eastAsia="zh-CN"/>
        </w:rPr>
        <w:t xml:space="preserve">            </w:t>
      </w:r>
    </w:p>
    <w:p w14:paraId="7133325A">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陕西省“十五五”推进农业农村现代化规划编制项目</w:t>
      </w:r>
    </w:p>
    <w:p w14:paraId="5F870704">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宋体" w:hAnsi="宋体" w:eastAsia="宋体" w:cs="宋体"/>
          <w:b/>
          <w:bCs/>
          <w:spacing w:val="-23"/>
          <w:sz w:val="28"/>
          <w:szCs w:val="28"/>
          <w:lang w:val="en-US" w:eastAsia="zh-CN"/>
        </w:rPr>
      </w:pPr>
      <w:r>
        <w:rPr>
          <w:rFonts w:hint="eastAsia" w:ascii="宋体" w:hAnsi="宋体" w:eastAsia="宋体" w:cs="宋体"/>
          <w:b/>
          <w:bCs/>
          <w:spacing w:val="-23"/>
          <w:sz w:val="28"/>
          <w:szCs w:val="28"/>
          <w:lang w:val="en-US" w:eastAsia="zh-CN"/>
        </w:rPr>
        <w:t>服务合同</w:t>
      </w:r>
    </w:p>
    <w:p w14:paraId="39C9A912">
      <w:pPr>
        <w:keepNext w:val="0"/>
        <w:keepLines w:val="0"/>
        <w:pageBreakBefore w:val="0"/>
        <w:widowControl/>
        <w:kinsoku w:val="0"/>
        <w:wordWrap/>
        <w:overflowPunct/>
        <w:topLinePunct/>
        <w:autoSpaceDE w:val="0"/>
        <w:autoSpaceDN w:val="0"/>
        <w:bidi w:val="0"/>
        <w:adjustRightInd w:val="0"/>
        <w:snapToGrid w:val="0"/>
        <w:spacing w:line="360" w:lineRule="auto"/>
        <w:ind w:firstLine="420" w:firstLineChars="200"/>
        <w:textAlignment w:val="baseline"/>
        <w:rPr>
          <w:rFonts w:hint="eastAsia" w:ascii="宋体" w:hAnsi="宋体" w:eastAsia="宋体" w:cs="宋体"/>
          <w:sz w:val="24"/>
          <w:szCs w:val="24"/>
        </w:rPr>
      </w:pPr>
      <w:r>
        <w:rPr>
          <w:rFonts w:hint="eastAsia" w:ascii="宋体" w:hAnsi="宋体" w:eastAsia="宋体" w:cs="宋体"/>
          <w:color w:val="auto"/>
          <w:sz w:val="21"/>
          <w:szCs w:val="21"/>
          <w:highlight w:val="none"/>
        </w:rPr>
        <w:t>（本格式条款供采购人和</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成交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供应商双方签订合同参考，最终以采购人实际签订的合同为准）</w:t>
      </w:r>
    </w:p>
    <w:p w14:paraId="07DBF355">
      <w:pPr>
        <w:keepNext w:val="0"/>
        <w:keepLines w:val="0"/>
        <w:pageBreakBefore w:val="0"/>
        <w:kinsoku/>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甲方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40AEB2E6">
      <w:pPr>
        <w:keepNext w:val="0"/>
        <w:keepLines w:val="0"/>
        <w:pageBreakBefore w:val="0"/>
        <w:kinsoku/>
        <w:wordWrap/>
        <w:overflowPunct/>
        <w:bidi w:val="0"/>
        <w:spacing w:line="360" w:lineRule="auto"/>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成交供应商</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rPr>
        <w:t xml:space="preserve">                    </w:t>
      </w:r>
    </w:p>
    <w:p w14:paraId="53E1E023">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文件、投标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或响应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通知书等有关规定，为确保甲方采购项目的顺利实施，经甲、乙双方协商，达成如下合同条款。</w:t>
      </w:r>
    </w:p>
    <w:p w14:paraId="2B859561">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lang w:val="en-US" w:eastAsia="zh-CN"/>
        </w:rPr>
        <w:t xml:space="preserve">第一条 </w:t>
      </w:r>
      <w:r>
        <w:rPr>
          <w:rFonts w:hint="eastAsia" w:ascii="宋体" w:hAnsi="宋体" w:eastAsia="宋体" w:cs="宋体"/>
          <w:b/>
          <w:bCs/>
          <w:sz w:val="24"/>
          <w:szCs w:val="24"/>
        </w:rPr>
        <w:t>合同内容：</w:t>
      </w:r>
      <w:r>
        <w:rPr>
          <w:rFonts w:hint="eastAsia" w:ascii="宋体" w:hAnsi="宋体" w:eastAsia="宋体" w:cs="宋体"/>
          <w:b w:val="0"/>
          <w:bCs w:val="0"/>
          <w:sz w:val="24"/>
          <w:szCs w:val="24"/>
        </w:rPr>
        <w:t>“</w:t>
      </w:r>
      <w:r>
        <w:rPr>
          <w:rFonts w:hint="eastAsia" w:ascii="宋体" w:hAnsi="宋体" w:eastAsia="宋体" w:cs="宋体"/>
          <w:b w:val="0"/>
          <w:bCs w:val="0"/>
          <w:sz w:val="24"/>
          <w:szCs w:val="24"/>
          <w:u w:val="single"/>
        </w:rPr>
        <w:t>十五五”时期是陕西省基本实现农业农村现代化的关键阶段，科学编制规划对稳住粮食安全底线、做强陕西现代农业、建设宜居宜业和美乡村、缩小城乡发展差距，以及助力实现2035年农业农村现代化远景目标具有顶层引领、统筹布局的关键作用。为高标准完成本次规划编制工作，现采购《陕西省“十五五”推进农业农村现代化规划》编制技术服务，规划覆盖陕西省全域，期限2026—2030年并展望至2035年</w:t>
      </w:r>
      <w:r>
        <w:rPr>
          <w:rFonts w:hint="eastAsia" w:ascii="宋体" w:hAnsi="宋体" w:eastAsia="宋体" w:cs="宋体"/>
          <w:b w:val="0"/>
          <w:bCs w:val="0"/>
          <w:sz w:val="24"/>
          <w:szCs w:val="24"/>
        </w:rPr>
        <w:t>。</w:t>
      </w:r>
    </w:p>
    <w:p w14:paraId="1F570057">
      <w:pPr>
        <w:keepNext w:val="0"/>
        <w:keepLines w:val="0"/>
        <w:pageBreakBefore w:val="0"/>
        <w:widowControl/>
        <w:kinsoku/>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rPr>
        <w:t>第二条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服务</w:t>
      </w:r>
      <w:r>
        <w:rPr>
          <w:rFonts w:hint="eastAsia" w:ascii="宋体" w:hAnsi="宋体" w:eastAsia="宋体" w:cs="宋体"/>
          <w:b/>
          <w:bCs/>
          <w:sz w:val="24"/>
          <w:szCs w:val="24"/>
          <w:lang w:val="en-US" w:eastAsia="zh-CN"/>
        </w:rPr>
        <w:t>条件</w:t>
      </w:r>
    </w:p>
    <w:p w14:paraId="5EFEF6AF">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服务期：</w:t>
      </w:r>
      <w:r>
        <w:rPr>
          <w:rFonts w:hint="eastAsia" w:ascii="宋体" w:hAnsi="宋体" w:eastAsia="宋体" w:cs="宋体"/>
          <w:color w:val="auto"/>
          <w:sz w:val="24"/>
          <w:szCs w:val="24"/>
          <w:highlight w:val="none"/>
          <w:u w:val="single"/>
          <w:lang w:eastAsia="zh-CN"/>
        </w:rPr>
        <w:t>自合同签订之日起，至2026年12月31日止</w:t>
      </w:r>
      <w:r>
        <w:rPr>
          <w:rFonts w:hint="eastAsia" w:ascii="宋体" w:hAnsi="宋体" w:eastAsia="宋体" w:cs="宋体"/>
          <w:color w:val="auto"/>
          <w:sz w:val="24"/>
          <w:szCs w:val="24"/>
          <w:highlight w:val="none"/>
          <w:u w:val="none"/>
          <w:lang w:eastAsia="zh-CN"/>
        </w:rPr>
        <w:t>；</w:t>
      </w:r>
    </w:p>
    <w:p w14:paraId="4A8B743A">
      <w:pPr>
        <w:keepNext w:val="0"/>
        <w:keepLines w:val="0"/>
        <w:pageBreakBefore w:val="0"/>
        <w:kinsoku/>
        <w:wordWrap/>
        <w:overflowPunct/>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2、质量标准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符合国家现行规范及行业标准</w:t>
      </w:r>
      <w:r>
        <w:rPr>
          <w:rFonts w:hint="eastAsia" w:ascii="宋体" w:hAnsi="宋体" w:eastAsia="宋体" w:cs="宋体"/>
          <w:color w:val="auto"/>
          <w:sz w:val="24"/>
          <w:szCs w:val="24"/>
          <w:highlight w:val="none"/>
          <w:u w:val="none"/>
          <w:lang w:eastAsia="zh-CN"/>
        </w:rPr>
        <w:t>。</w:t>
      </w:r>
    </w:p>
    <w:p w14:paraId="2248E369">
      <w:pPr>
        <w:keepNext w:val="0"/>
        <w:keepLines w:val="0"/>
        <w:pageBreakBefore w:val="0"/>
        <w:kinsoku/>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合同价款</w:t>
      </w:r>
    </w:p>
    <w:p w14:paraId="14092329">
      <w:pPr>
        <w:keepNext w:val="0"/>
        <w:keepLines w:val="0"/>
        <w:pageBreakBefore w:val="0"/>
        <w:kinsoku/>
        <w:wordWrap/>
        <w:overflowPunct/>
        <w:bidi w:val="0"/>
        <w:spacing w:line="360" w:lineRule="auto"/>
        <w:ind w:firstLine="480" w:firstLineChars="200"/>
        <w:rPr>
          <w:rFonts w:hint="eastAsia"/>
          <w:color w:val="auto"/>
          <w:sz w:val="24"/>
          <w:szCs w:val="24"/>
          <w:u w:val="none"/>
          <w:vertAlign w:val="baseline"/>
          <w:lang w:val="en-US" w:eastAsia="zh-CN"/>
        </w:rPr>
      </w:pPr>
      <w:r>
        <w:rPr>
          <w:rFonts w:hint="eastAsia" w:ascii="宋体" w:hAnsi="宋体" w:eastAsia="宋体" w:cs="宋体"/>
          <w:color w:val="auto"/>
          <w:sz w:val="24"/>
          <w:szCs w:val="24"/>
          <w:highlight w:val="none"/>
          <w:lang w:val="en-US" w:eastAsia="zh-CN"/>
        </w:rPr>
        <w:t>1、合</w:t>
      </w:r>
      <w:r>
        <w:rPr>
          <w:rFonts w:hint="eastAsia"/>
          <w:color w:val="auto"/>
          <w:sz w:val="24"/>
          <w:szCs w:val="24"/>
          <w:u w:val="none"/>
          <w:vertAlign w:val="baseline"/>
          <w:lang w:val="en-US" w:eastAsia="zh-CN"/>
        </w:rPr>
        <w:t>同总价款为人民币（大写）</w:t>
      </w:r>
      <w:r>
        <w:rPr>
          <w:rFonts w:hint="eastAsia"/>
          <w:color w:val="auto"/>
          <w:sz w:val="24"/>
          <w:szCs w:val="24"/>
          <w:u w:val="single"/>
          <w:vertAlign w:val="baseline"/>
          <w:lang w:val="en-US" w:eastAsia="zh-CN"/>
        </w:rPr>
        <w:t xml:space="preserve">           （¥：        元）</w:t>
      </w:r>
      <w:r>
        <w:rPr>
          <w:rFonts w:hint="eastAsia"/>
          <w:color w:val="auto"/>
          <w:sz w:val="24"/>
          <w:szCs w:val="24"/>
          <w:u w:val="none"/>
          <w:vertAlign w:val="baseline"/>
          <w:lang w:val="en-US" w:eastAsia="zh-CN"/>
        </w:rPr>
        <w:t>；</w:t>
      </w:r>
    </w:p>
    <w:p w14:paraId="07B494AD">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u w:val="none"/>
          <w:lang w:val="en-US" w:eastAsia="zh-CN"/>
        </w:rPr>
      </w:pPr>
      <w:r>
        <w:rPr>
          <w:rFonts w:hint="eastAsia" w:ascii="宋体" w:hAnsi="宋体" w:eastAsia="宋体" w:cs="宋体"/>
          <w:bCs/>
          <w:color w:val="auto"/>
          <w:kern w:val="2"/>
          <w:sz w:val="24"/>
          <w:szCs w:val="24"/>
          <w:lang w:val="en-US" w:eastAsia="zh-CN" w:bidi="ar-SA"/>
        </w:rPr>
        <w:t>2、合同总价包含：</w:t>
      </w:r>
      <w:r>
        <w:rPr>
          <w:rFonts w:hint="eastAsia" w:ascii="宋体" w:hAnsi="宋体" w:eastAsia="宋体" w:cs="宋体"/>
          <w:color w:val="auto"/>
          <w:sz w:val="24"/>
          <w:szCs w:val="24"/>
          <w:highlight w:val="none"/>
          <w:u w:val="single"/>
          <w:lang w:val="en-US" w:eastAsia="zh-CN"/>
        </w:rPr>
        <w:t>供应商为完成本项目所需的直接费、间接费、利润、税金及其它相关的一切费用。包括但不限于：人工费、设备费、管理费、检测费（如有）、利润和税金等全部费用。在提供服务的过程中的任何遗漏，均由中标供应商提供，采购人将不再支付任何费用</w:t>
      </w:r>
      <w:r>
        <w:rPr>
          <w:rFonts w:hint="eastAsia" w:ascii="宋体" w:hAnsi="宋体" w:eastAsia="宋体" w:cs="宋体"/>
          <w:color w:val="auto"/>
          <w:sz w:val="24"/>
          <w:szCs w:val="24"/>
          <w:highlight w:val="none"/>
          <w:u w:val="none"/>
          <w:lang w:val="en-US" w:eastAsia="zh-CN"/>
        </w:rPr>
        <w:t>。</w:t>
      </w:r>
    </w:p>
    <w:p w14:paraId="7D17FAB0">
      <w:pPr>
        <w:keepNext w:val="0"/>
        <w:keepLines w:val="0"/>
        <w:pageBreakBefore w:val="0"/>
        <w:kinsoku/>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款项结算</w:t>
      </w:r>
    </w:p>
    <w:p w14:paraId="305BFEFA">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vertAlign w:val="baseline"/>
          <w:lang w:val="en-US" w:eastAsia="zh-CN"/>
        </w:rPr>
        <w:t>1.合同款项的支付实行分期支付。</w:t>
      </w:r>
    </w:p>
    <w:p w14:paraId="6CEC4567">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u w:val="none"/>
          <w:vertAlign w:val="baseline"/>
          <w:lang w:val="en-US" w:eastAsia="zh-CN"/>
        </w:rPr>
      </w:pPr>
      <w:r>
        <w:rPr>
          <w:rFonts w:hint="eastAsia" w:ascii="宋体" w:hAnsi="宋体" w:eastAsia="宋体" w:cs="宋体"/>
          <w:color w:val="auto"/>
          <w:sz w:val="24"/>
          <w:szCs w:val="24"/>
          <w:u w:val="none"/>
          <w:vertAlign w:val="baseline"/>
          <w:lang w:val="en-US" w:eastAsia="zh-CN"/>
        </w:rPr>
        <w:t>自合同签订之日起，达到付款条件起 10个工作日内，支付合同总金额的40.00%；项目结束验收完毕后按照验收情况，达到付款条件起 10个工作日内， 支付合同总金额的60.00%。</w:t>
      </w:r>
    </w:p>
    <w:p w14:paraId="4131D9C5">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支付方式：银行转账</w:t>
      </w:r>
    </w:p>
    <w:p w14:paraId="636C20A8">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结算方式：乙方应于甲方每次付款前向甲方开具等额发票，持服务合同、发票，与甲方结算。</w:t>
      </w:r>
    </w:p>
    <w:p w14:paraId="28FF09E1">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每次付款前，乙方应向甲方提交付款申请，因乙方原因导致甲方支付延期的，甲方不承担违约责任。</w:t>
      </w:r>
    </w:p>
    <w:p w14:paraId="01C2884B">
      <w:pPr>
        <w:keepNext w:val="0"/>
        <w:keepLines w:val="0"/>
        <w:pageBreakBefore w:val="0"/>
        <w:widowControl/>
        <w:kinsoku/>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甲、乙双方的权利</w:t>
      </w:r>
      <w:r>
        <w:rPr>
          <w:rFonts w:hint="eastAsia" w:ascii="宋体" w:hAnsi="宋体" w:eastAsia="宋体" w:cs="宋体"/>
          <w:b/>
          <w:bCs/>
          <w:sz w:val="24"/>
          <w:szCs w:val="24"/>
          <w:highlight w:val="none"/>
          <w:lang w:val="en-US" w:eastAsia="zh-CN"/>
        </w:rPr>
        <w:t>和</w:t>
      </w:r>
      <w:r>
        <w:rPr>
          <w:rFonts w:hint="eastAsia" w:ascii="宋体" w:hAnsi="宋体" w:eastAsia="宋体" w:cs="宋体"/>
          <w:b/>
          <w:bCs/>
          <w:sz w:val="24"/>
          <w:szCs w:val="24"/>
          <w:highlight w:val="none"/>
        </w:rPr>
        <w:t>义务</w:t>
      </w:r>
    </w:p>
    <w:p w14:paraId="6ECA3BC0">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1、甲方的权利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highlight w:val="none"/>
        </w:rPr>
        <w:t>义务：</w:t>
      </w:r>
    </w:p>
    <w:p w14:paraId="6EB235B8">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（1）甲方应及时履行本合同中约定的付款义务。</w:t>
      </w:r>
    </w:p>
    <w:p w14:paraId="4A5D9846">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（2）甲方应向乙方提供项目所需要的相关资料，并对其完整性、准确性负责，甲方不得要求乙方违反国家有关标准编制项目方案。</w:t>
      </w:r>
    </w:p>
    <w:p w14:paraId="6283F498">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（3）甲方有权要求乙方提供的服务所涉及的第三方权利进行免责。</w:t>
      </w:r>
    </w:p>
    <w:p w14:paraId="4A787189">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（4）甲方要求乙方提供所需要的技术服务，需符合国家相关部门有关技术质量的规定标准。</w:t>
      </w:r>
    </w:p>
    <w:p w14:paraId="4381CF11">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（5）甲方有权向乙方提出合理化建议。</w:t>
      </w:r>
    </w:p>
    <w:p w14:paraId="67B784C4">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left"/>
        <w:textAlignment w:val="auto"/>
        <w:outlineLvl w:val="9"/>
        <w:rPr>
          <w:rFonts w:hint="eastAsia" w:ascii="宋体" w:hAnsi="宋体" w:eastAsia="宋体" w:cs="宋体"/>
          <w:color w:val="161616"/>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（6）甲方有权</w:t>
      </w:r>
      <w:r>
        <w:rPr>
          <w:rFonts w:hint="eastAsia" w:ascii="宋体" w:hAnsi="宋体" w:eastAsia="宋体" w:cs="宋体"/>
          <w:color w:val="161616"/>
          <w:kern w:val="2"/>
          <w:sz w:val="24"/>
          <w:szCs w:val="24"/>
          <w:highlight w:val="none"/>
          <w:lang w:eastAsia="zh-CN" w:bidi="ar-SA"/>
        </w:rPr>
        <w:t>审</w:t>
      </w:r>
      <w:r>
        <w:rPr>
          <w:rFonts w:hint="eastAsia" w:ascii="宋体" w:hAnsi="宋体" w:eastAsia="宋体" w:cs="宋体"/>
          <w:color w:val="161616"/>
          <w:kern w:val="2"/>
          <w:sz w:val="24"/>
          <w:szCs w:val="24"/>
          <w:highlight w:val="none"/>
          <w:lang w:val="en-US" w:eastAsia="zh-CN" w:bidi="ar-SA"/>
        </w:rPr>
        <w:t>查规划编制相关工作。</w:t>
      </w:r>
    </w:p>
    <w:p w14:paraId="3D29030E">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left"/>
        <w:textAlignment w:val="auto"/>
        <w:outlineLvl w:val="9"/>
        <w:rPr>
          <w:rFonts w:hint="eastAsia" w:ascii="宋体" w:hAnsi="宋体" w:eastAsia="宋体" w:cs="宋体"/>
          <w:color w:val="161616"/>
          <w:kern w:val="2"/>
          <w:sz w:val="24"/>
          <w:szCs w:val="24"/>
          <w:highlight w:val="none"/>
          <w:lang w:val="en-US" w:eastAsia="zh-CN" w:bidi="ar-SA"/>
        </w:rPr>
      </w:pPr>
      <w:r>
        <w:rPr>
          <w:rFonts w:hint="eastAsia" w:ascii="宋体" w:hAnsi="宋体" w:eastAsia="宋体" w:cs="宋体"/>
          <w:color w:val="161616"/>
          <w:kern w:val="2"/>
          <w:sz w:val="24"/>
          <w:szCs w:val="24"/>
          <w:highlight w:val="none"/>
          <w:lang w:val="en-US" w:eastAsia="zh-CN" w:bidi="ar-SA"/>
        </w:rPr>
        <w:t>（7）甲方有权要求乙方更换考核不合格的人员，乙方调换相关人员须经甲方同意。</w:t>
      </w:r>
    </w:p>
    <w:p w14:paraId="0364C27E">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left"/>
        <w:textAlignment w:val="auto"/>
        <w:outlineLvl w:val="9"/>
        <w:rPr>
          <w:rFonts w:hint="eastAsia" w:ascii="宋体" w:hAnsi="宋体" w:eastAsia="宋体" w:cs="宋体"/>
          <w:color w:val="161616"/>
          <w:kern w:val="2"/>
          <w:sz w:val="24"/>
          <w:szCs w:val="24"/>
          <w:highlight w:val="none"/>
          <w:lang w:val="en-US" w:eastAsia="zh-CN" w:bidi="ar-SA"/>
        </w:rPr>
      </w:pPr>
      <w:r>
        <w:rPr>
          <w:rFonts w:hint="eastAsia" w:ascii="宋体" w:hAnsi="宋体" w:eastAsia="宋体" w:cs="宋体"/>
          <w:color w:val="161616"/>
          <w:kern w:val="2"/>
          <w:sz w:val="24"/>
          <w:szCs w:val="24"/>
          <w:highlight w:val="none"/>
          <w:lang w:val="en-US" w:eastAsia="zh-CN" w:bidi="ar-SA"/>
        </w:rPr>
        <w:t>（8）甲方有权对乙方提供的服务进行监督。</w:t>
      </w:r>
    </w:p>
    <w:p w14:paraId="55408F8A">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2、乙方的权利</w:t>
      </w:r>
      <w:r>
        <w:rPr>
          <w:rFonts w:hint="eastAsia" w:ascii="宋体" w:hAnsi="宋体" w:eastAsia="宋体" w:cs="宋体"/>
          <w:color w:val="auto"/>
          <w:sz w:val="24"/>
          <w:szCs w:val="24"/>
          <w:highlight w:val="none"/>
        </w:rPr>
        <w:t>和</w:t>
      </w:r>
      <w:r>
        <w:rPr>
          <w:rFonts w:hint="eastAsia" w:ascii="宋体" w:hAnsi="宋体" w:eastAsia="宋体" w:cs="宋体"/>
          <w:sz w:val="24"/>
          <w:szCs w:val="24"/>
        </w:rPr>
        <w:t>义务</w:t>
      </w:r>
      <w:r>
        <w:rPr>
          <w:rFonts w:hint="eastAsia" w:ascii="宋体" w:hAnsi="宋体" w:eastAsia="宋体" w:cs="宋体"/>
          <w:sz w:val="24"/>
          <w:szCs w:val="24"/>
          <w:lang w:eastAsia="zh-CN"/>
        </w:rPr>
        <w:t>：</w:t>
      </w:r>
    </w:p>
    <w:p w14:paraId="0DF620B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）乙方应按照</w:t>
      </w:r>
      <w:r>
        <w:rPr>
          <w:rFonts w:hint="eastAsia" w:ascii="宋体" w:hAnsi="宋体" w:eastAsia="宋体" w:cs="宋体"/>
          <w:sz w:val="24"/>
          <w:szCs w:val="24"/>
          <w:lang w:val="en-US" w:eastAsia="zh-CN"/>
        </w:rPr>
        <w:t>合同</w:t>
      </w:r>
      <w:r>
        <w:rPr>
          <w:rFonts w:hint="eastAsia" w:ascii="宋体" w:hAnsi="宋体" w:eastAsia="宋体" w:cs="宋体"/>
          <w:sz w:val="24"/>
          <w:szCs w:val="24"/>
          <w:lang w:eastAsia="zh-CN"/>
        </w:rPr>
        <w:t>约定及时制定和实施工作计划、工作</w:t>
      </w:r>
      <w:r>
        <w:rPr>
          <w:rFonts w:hint="eastAsia" w:ascii="宋体" w:hAnsi="宋体" w:eastAsia="宋体" w:cs="宋体"/>
          <w:sz w:val="24"/>
          <w:szCs w:val="24"/>
          <w:lang w:val="en-US" w:eastAsia="zh-CN"/>
        </w:rPr>
        <w:t>实施</w:t>
      </w:r>
      <w:r>
        <w:rPr>
          <w:rFonts w:hint="eastAsia" w:ascii="宋体" w:hAnsi="宋体" w:eastAsia="宋体" w:cs="宋体"/>
          <w:sz w:val="24"/>
          <w:szCs w:val="24"/>
          <w:lang w:eastAsia="zh-CN"/>
        </w:rPr>
        <w:t>方案。</w:t>
      </w:r>
    </w:p>
    <w:p w14:paraId="6B4229DF">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color w:val="auto"/>
          <w:sz w:val="24"/>
          <w:szCs w:val="24"/>
          <w:highlight w:val="none"/>
        </w:rPr>
        <w:t>乙方应根据本合同的约定，向甲方提供本合同约定的及乙方</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中承诺的服务内容。乙方应在服务期开始时立即履行</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义务。</w:t>
      </w:r>
    </w:p>
    <w:p w14:paraId="2AD72A0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）乙方不得擅自将本合同项下的委托事项转委托。</w:t>
      </w:r>
    </w:p>
    <w:p w14:paraId="490C5D4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）在未征得甲方事先书面批准的情况下，乙方不得泄露与本合同或在合同履行期间得知的与甲方有关的任何知识产权成果和保密信息，并对相关资料履行保密义务。</w:t>
      </w:r>
    </w:p>
    <w:p w14:paraId="176BABB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乙方应保证所提供服务在使用时不会侵犯任何第三方的专利权、商标权、设计权或其他权利。</w:t>
      </w:r>
    </w:p>
    <w:p w14:paraId="4148889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（6）乙方必须严格按照甲方要求、相关部门要求进行编制，且符合国家现行的有关标准及规范，并按合同规定的进度要求提交质量合格的成果文件，并对其负责。</w:t>
      </w:r>
    </w:p>
    <w:p w14:paraId="04E4D0E0">
      <w:pPr>
        <w:keepNext w:val="0"/>
        <w:keepLines w:val="0"/>
        <w:pageBreakBefore w:val="0"/>
        <w:widowControl/>
        <w:kinsoku/>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乙方保证在服务</w:t>
      </w:r>
      <w:r>
        <w:rPr>
          <w:rFonts w:hint="eastAsia" w:ascii="宋体" w:hAnsi="宋体" w:eastAsia="宋体" w:cs="宋体"/>
          <w:color w:val="auto"/>
          <w:sz w:val="24"/>
          <w:szCs w:val="24"/>
          <w:highlight w:val="none"/>
          <w:lang w:val="en-US" w:eastAsia="zh-CN"/>
        </w:rPr>
        <w:t>过程</w:t>
      </w:r>
      <w:r>
        <w:rPr>
          <w:rFonts w:hint="eastAsia" w:ascii="宋体" w:hAnsi="宋体" w:eastAsia="宋体" w:cs="宋体"/>
          <w:color w:val="auto"/>
          <w:sz w:val="24"/>
          <w:szCs w:val="24"/>
          <w:highlight w:val="none"/>
        </w:rPr>
        <w:t>中严格遵守相关单位的管理要求和工作纪律。</w:t>
      </w:r>
    </w:p>
    <w:p w14:paraId="1BCF1418">
      <w:pPr>
        <w:keepNext w:val="0"/>
        <w:keepLines w:val="0"/>
        <w:pageBreakBefore w:val="0"/>
        <w:widowControl/>
        <w:kinsoku/>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（8）乙方应保护甲方的知识产权，不得向第三人泄露、转让甲方提交的技术经济等资料。如发生以上情况并给甲方造成经济损失，甲方有权向乙方提出索赔。</w:t>
      </w:r>
    </w:p>
    <w:p w14:paraId="221F5C64">
      <w:pPr>
        <w:keepNext w:val="0"/>
        <w:keepLines w:val="0"/>
        <w:pageBreakBefore w:val="0"/>
        <w:widowControl/>
        <w:kinsoku/>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（9）因甲方每年财政划拨时间不确定，乙方不得在甲方财政划拨资金到位前进行催缴、中断服务等影响甲方正常业务工作的相关行为。</w:t>
      </w:r>
    </w:p>
    <w:p w14:paraId="3C1CA93D">
      <w:pPr>
        <w:keepNext w:val="0"/>
        <w:keepLines w:val="0"/>
        <w:pageBreakBefore w:val="0"/>
        <w:widowControl/>
        <w:kinsoku/>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（10）乙方应指派专职项目负责人，联系和处理工作中的有关事项，参加协调会及合同执行过程中遇到的相关问题。</w:t>
      </w:r>
    </w:p>
    <w:p w14:paraId="65BEA824">
      <w:pPr>
        <w:keepNext w:val="0"/>
        <w:keepLines w:val="0"/>
        <w:pageBreakBefore w:val="0"/>
        <w:widowControl/>
        <w:kinsoku/>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（11）乙方应编制工作日志，及时向甲方汇报工作进度及项目相关情况。</w:t>
      </w:r>
    </w:p>
    <w:p w14:paraId="0AE215B1">
      <w:pPr>
        <w:keepNext w:val="0"/>
        <w:keepLines w:val="0"/>
        <w:pageBreakBefore w:val="0"/>
        <w:widowControl/>
        <w:kinsoku/>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（12）乙方必须自觉遵守国家、甲乙双方的各项有关安全规定，不得违章操作或滥用权力。</w:t>
      </w:r>
    </w:p>
    <w:p w14:paraId="4D6AE618">
      <w:pPr>
        <w:keepNext w:val="0"/>
        <w:keepLines w:val="0"/>
        <w:pageBreakBefore w:val="0"/>
        <w:widowControl/>
        <w:kinsoku/>
        <w:wordWrap/>
        <w:overflowPunct/>
        <w:topLinePunct w:val="0"/>
        <w:autoSpaceDE w:val="0"/>
        <w:autoSpaceDN w:val="0"/>
        <w:bidi w:val="0"/>
        <w:adjustRightInd w:val="0"/>
        <w:snapToGrid w:val="0"/>
        <w:spacing w:line="360" w:lineRule="auto"/>
        <w:ind w:firstLine="240" w:firstLineChars="100"/>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（13）乙方必须自备完成本合同约定服务内容的一切设施和设备。</w:t>
      </w:r>
    </w:p>
    <w:p w14:paraId="00491DF8">
      <w:pPr>
        <w:keepNext w:val="0"/>
        <w:keepLines w:val="0"/>
        <w:pageBreakBefore w:val="0"/>
        <w:kinsoku/>
        <w:wordWrap/>
        <w:overflowPunct/>
        <w:bidi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六</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color w:val="auto"/>
          <w:sz w:val="24"/>
          <w:szCs w:val="24"/>
          <w:highlight w:val="none"/>
        </w:rPr>
        <w:t>服务工作要求和质量保证</w:t>
      </w:r>
    </w:p>
    <w:p w14:paraId="61252E61">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乙方各项具体工作的质量标准和作业规范应为合同签订日为止最新公布发行的标准和技术规范，并按国家相关标准、规范及</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、响应文件制定的内容执行。</w:t>
      </w:r>
    </w:p>
    <w:p w14:paraId="521E3E34">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乙方保证所供服务没有涉及其他权力纠纷。因侵权而产生的一切后果由乙方负责，甲方保留索赔权力。</w:t>
      </w:r>
    </w:p>
    <w:p w14:paraId="720C7EFD">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乙方未经甲方同意，不得擅自变更本工作在响应文件中认定的工作范围、组织实施方案和项目负责人。</w:t>
      </w:r>
    </w:p>
    <w:p w14:paraId="7D1B7FD9">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若因不可抗力致使项目实际情况发生变化或其他因素造成需对原方案进行修改、完善、补充时，乙方需会同甲方协商有关事宜。</w:t>
      </w:r>
    </w:p>
    <w:p w14:paraId="397762A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sz w:val="24"/>
          <w:szCs w:val="24"/>
        </w:rPr>
        <w:t>如在服务过程中发生质量问题，乙方在接到甲方通知后在</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文件承诺的时间内到达甲方现场处理</w:t>
      </w:r>
      <w:r>
        <w:rPr>
          <w:rFonts w:hint="eastAsia" w:ascii="宋体" w:hAnsi="宋体" w:eastAsia="宋体" w:cs="宋体"/>
          <w:sz w:val="24"/>
          <w:szCs w:val="24"/>
          <w:lang w:eastAsia="zh-CN"/>
        </w:rPr>
        <w:t>。</w:t>
      </w:r>
    </w:p>
    <w:p w14:paraId="75CE955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、在服务期内，乙方应对服务的质量及安全问题负责处理解决并承担一切费用。</w:t>
      </w:r>
    </w:p>
    <w:p w14:paraId="45AEF21E">
      <w:pPr>
        <w:keepNext w:val="0"/>
        <w:keepLines w:val="0"/>
        <w:pageBreakBefore w:val="0"/>
        <w:widowControl/>
        <w:kinsoku/>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履约验收</w:t>
      </w:r>
    </w:p>
    <w:p w14:paraId="3EA0207D">
      <w:pPr>
        <w:keepNext w:val="0"/>
        <w:keepLines w:val="0"/>
        <w:pageBreakBefore w:val="0"/>
        <w:numPr>
          <w:ilvl w:val="0"/>
          <w:numId w:val="0"/>
        </w:numPr>
        <w:kinsoku/>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1、乙方完成服务后进行自检，自检合格后邀请甲方进行验收。</w:t>
      </w:r>
    </w:p>
    <w:p w14:paraId="37C741F1">
      <w:pPr>
        <w:keepNext w:val="0"/>
        <w:keepLines w:val="0"/>
        <w:pageBreakBefore w:val="0"/>
        <w:numPr>
          <w:ilvl w:val="0"/>
          <w:numId w:val="0"/>
        </w:numPr>
        <w:kinsoku/>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2、甲方确认乙方的自检内容后，组织乙方(必要时请有关专家)进行最终验收，验收时乙方应派员参加，共同对验收结果进行确认，并在验收单上签字。</w:t>
      </w:r>
      <w:r>
        <w:rPr>
          <w:rFonts w:hint="eastAsia" w:ascii="宋体" w:hAnsi="宋体" w:eastAsia="宋体" w:cs="宋体"/>
          <w:color w:val="auto"/>
          <w:sz w:val="24"/>
          <w:szCs w:val="24"/>
          <w:highlight w:val="none"/>
        </w:rPr>
        <w:t>终验合格后，填写政府采购项目履约验收单(一式</w:t>
      </w:r>
      <w:r>
        <w:rPr>
          <w:rFonts w:hint="eastAsia" w:ascii="宋体" w:hAnsi="宋体" w:eastAsia="宋体" w:cs="宋体"/>
          <w:color w:val="auto"/>
          <w:sz w:val="24"/>
          <w:szCs w:val="24"/>
          <w:highlight w:val="none"/>
          <w:lang w:val="en-US" w:eastAsia="zh-CN"/>
        </w:rPr>
        <w:t>肆</w:t>
      </w:r>
      <w:r>
        <w:rPr>
          <w:rFonts w:hint="eastAsia" w:ascii="宋体" w:hAnsi="宋体" w:eastAsia="宋体" w:cs="宋体"/>
          <w:color w:val="auto"/>
          <w:sz w:val="24"/>
          <w:szCs w:val="24"/>
          <w:highlight w:val="none"/>
        </w:rPr>
        <w:t>份)作为对服务的最终认可。</w:t>
      </w:r>
      <w:r>
        <w:rPr>
          <w:rFonts w:hint="eastAsia" w:ascii="宋体" w:hAnsi="宋体" w:eastAsia="宋体" w:cs="宋体"/>
          <w:color w:val="auto"/>
          <w:sz w:val="24"/>
          <w:szCs w:val="24"/>
          <w:highlight w:val="none"/>
          <w:lang w:val="en-US" w:eastAsia="zh-CN"/>
        </w:rPr>
        <w:t>验收不合格的，乙方应当在7日内进行整改或调整，并重新提交甲方验收。</w:t>
      </w:r>
    </w:p>
    <w:p w14:paraId="6D1894DE">
      <w:pPr>
        <w:keepNext w:val="0"/>
        <w:keepLines w:val="0"/>
        <w:pageBreakBefore w:val="0"/>
        <w:numPr>
          <w:ilvl w:val="0"/>
          <w:numId w:val="0"/>
        </w:numPr>
        <w:kinsoku/>
        <w:wordWrap/>
        <w:overflowPunct/>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3、提供的相关服务均应符合本项目采购需求、政府采购合同等约定，并符合国家或行业相关规范。</w:t>
      </w:r>
    </w:p>
    <w:p w14:paraId="591AC7F1">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验收依据：</w:t>
      </w:r>
    </w:p>
    <w:p w14:paraId="61D9126E">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、澄清表(函)</w:t>
      </w:r>
      <w:r>
        <w:rPr>
          <w:rFonts w:hint="eastAsia" w:ascii="宋体" w:hAnsi="宋体" w:eastAsia="宋体" w:cs="宋体"/>
          <w:color w:val="auto"/>
          <w:sz w:val="24"/>
          <w:szCs w:val="24"/>
          <w:highlight w:val="none"/>
          <w:lang w:eastAsia="zh-CN"/>
        </w:rPr>
        <w:t>；</w:t>
      </w:r>
    </w:p>
    <w:p w14:paraId="22385ED6">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政府采购</w:t>
      </w:r>
      <w:r>
        <w:rPr>
          <w:rFonts w:hint="eastAsia" w:ascii="宋体" w:hAnsi="宋体" w:eastAsia="宋体" w:cs="宋体"/>
          <w:color w:val="auto"/>
          <w:sz w:val="24"/>
          <w:szCs w:val="24"/>
          <w:highlight w:val="none"/>
        </w:rPr>
        <w:t>合同及附件文本；</w:t>
      </w:r>
    </w:p>
    <w:p w14:paraId="110C0DF2">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国家相应的标准、规范。</w:t>
      </w:r>
    </w:p>
    <w:p w14:paraId="3E742F88">
      <w:pPr>
        <w:keepNext w:val="0"/>
        <w:keepLines w:val="0"/>
        <w:pageBreakBefore w:val="0"/>
        <w:widowControl/>
        <w:kinsoku/>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成果归属和使用</w:t>
      </w:r>
    </w:p>
    <w:p w14:paraId="79994EBE">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1.成果归属：乙方在本合同项下完成的成果所有权和著作权归属于甲方；</w:t>
      </w:r>
    </w:p>
    <w:p w14:paraId="3022B5E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2.成果转让和使用：在未征得甲方事前书面同意情况下，乙方不得擅自转让 合同项目产生的成果，不得在公开场合发表、公布以及使用。</w:t>
      </w:r>
    </w:p>
    <w:p w14:paraId="1D63870F">
      <w:pPr>
        <w:keepNext w:val="0"/>
        <w:keepLines w:val="0"/>
        <w:pageBreakBefore w:val="0"/>
        <w:widowControl/>
        <w:kinsoku/>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w:t>
      </w:r>
      <w:r>
        <w:rPr>
          <w:rFonts w:hint="eastAsia" w:ascii="宋体" w:hAnsi="宋体" w:eastAsia="宋体" w:cs="宋体"/>
          <w:b/>
          <w:bCs/>
          <w:sz w:val="24"/>
          <w:szCs w:val="24"/>
          <w:highlight w:val="none"/>
          <w:lang w:val="en-US" w:eastAsia="zh-CN"/>
        </w:rPr>
        <w:t>九</w:t>
      </w:r>
      <w:r>
        <w:rPr>
          <w:rFonts w:hint="eastAsia" w:ascii="宋体" w:hAnsi="宋体" w:eastAsia="宋体" w:cs="宋体"/>
          <w:b/>
          <w:bCs/>
          <w:sz w:val="24"/>
          <w:szCs w:val="24"/>
          <w:highlight w:val="none"/>
        </w:rPr>
        <w:t>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违约责任</w:t>
      </w:r>
    </w:p>
    <w:p w14:paraId="0F486FB7">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按《中华人民共和国民法典》中的相关条款执行。</w:t>
      </w:r>
    </w:p>
    <w:p w14:paraId="71C35D78">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乙方未按合同要求提供服务或质量不能满足合同要求，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156A345C">
      <w:pPr>
        <w:keepNext w:val="0"/>
        <w:keepLines w:val="0"/>
        <w:pageBreakBefore w:val="0"/>
        <w:kinsoku/>
        <w:wordWrap/>
        <w:overflowPunct/>
        <w:bidi w:val="0"/>
        <w:spacing w:line="360" w:lineRule="auto"/>
        <w:ind w:firstLine="480" w:firstLineChars="200"/>
        <w:rPr>
          <w:rFonts w:hint="eastAsia"/>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未经甲方同意，乙方擅自向第三方转包、分包本合同内容，将按照有关法律法规，追究所有乙方企业或个人的法律责任。</w:t>
      </w:r>
    </w:p>
    <w:p w14:paraId="68926F9F">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乙方履约延误。</w:t>
      </w:r>
    </w:p>
    <w:p w14:paraId="01F2D927">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未经甲方同意，乙方单方面延迟执行合同，甲方有权终止合同。</w:t>
      </w:r>
    </w:p>
    <w:p w14:paraId="14AB170B">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53A253D4">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服务期内，因乙方服务工作过失而造成的损失，乙方须承担相应的责任及甲方要求的合理赔偿，赔偿费用不超过合同总额。</w:t>
      </w:r>
    </w:p>
    <w:p w14:paraId="6CC594C9">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乙方应保证所提供产品和服务不会出现因第三方提出侵犯其专利权、商标权或其它知识产权而引发法律或经济纠纷，否则由乙方承担全部责任。任何被乙方用于未经授权的商业目的行为所造成的违约或侵权责任由乙方承担。</w:t>
      </w:r>
    </w:p>
    <w:p w14:paraId="786C0587">
      <w:pPr>
        <w:keepNext w:val="0"/>
        <w:keepLines w:val="0"/>
        <w:pageBreakBefore w:val="0"/>
        <w:kinsoku/>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第十条 </w:t>
      </w:r>
      <w:r>
        <w:rPr>
          <w:rFonts w:hint="eastAsia" w:ascii="宋体" w:hAnsi="宋体" w:eastAsia="宋体" w:cs="宋体"/>
          <w:b/>
          <w:bCs/>
          <w:color w:val="auto"/>
          <w:sz w:val="24"/>
          <w:szCs w:val="24"/>
          <w:highlight w:val="none"/>
        </w:rPr>
        <w:t>保密条款</w:t>
      </w:r>
    </w:p>
    <w:p w14:paraId="4B48536D">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6AF39C2D">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1A918E94">
      <w:pPr>
        <w:pStyle w:val="2"/>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本条款为独立条款，本合同的无效、变更、解除和终止均不影响本条款的效力。</w:t>
      </w:r>
    </w:p>
    <w:p w14:paraId="1E9C4800">
      <w:pPr>
        <w:keepNext w:val="0"/>
        <w:keepLines w:val="0"/>
        <w:pageBreakBefore w:val="0"/>
        <w:kinsoku/>
        <w:wordWrap/>
        <w:overflowPunct/>
        <w:bidi w:val="0"/>
        <w:spacing w:line="360" w:lineRule="auto"/>
        <w:ind w:firstLine="480" w:firstLineChars="200"/>
        <w:rPr>
          <w:rFonts w:hint="default" w:ascii="宋体" w:hAnsi="宋体" w:eastAsia="宋体" w:cs="宋体"/>
          <w:snapToGrid w:val="0"/>
          <w:color w:val="auto"/>
          <w:kern w:val="0"/>
          <w:sz w:val="24"/>
          <w:szCs w:val="24"/>
          <w:highlight w:val="none"/>
          <w:lang w:val="en-US" w:eastAsia="zh-CN" w:bidi="ar-SA"/>
        </w:rPr>
      </w:pPr>
      <w:r>
        <w:rPr>
          <w:rFonts w:hint="eastAsia" w:ascii="宋体" w:hAnsi="宋体" w:eastAsia="宋体" w:cs="宋体"/>
          <w:color w:val="auto"/>
          <w:sz w:val="24"/>
          <w:szCs w:val="24"/>
          <w:highlight w:val="none"/>
          <w:lang w:val="en-US" w:eastAsia="zh-CN"/>
        </w:rPr>
        <w:t>4</w:t>
      </w:r>
      <w:r>
        <w:rPr>
          <w:rFonts w:hint="eastAsia" w:ascii="宋体" w:hAnsi="宋体" w:eastAsia="宋体" w:cs="宋体"/>
          <w:snapToGrid w:val="0"/>
          <w:color w:val="auto"/>
          <w:kern w:val="0"/>
          <w:sz w:val="24"/>
          <w:szCs w:val="24"/>
          <w:highlight w:val="none"/>
          <w:lang w:val="en-US" w:eastAsia="zh-CN" w:bidi="ar-SA"/>
        </w:rPr>
        <w:t>、双方拟定的其他条款。</w:t>
      </w:r>
    </w:p>
    <w:p w14:paraId="1B8646D2">
      <w:pPr>
        <w:keepNext w:val="0"/>
        <w:keepLines w:val="0"/>
        <w:pageBreakBefore w:val="0"/>
        <w:widowControl/>
        <w:kinsoku/>
        <w:wordWrap/>
        <w:overflowPunct/>
        <w:topLinePunct/>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合同争议解决的方式</w:t>
      </w:r>
    </w:p>
    <w:p w14:paraId="6CDEC46A">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本合同在履行过程中发生的争议，由甲、乙双方当事人协商解决，协商不成的按下列第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种方式解决：</w:t>
      </w:r>
    </w:p>
    <w:p w14:paraId="15D67808">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提交西安仲裁委员会仲裁；</w:t>
      </w:r>
    </w:p>
    <w:p w14:paraId="5F7A130C">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依法向</w:t>
      </w:r>
      <w:r>
        <w:rPr>
          <w:rFonts w:hint="eastAsia" w:ascii="宋体" w:hAnsi="宋体" w:eastAsia="宋体" w:cs="宋体"/>
          <w:color w:val="auto"/>
          <w:sz w:val="24"/>
          <w:szCs w:val="24"/>
          <w:highlight w:val="none"/>
          <w:u w:val="single"/>
          <w:lang w:val="en-US" w:eastAsia="zh-CN"/>
        </w:rPr>
        <w:t xml:space="preserve"> 项目</w:t>
      </w:r>
      <w:r>
        <w:rPr>
          <w:rFonts w:hint="eastAsia" w:ascii="宋体" w:hAnsi="宋体" w:eastAsia="宋体" w:cs="宋体"/>
          <w:color w:val="auto"/>
          <w:sz w:val="24"/>
          <w:szCs w:val="24"/>
          <w:highlight w:val="none"/>
          <w:u w:val="single"/>
        </w:rPr>
        <w:t>所在地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人民法院起诉。</w:t>
      </w:r>
    </w:p>
    <w:p w14:paraId="432D1D37">
      <w:pPr>
        <w:pStyle w:val="7"/>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本条款为独立条款，本合同的无效、变更、解除和终止均不影响本条款的效力。</w:t>
      </w:r>
    </w:p>
    <w:p w14:paraId="337E3604">
      <w:pPr>
        <w:keepNext w:val="0"/>
        <w:keepLines w:val="0"/>
        <w:pageBreakBefore w:val="0"/>
        <w:kinsoku/>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合同变更</w:t>
      </w:r>
    </w:p>
    <w:p w14:paraId="55DAEE61">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4C6327CA">
      <w:pPr>
        <w:keepNext w:val="0"/>
        <w:keepLines w:val="0"/>
        <w:pageBreakBefore w:val="0"/>
        <w:kinsoku/>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第</w:t>
      </w: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 xml:space="preserve">三条 </w:t>
      </w:r>
      <w:r>
        <w:rPr>
          <w:rFonts w:hint="eastAsia" w:ascii="宋体" w:hAnsi="宋体" w:eastAsia="宋体" w:cs="宋体"/>
          <w:b/>
          <w:bCs/>
          <w:color w:val="auto"/>
          <w:sz w:val="24"/>
          <w:szCs w:val="24"/>
          <w:highlight w:val="none"/>
        </w:rPr>
        <w:t>合同生效</w:t>
      </w:r>
    </w:p>
    <w:p w14:paraId="654D6C6B">
      <w:pPr>
        <w:keepNext w:val="0"/>
        <w:keepLines w:val="0"/>
        <w:pageBreakBefore w:val="0"/>
        <w:kinsoku/>
        <w:wordWrap/>
        <w:overflowPunct/>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份，本合同</w:t>
      </w:r>
      <w:r>
        <w:rPr>
          <w:rFonts w:hint="eastAsia" w:ascii="宋体" w:hAnsi="宋体" w:eastAsia="宋体" w:cs="宋体"/>
          <w:color w:val="auto"/>
          <w:sz w:val="24"/>
          <w:szCs w:val="24"/>
          <w:highlight w:val="none"/>
          <w:lang w:val="en-US" w:eastAsia="zh-CN"/>
        </w:rPr>
        <w:t>自</w:t>
      </w:r>
      <w:r>
        <w:rPr>
          <w:rFonts w:hint="eastAsia" w:ascii="宋体" w:hAnsi="宋体" w:eastAsia="宋体" w:cs="宋体"/>
          <w:color w:val="auto"/>
          <w:sz w:val="24"/>
          <w:szCs w:val="24"/>
          <w:highlight w:val="none"/>
        </w:rPr>
        <w:t>甲、乙</w:t>
      </w:r>
      <w:r>
        <w:rPr>
          <w:rFonts w:hint="eastAsia" w:ascii="宋体" w:hAnsi="宋体" w:eastAsia="宋体" w:cs="宋体"/>
          <w:color w:val="auto"/>
          <w:sz w:val="24"/>
          <w:szCs w:val="24"/>
          <w:highlight w:val="none"/>
          <w:lang w:val="en-US" w:eastAsia="zh-CN"/>
        </w:rPr>
        <w:t>双</w:t>
      </w:r>
      <w:r>
        <w:rPr>
          <w:rFonts w:hint="eastAsia" w:ascii="宋体" w:hAnsi="宋体" w:eastAsia="宋体" w:cs="宋体"/>
          <w:color w:val="auto"/>
          <w:sz w:val="24"/>
          <w:szCs w:val="24"/>
          <w:highlight w:val="none"/>
        </w:rPr>
        <w:t>方签字盖章后生效，合同执行完毕后，自动失效(合同的服务承诺则长期有效)。</w:t>
      </w:r>
    </w:p>
    <w:p w14:paraId="27BD23FA">
      <w:pPr>
        <w:keepNext w:val="0"/>
        <w:keepLines w:val="0"/>
        <w:pageBreakBefore w:val="0"/>
        <w:kinsoku/>
        <w:wordWrap/>
        <w:overflowPunct/>
        <w:bidi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b/>
          <w:bCs/>
          <w:sz w:val="24"/>
          <w:szCs w:val="24"/>
          <w:lang w:val="en-US" w:eastAsia="zh-CN"/>
        </w:rPr>
        <w:t xml:space="preserve"> </w:t>
      </w:r>
      <w:r>
        <w:rPr>
          <w:rFonts w:hint="eastAsia" w:ascii="宋体" w:hAnsi="宋体" w:eastAsia="宋体" w:cs="宋体"/>
          <w:b/>
          <w:bCs/>
          <w:color w:val="auto"/>
          <w:sz w:val="24"/>
          <w:szCs w:val="24"/>
          <w:highlight w:val="none"/>
        </w:rPr>
        <w:t>其他事项</w:t>
      </w:r>
    </w:p>
    <w:p w14:paraId="57023498">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1、甲方或上级相关监督管理部门</w:t>
      </w:r>
      <w:r>
        <w:rPr>
          <w:rFonts w:hint="eastAsia" w:ascii="宋体" w:hAnsi="宋体" w:eastAsia="宋体" w:cs="宋体"/>
          <w:color w:val="auto"/>
          <w:sz w:val="24"/>
          <w:szCs w:val="24"/>
          <w:highlight w:val="none"/>
        </w:rPr>
        <w:t>在合同的履行期间以及履行期后，可以随时检查项目的执行情况，对采购标准、采购内容进行调查核实，并对发现的问题进行处理。</w:t>
      </w:r>
    </w:p>
    <w:p w14:paraId="6282785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2、招标文件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文件、澄清表(函)、</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通知书、合同附件均成为合同不可分割的部分。</w:t>
      </w:r>
    </w:p>
    <w:p w14:paraId="1825EC7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3、合同未尽事宜，由甲、乙双方协商确认后签订政府采购补充合同，与原合同具有同等法律效力。</w:t>
      </w:r>
    </w:p>
    <w:tbl>
      <w:tblPr>
        <w:tblStyle w:val="9"/>
        <w:tblpPr w:leftFromText="180" w:rightFromText="180" w:vertAnchor="text" w:horzAnchor="page" w:tblpX="1725" w:tblpY="582"/>
        <w:tblOverlap w:val="never"/>
        <w:tblW w:w="843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02"/>
        <w:gridCol w:w="4537"/>
      </w:tblGrid>
      <w:tr w14:paraId="72335E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shd w:val="clear" w:color="auto" w:fill="D7D7D7"/>
            <w:noWrap w:val="0"/>
            <w:vAlign w:val="top"/>
          </w:tcPr>
          <w:p w14:paraId="21AEBB7C">
            <w:pPr>
              <w:pStyle w:val="8"/>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12"/>
                <w:sz w:val="24"/>
                <w:szCs w:val="24"/>
                <w:lang w:val="en-US" w:eastAsia="zh-CN"/>
              </w:rPr>
              <w:t>甲方</w:t>
            </w:r>
          </w:p>
        </w:tc>
        <w:tc>
          <w:tcPr>
            <w:tcW w:w="4537" w:type="dxa"/>
            <w:shd w:val="clear" w:color="auto" w:fill="D7D7D7"/>
            <w:noWrap w:val="0"/>
            <w:vAlign w:val="top"/>
          </w:tcPr>
          <w:p w14:paraId="0931E9E8">
            <w:pPr>
              <w:pStyle w:val="8"/>
              <w:keepNext w:val="0"/>
              <w:keepLines w:val="0"/>
              <w:pageBreakBefore w:val="0"/>
              <w:widowControl w:val="0"/>
              <w:kinsoku/>
              <w:wordWrap/>
              <w:overflowPunct/>
              <w:topLinePunct w:val="0"/>
              <w:autoSpaceDE/>
              <w:autoSpaceDN/>
              <w:bidi w:val="0"/>
              <w:adjustRightInd/>
              <w:snapToGrid/>
              <w:spacing w:line="440" w:lineRule="exact"/>
              <w:ind w:left="0"/>
              <w:jc w:val="center"/>
              <w:textAlignment w:val="auto"/>
              <w:rPr>
                <w:rFonts w:hint="eastAsia" w:eastAsia="宋体"/>
                <w:color w:val="auto"/>
                <w:sz w:val="24"/>
                <w:szCs w:val="24"/>
                <w:lang w:eastAsia="zh-CN"/>
              </w:rPr>
            </w:pPr>
            <w:r>
              <w:rPr>
                <w:rFonts w:hint="eastAsia"/>
                <w:b/>
                <w:bCs/>
                <w:color w:val="auto"/>
                <w:spacing w:val="-8"/>
                <w:sz w:val="24"/>
                <w:szCs w:val="24"/>
                <w:lang w:val="en-US" w:eastAsia="zh-CN"/>
              </w:rPr>
              <w:t>乙方</w:t>
            </w:r>
          </w:p>
        </w:tc>
      </w:tr>
      <w:tr w14:paraId="1F77F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782CC8F5">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采购人</w:t>
            </w:r>
            <w:r>
              <w:rPr>
                <w:rFonts w:hint="eastAsia"/>
                <w:color w:val="auto"/>
                <w:spacing w:val="-2"/>
                <w:sz w:val="24"/>
                <w:szCs w:val="24"/>
                <w:lang w:val="en-US" w:eastAsia="zh-CN"/>
              </w:rPr>
              <w:t>名称</w:t>
            </w:r>
            <w:r>
              <w:rPr>
                <w:color w:val="auto"/>
                <w:spacing w:val="-2"/>
                <w:sz w:val="24"/>
                <w:szCs w:val="24"/>
              </w:rPr>
              <w:t>（</w:t>
            </w:r>
            <w:r>
              <w:rPr>
                <w:rFonts w:hint="eastAsia"/>
                <w:color w:val="auto"/>
                <w:spacing w:val="-2"/>
                <w:sz w:val="24"/>
                <w:szCs w:val="24"/>
                <w:lang w:val="en-US" w:eastAsia="zh-CN"/>
              </w:rPr>
              <w:t>盖章</w:t>
            </w:r>
            <w:r>
              <w:rPr>
                <w:color w:val="auto"/>
                <w:spacing w:val="-2"/>
                <w:sz w:val="24"/>
                <w:szCs w:val="24"/>
              </w:rPr>
              <w:t>）</w:t>
            </w:r>
          </w:p>
        </w:tc>
        <w:tc>
          <w:tcPr>
            <w:tcW w:w="4537" w:type="dxa"/>
            <w:noWrap w:val="0"/>
            <w:vAlign w:val="center"/>
          </w:tcPr>
          <w:p w14:paraId="22F8397B">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rFonts w:hint="eastAsia" w:cs="宋体"/>
                <w:b w:val="0"/>
                <w:bCs w:val="0"/>
                <w:color w:val="auto"/>
                <w:sz w:val="24"/>
                <w:szCs w:val="24"/>
                <w:highlight w:val="none"/>
                <w:lang w:val="en-US" w:eastAsia="zh-CN"/>
              </w:rPr>
              <w:t>中标</w:t>
            </w:r>
            <w:bookmarkStart w:id="0" w:name="_GoBack"/>
            <w:bookmarkEnd w:id="0"/>
            <w:r>
              <w:rPr>
                <w:rFonts w:hint="eastAsia" w:ascii="宋体" w:hAnsi="宋体" w:eastAsia="宋体" w:cs="宋体"/>
                <w:b w:val="0"/>
                <w:bCs w:val="0"/>
                <w:color w:val="auto"/>
                <w:sz w:val="24"/>
                <w:szCs w:val="24"/>
                <w:highlight w:val="none"/>
                <w:lang w:val="en-US" w:eastAsia="zh-CN"/>
              </w:rPr>
              <w:t>供应商</w:t>
            </w:r>
            <w:r>
              <w:rPr>
                <w:b w:val="0"/>
                <w:bCs w:val="0"/>
                <w:color w:val="auto"/>
                <w:spacing w:val="-2"/>
                <w:sz w:val="24"/>
                <w:szCs w:val="24"/>
              </w:rPr>
              <w:t>（</w:t>
            </w:r>
            <w:r>
              <w:rPr>
                <w:rFonts w:hint="eastAsia"/>
                <w:b w:val="0"/>
                <w:bCs w:val="0"/>
                <w:color w:val="auto"/>
                <w:spacing w:val="-2"/>
                <w:sz w:val="24"/>
                <w:szCs w:val="24"/>
                <w:lang w:val="en-US" w:eastAsia="zh-CN"/>
              </w:rPr>
              <w:t>盖章</w:t>
            </w:r>
            <w:r>
              <w:rPr>
                <w:b w:val="0"/>
                <w:bCs w:val="0"/>
                <w:color w:val="auto"/>
                <w:spacing w:val="-2"/>
                <w:sz w:val="24"/>
                <w:szCs w:val="24"/>
              </w:rPr>
              <w:t>）</w:t>
            </w:r>
          </w:p>
        </w:tc>
      </w:tr>
      <w:tr w14:paraId="6BC4A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5442EFD7">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4"/>
                <w:sz w:val="24"/>
                <w:szCs w:val="24"/>
              </w:rPr>
              <w:t>地址：</w:t>
            </w:r>
          </w:p>
        </w:tc>
        <w:tc>
          <w:tcPr>
            <w:tcW w:w="4537" w:type="dxa"/>
            <w:noWrap w:val="0"/>
            <w:vAlign w:val="center"/>
          </w:tcPr>
          <w:p w14:paraId="43EAE5C0">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b w:val="0"/>
                <w:bCs w:val="0"/>
                <w:color w:val="auto"/>
                <w:sz w:val="24"/>
                <w:szCs w:val="24"/>
              </w:rPr>
            </w:pPr>
            <w:r>
              <w:rPr>
                <w:b w:val="0"/>
                <w:bCs w:val="0"/>
                <w:color w:val="auto"/>
                <w:spacing w:val="-4"/>
                <w:sz w:val="24"/>
                <w:szCs w:val="24"/>
              </w:rPr>
              <w:t>地址：</w:t>
            </w:r>
          </w:p>
        </w:tc>
      </w:tr>
      <w:tr w14:paraId="11827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0BD46720">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c>
          <w:tcPr>
            <w:tcW w:w="4537" w:type="dxa"/>
            <w:noWrap w:val="0"/>
            <w:vAlign w:val="center"/>
          </w:tcPr>
          <w:p w14:paraId="388EB4B1">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0"/>
                <w:sz w:val="24"/>
                <w:szCs w:val="24"/>
              </w:rPr>
              <w:t>邮编：</w:t>
            </w:r>
          </w:p>
        </w:tc>
      </w:tr>
      <w:tr w14:paraId="72BC91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0CCA1EA6">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c>
          <w:tcPr>
            <w:tcW w:w="4537" w:type="dxa"/>
            <w:noWrap w:val="0"/>
            <w:vAlign w:val="center"/>
          </w:tcPr>
          <w:p w14:paraId="50D6DE34">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2"/>
                <w:sz w:val="24"/>
                <w:szCs w:val="24"/>
              </w:rPr>
              <w:t>法定代表人</w:t>
            </w:r>
            <w:r>
              <w:rPr>
                <w:rFonts w:hint="eastAsia"/>
                <w:color w:val="auto"/>
                <w:spacing w:val="-2"/>
                <w:sz w:val="24"/>
                <w:szCs w:val="24"/>
                <w:lang w:eastAsia="zh-CN"/>
              </w:rPr>
              <w:t>（</w:t>
            </w:r>
            <w:r>
              <w:rPr>
                <w:rFonts w:hint="eastAsia"/>
                <w:color w:val="auto"/>
                <w:spacing w:val="-2"/>
                <w:sz w:val="24"/>
                <w:szCs w:val="24"/>
                <w:lang w:val="en-US" w:eastAsia="zh-CN"/>
              </w:rPr>
              <w:t>签字或盖章</w:t>
            </w:r>
            <w:r>
              <w:rPr>
                <w:rFonts w:hint="eastAsia"/>
                <w:color w:val="auto"/>
                <w:spacing w:val="-2"/>
                <w:sz w:val="24"/>
                <w:szCs w:val="24"/>
                <w:lang w:eastAsia="zh-CN"/>
              </w:rPr>
              <w:t>）</w:t>
            </w:r>
            <w:r>
              <w:rPr>
                <w:color w:val="auto"/>
                <w:spacing w:val="-2"/>
                <w:sz w:val="24"/>
                <w:szCs w:val="24"/>
              </w:rPr>
              <w:t>：</w:t>
            </w:r>
          </w:p>
        </w:tc>
      </w:tr>
      <w:tr w14:paraId="6E3F6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4FA65710">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c>
          <w:tcPr>
            <w:tcW w:w="4537" w:type="dxa"/>
            <w:noWrap w:val="0"/>
            <w:vAlign w:val="center"/>
          </w:tcPr>
          <w:p w14:paraId="7EE49475">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rFonts w:hint="eastAsia"/>
                <w:color w:val="auto"/>
                <w:spacing w:val="2"/>
                <w:sz w:val="24"/>
                <w:szCs w:val="24"/>
                <w:lang w:val="en-US" w:eastAsia="zh-CN"/>
              </w:rPr>
              <w:t>被授权代表</w:t>
            </w:r>
            <w:r>
              <w:rPr>
                <w:color w:val="auto"/>
                <w:spacing w:val="-16"/>
                <w:sz w:val="24"/>
                <w:szCs w:val="24"/>
              </w:rPr>
              <w:t>：（</w:t>
            </w:r>
            <w:r>
              <w:rPr>
                <w:color w:val="auto"/>
                <w:spacing w:val="2"/>
                <w:sz w:val="24"/>
                <w:szCs w:val="24"/>
              </w:rPr>
              <w:t>签字）</w:t>
            </w:r>
          </w:p>
        </w:tc>
      </w:tr>
      <w:tr w14:paraId="1F7CC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6CB9CEE3">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c>
          <w:tcPr>
            <w:tcW w:w="4537" w:type="dxa"/>
            <w:noWrap w:val="0"/>
            <w:vAlign w:val="center"/>
          </w:tcPr>
          <w:p w14:paraId="2244DE10">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13"/>
                <w:sz w:val="24"/>
                <w:szCs w:val="24"/>
              </w:rPr>
              <w:t>电话：</w:t>
            </w:r>
          </w:p>
        </w:tc>
      </w:tr>
      <w:tr w14:paraId="571603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7C7E472F">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c>
          <w:tcPr>
            <w:tcW w:w="4537" w:type="dxa"/>
            <w:noWrap w:val="0"/>
            <w:vAlign w:val="center"/>
          </w:tcPr>
          <w:p w14:paraId="01038A25">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传真：</w:t>
            </w:r>
          </w:p>
        </w:tc>
      </w:tr>
      <w:tr w14:paraId="2BA9DF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12B7A4C7">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7"/>
                <w:sz w:val="24"/>
                <w:szCs w:val="24"/>
              </w:rPr>
              <w:t>电子邮箱：</w:t>
            </w:r>
          </w:p>
        </w:tc>
        <w:tc>
          <w:tcPr>
            <w:tcW w:w="4537" w:type="dxa"/>
            <w:noWrap w:val="0"/>
            <w:vAlign w:val="center"/>
          </w:tcPr>
          <w:p w14:paraId="5BA400A3">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3"/>
                <w:sz w:val="24"/>
                <w:szCs w:val="24"/>
              </w:rPr>
              <w:t>开户银行：</w:t>
            </w:r>
          </w:p>
        </w:tc>
      </w:tr>
      <w:tr w14:paraId="389108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2FC1480E">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3EFD003F">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5"/>
                <w:sz w:val="24"/>
                <w:szCs w:val="24"/>
              </w:rPr>
              <w:t>账号：</w:t>
            </w:r>
          </w:p>
        </w:tc>
      </w:tr>
      <w:tr w14:paraId="65624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center"/>
          </w:tcPr>
          <w:p w14:paraId="48FB4A15">
            <w:pPr>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rFonts w:ascii="Arial"/>
                <w:color w:val="auto"/>
                <w:sz w:val="24"/>
                <w:szCs w:val="24"/>
              </w:rPr>
            </w:pPr>
          </w:p>
        </w:tc>
        <w:tc>
          <w:tcPr>
            <w:tcW w:w="4537" w:type="dxa"/>
            <w:noWrap w:val="0"/>
            <w:vAlign w:val="center"/>
          </w:tcPr>
          <w:p w14:paraId="5A745B91">
            <w:pPr>
              <w:pStyle w:val="8"/>
              <w:keepNext w:val="0"/>
              <w:keepLines w:val="0"/>
              <w:pageBreakBefore w:val="0"/>
              <w:widowControl w:val="0"/>
              <w:kinsoku/>
              <w:wordWrap/>
              <w:overflowPunct/>
              <w:topLinePunct w:val="0"/>
              <w:autoSpaceDE/>
              <w:autoSpaceDN/>
              <w:bidi w:val="0"/>
              <w:adjustRightInd/>
              <w:snapToGrid/>
              <w:spacing w:line="440" w:lineRule="exact"/>
              <w:ind w:left="105" w:leftChars="50"/>
              <w:jc w:val="both"/>
              <w:textAlignment w:val="auto"/>
              <w:rPr>
                <w:color w:val="auto"/>
                <w:sz w:val="24"/>
                <w:szCs w:val="24"/>
              </w:rPr>
            </w:pPr>
            <w:r>
              <w:rPr>
                <w:color w:val="auto"/>
                <w:spacing w:val="-8"/>
                <w:sz w:val="24"/>
                <w:szCs w:val="24"/>
              </w:rPr>
              <w:t>电子邮箱：</w:t>
            </w:r>
          </w:p>
        </w:tc>
      </w:tr>
      <w:tr w14:paraId="0506B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3902" w:type="dxa"/>
            <w:noWrap w:val="0"/>
            <w:vAlign w:val="top"/>
          </w:tcPr>
          <w:p w14:paraId="483B0CAA">
            <w:pPr>
              <w:pStyle w:val="8"/>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color w:val="auto"/>
                <w:spacing w:val="8"/>
                <w:sz w:val="24"/>
                <w:szCs w:val="24"/>
              </w:rPr>
              <w:t xml:space="preserve"> </w:t>
            </w:r>
            <w:r>
              <w:rPr>
                <w:rFonts w:hint="eastAsia"/>
                <w:color w:val="auto"/>
                <w:spacing w:val="8"/>
                <w:sz w:val="24"/>
                <w:szCs w:val="24"/>
                <w:lang w:val="en-US" w:eastAsia="zh-CN"/>
              </w:rPr>
              <w:t xml:space="preserve"> </w:t>
            </w:r>
            <w:r>
              <w:rPr>
                <w:color w:val="auto"/>
                <w:spacing w:val="8"/>
                <w:sz w:val="24"/>
                <w:szCs w:val="24"/>
              </w:rPr>
              <w:t xml:space="preserve"> </w:t>
            </w:r>
            <w:r>
              <w:rPr>
                <w:color w:val="auto"/>
                <w:spacing w:val="-13"/>
                <w:sz w:val="24"/>
                <w:szCs w:val="24"/>
              </w:rPr>
              <w:t>月</w:t>
            </w:r>
            <w:r>
              <w:rPr>
                <w:color w:val="auto"/>
                <w:spacing w:val="25"/>
                <w:sz w:val="24"/>
                <w:szCs w:val="24"/>
              </w:rPr>
              <w:t xml:space="preserve">  </w:t>
            </w:r>
            <w:r>
              <w:rPr>
                <w:color w:val="auto"/>
                <w:spacing w:val="-13"/>
                <w:sz w:val="24"/>
                <w:szCs w:val="24"/>
              </w:rPr>
              <w:t>日</w:t>
            </w:r>
          </w:p>
        </w:tc>
        <w:tc>
          <w:tcPr>
            <w:tcW w:w="4537" w:type="dxa"/>
            <w:noWrap w:val="0"/>
            <w:vAlign w:val="top"/>
          </w:tcPr>
          <w:p w14:paraId="410CD3A7">
            <w:pPr>
              <w:pStyle w:val="8"/>
              <w:keepNext w:val="0"/>
              <w:keepLines w:val="0"/>
              <w:pageBreakBefore w:val="0"/>
              <w:widowControl w:val="0"/>
              <w:kinsoku/>
              <w:wordWrap/>
              <w:overflowPunct/>
              <w:topLinePunct w:val="0"/>
              <w:autoSpaceDE/>
              <w:autoSpaceDN/>
              <w:bidi w:val="0"/>
              <w:adjustRightInd/>
              <w:snapToGrid/>
              <w:spacing w:line="440" w:lineRule="exact"/>
              <w:ind w:left="105" w:leftChars="50"/>
              <w:textAlignment w:val="auto"/>
              <w:rPr>
                <w:color w:val="auto"/>
                <w:sz w:val="24"/>
                <w:szCs w:val="24"/>
              </w:rPr>
            </w:pPr>
            <w:r>
              <w:rPr>
                <w:color w:val="auto"/>
                <w:spacing w:val="-13"/>
                <w:sz w:val="24"/>
                <w:szCs w:val="24"/>
              </w:rPr>
              <w:t>日期：</w:t>
            </w:r>
            <w:r>
              <w:rPr>
                <w:color w:val="auto"/>
                <w:spacing w:val="3"/>
                <w:sz w:val="24"/>
                <w:szCs w:val="24"/>
              </w:rPr>
              <w:t xml:space="preserve">   </w:t>
            </w:r>
            <w:r>
              <w:rPr>
                <w:color w:val="auto"/>
                <w:spacing w:val="-13"/>
                <w:sz w:val="24"/>
                <w:szCs w:val="24"/>
              </w:rPr>
              <w:t>年</w:t>
            </w:r>
            <w:r>
              <w:rPr>
                <w:rFonts w:hint="eastAsia"/>
                <w:color w:val="auto"/>
                <w:spacing w:val="-13"/>
                <w:sz w:val="24"/>
                <w:szCs w:val="24"/>
                <w:lang w:val="en-US" w:eastAsia="zh-CN"/>
              </w:rPr>
              <w:t xml:space="preserve"> </w:t>
            </w:r>
            <w:r>
              <w:rPr>
                <w:color w:val="auto"/>
                <w:spacing w:val="8"/>
                <w:sz w:val="24"/>
                <w:szCs w:val="24"/>
              </w:rPr>
              <w:t xml:space="preserve">  </w:t>
            </w:r>
            <w:r>
              <w:rPr>
                <w:color w:val="auto"/>
                <w:spacing w:val="-13"/>
                <w:sz w:val="24"/>
                <w:szCs w:val="24"/>
              </w:rPr>
              <w:t>月</w:t>
            </w:r>
            <w:r>
              <w:rPr>
                <w:color w:val="auto"/>
                <w:spacing w:val="26"/>
                <w:sz w:val="24"/>
                <w:szCs w:val="24"/>
              </w:rPr>
              <w:t xml:space="preserve">  </w:t>
            </w:r>
            <w:r>
              <w:rPr>
                <w:color w:val="auto"/>
                <w:spacing w:val="-13"/>
                <w:sz w:val="24"/>
                <w:szCs w:val="24"/>
              </w:rPr>
              <w:t>日</w:t>
            </w:r>
          </w:p>
        </w:tc>
      </w:tr>
    </w:tbl>
    <w:p w14:paraId="6D6B6566">
      <w:pPr>
        <w:rPr>
          <w:rFonts w:hint="eastAsia"/>
          <w:lang w:eastAsia="zh-CN"/>
        </w:rPr>
      </w:pPr>
    </w:p>
    <w:p w14:paraId="5752C8EB"/>
    <w:p w14:paraId="27E9C884"/>
    <w:sectPr>
      <w:pgSz w:w="11906" w:h="16838"/>
      <w:pgMar w:top="1383" w:right="1800" w:bottom="1383"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32442A"/>
    <w:rsid w:val="01324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楷体" w:cs="Times New Roman"/>
      <w:b/>
      <w:kern w:val="44"/>
      <w:sz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rFonts w:eastAsia="宋体"/>
      <w:kern w:val="0"/>
      <w:sz w:val="18"/>
    </w:rPr>
  </w:style>
  <w:style w:type="paragraph" w:customStyle="1" w:styleId="7">
    <w:name w:val="null3"/>
    <w:qFormat/>
    <w:uiPriority w:val="0"/>
    <w:rPr>
      <w:rFonts w:hint="eastAsia" w:ascii="Calibri" w:hAnsi="Calibri" w:eastAsia="宋体" w:cs="Times New Roman"/>
      <w:lang w:val="en-US" w:eastAsia="zh-Hans"/>
    </w:rPr>
  </w:style>
  <w:style w:type="paragraph" w:customStyle="1" w:styleId="8">
    <w:name w:val="Table Text"/>
    <w:basedOn w:val="1"/>
    <w:semiHidden/>
    <w:qFormat/>
    <w:uiPriority w:val="0"/>
    <w:rPr>
      <w:rFonts w:ascii="宋体" w:hAnsi="宋体" w:eastAsia="宋体" w:cs="宋体"/>
      <w:sz w:val="24"/>
      <w:szCs w:val="24"/>
      <w:lang w:val="en-US" w:eastAsia="en-US" w:bidi="ar-SA"/>
    </w:rPr>
  </w:style>
  <w:style w:type="table" w:customStyle="1" w:styleId="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7</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2026-07-21T02:53:00Z</dcterms:created>
  <dc:creator>¬_¬~EmiKo:D</dc:creator>
  <cp:lastModifiedBy>¬_¬~EmiKo:D</cp:lastModifiedBy>
  <dcterms:modified xsi:type="dcterms:W3CDTF">2026-07-21T03:04:36Z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B8F8835D7A4048458C527DB85261507D_11</vt:lpwstr>
  </property>
  <property fmtid="{D5CDD505-2E9C-101B-9397-08002B2CF9AE}" pid="4" name="KSOTemplateDocerSaveRecord">
    <vt:lpwstr>eyJoZGlkIjoiMmE3MGMzNTNmNTRhOWZkYzA5MzJiY2RhMDdlODIxYjIiLCJ1c2VySWQiOiIyMzMzMTIxNDkifQ==</vt:lpwstr>
  </property>
</Properties>
</file>