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版本号：BYZX2026-107.1B120260813001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陕西省“十五五”推进农业农村现代化规划编制项目(二次)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BYZX2026-107.1B1</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陕西百岳项目管理咨询有限公司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陕西百岳项目管理咨询有限公司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陕西省“十五五”推进农业农村现代化规划编制项目(二次)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BYZX2026-107.1B1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陕西省“十五五”推进农业农村现代化规划编制项目(二次)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为高标准完成本次规划编制工作，现采购《陕西省“十五五”推进农业农村现代化规划》编制技术服务，规划覆盖陕西省全域，期限2026—2030年并展望至2035年。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1、主体资格：具有独立承担民事责任能力的法人、其他组织或自然人，提供营业执照/事业单位法人证书/非企业专业服务机构执业许可证/自然人身份证等身份证明。</w:t>
      </w:r>
    </w:p>
    <w:p>
      <w:pPr>
        <w:pStyle w:val="null3"/>
      </w:pPr>
      <w:r>
        <w:rPr>
          <w:rFonts w:ascii="仿宋_GB2312" w:hAnsi="仿宋_GB2312" w:cs="仿宋_GB2312" w:eastAsia="仿宋_GB2312"/>
        </w:rPr>
        <w:t>2、身份证明：法定代表人参加投标时，提供法定代表人证明书；授权代表参加投标时，提供法定代表人授权书；非法人单位参照执行。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4、税收缴纳证明：提供投标文件提交截止时间前一年内至少一个月已缴纳的纳税凭据或完税证明，依法免税的供应商应提供相关文件证明。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发展规划处魏凡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029-87390917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陕西百岳项目管理咨询有限公司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西安市浐灞生态区欧亚大道欧亚国际一期B座10楼1007室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肖亚娟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18709207059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采购包1：1,377,600.00元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办法》（计价格[2002]1980号）、国家发展和改⾰委员会办公厅颁布的《关于招标代理服务收费有关问题的通知》（发改办价格[2003]857号）⽂件规定执⾏，不足6000元按6000元收取。 账户信息： 开户名称： 陕西百岳项⽬管理咨询有限公司 开户银⾏：华夏银⾏股份有限公司西安欧亚⼤道支行 银行账号：11474000000227339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陕西百岳项目管理咨询有限公司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陕西百岳项目管理咨询有限公司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陕西百岳项目管理咨询有限公司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供应商在本项目完成的成果所有权和著作权归属于采购人，在未征得采购人事前书面同意情况下，供应商不得擅自转让合同项目产生的成果，不得在公开场合发表、公布以及使用。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联系人：肖亚娟</w:t>
      </w:r>
    </w:p>
    <w:p>
      <w:pPr>
        <w:pStyle w:val="null3"/>
      </w:pPr>
      <w:r>
        <w:rPr>
          <w:rFonts w:ascii="仿宋_GB2312" w:hAnsi="仿宋_GB2312" w:cs="仿宋_GB2312" w:eastAsia="仿宋_GB2312"/>
        </w:rPr>
        <w:t>联系电话：18709207059</w:t>
      </w:r>
    </w:p>
    <w:p>
      <w:pPr>
        <w:pStyle w:val="null3"/>
      </w:pPr>
      <w:r>
        <w:rPr>
          <w:rFonts w:ascii="仿宋_GB2312" w:hAnsi="仿宋_GB2312" w:cs="仿宋_GB2312" w:eastAsia="仿宋_GB2312"/>
        </w:rPr>
        <w:t>地址：西安市浐灞⽣态区欧亚⼤道666号欧亚国际⼀期B座10楼1007室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十五五”时期是陕西省基本实现农业农村现代化的关键阶段，科学编制规划对稳住粮食安全底线、做强陕西现代农业、建设宜居宜业和美乡村、缩小城乡发展差距，以及助力实现2035年农业农村现代化远景目标具有顶层引领、统筹布局的关键作用。为高标准完成本次规划编制工作，现采购《陕西省“十五五”推进农业农村现代化规划》编制技术服务，规划覆盖陕西省全域，期限2026—2030年并展望至2035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1,377,600.00</w:t>
      </w:r>
    </w:p>
    <w:p>
      <w:pPr>
        <w:pStyle w:val="null3"/>
      </w:pPr>
      <w:r>
        <w:rPr>
          <w:rFonts w:ascii="仿宋_GB2312" w:hAnsi="仿宋_GB2312" w:cs="仿宋_GB2312" w:eastAsia="仿宋_GB2312"/>
        </w:rPr>
        <w:t>采购包最高限价（元）: 1,377,600.00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陕西省“十五五”推进农业农村现代化规划 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1,377,600.00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标的名称：陕西省“十五五”推进农业农村现代化规划 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 xml:space="preserve">    一、</w:t>
            </w:r>
            <w:r>
              <w:rPr>
                <w:rFonts w:ascii="仿宋_GB2312" w:hAnsi="仿宋_GB2312" w:cs="仿宋_GB2312" w:eastAsia="仿宋_GB2312"/>
                <w:sz w:val="24"/>
                <w:b/>
              </w:rPr>
              <w:t>项目概况</w:t>
            </w:r>
          </w:p>
          <w:p>
            <w:pPr>
              <w:pStyle w:val="null3"/>
              <w:ind w:firstLine="480"/>
              <w:jc w:val="left"/>
            </w:pPr>
            <w:r>
              <w:rPr>
                <w:rFonts w:ascii="仿宋_GB2312" w:hAnsi="仿宋_GB2312" w:cs="仿宋_GB2312" w:eastAsia="仿宋_GB2312"/>
                <w:sz w:val="24"/>
              </w:rPr>
              <w:t>“十五五”时期是陕西省基本实现农业农村现代化的关键阶段，科学编制规划对稳住粮食安全底线、做强陕西现代农业、建设宜居宜业和美乡村、缩小城乡发展差距，以及助力实现2035年农业农村现代化远景目标具有顶层引领、统筹布局的关键作用。为高标准完成本次规划编制工作，现采购《陕西省“十五五”推进农业农村现代化规划》编制技术服务，规划覆盖陕西省全域，期限2026—2030年并展望至2035年。</w:t>
            </w:r>
          </w:p>
          <w:p>
            <w:pPr>
              <w:pStyle w:val="null3"/>
              <w:jc w:val="left"/>
            </w:pPr>
            <w:r>
              <w:rPr>
                <w:rFonts w:ascii="仿宋_GB2312" w:hAnsi="仿宋_GB2312" w:cs="仿宋_GB2312" w:eastAsia="仿宋_GB2312"/>
                <w:sz w:val="24"/>
                <w:b/>
              </w:rPr>
              <w:t xml:space="preserve">    二、服务内容</w:t>
            </w:r>
          </w:p>
          <w:p>
            <w:pPr>
              <w:pStyle w:val="null3"/>
              <w:ind w:firstLine="480"/>
              <w:jc w:val="left"/>
            </w:pPr>
            <w:r>
              <w:rPr>
                <w:rFonts w:ascii="仿宋_GB2312" w:hAnsi="仿宋_GB2312" w:cs="仿宋_GB2312" w:eastAsia="仿宋_GB2312"/>
                <w:sz w:val="24"/>
              </w:rPr>
              <w:t>1、深入开展调研：成立课题组，分赴全省各市（区）开展实地调研，充分听取基层需求和建议；系统收集整理相关数据资料，全面掌握全省农业农村发展现状。</w:t>
            </w:r>
          </w:p>
          <w:p>
            <w:pPr>
              <w:pStyle w:val="null3"/>
              <w:ind w:firstLine="480"/>
              <w:jc w:val="left"/>
            </w:pPr>
            <w:r>
              <w:rPr>
                <w:rFonts w:ascii="仿宋_GB2312" w:hAnsi="仿宋_GB2312" w:cs="仿宋_GB2312" w:eastAsia="仿宋_GB2312"/>
                <w:sz w:val="24"/>
              </w:rPr>
              <w:t>2、广泛征求意见：充分征求省级相关部门、各市农业农村部门及专家意见，确保规划的科学性和可操作性。</w:t>
            </w:r>
          </w:p>
          <w:p>
            <w:pPr>
              <w:pStyle w:val="null3"/>
              <w:ind w:firstLine="480"/>
              <w:jc w:val="left"/>
            </w:pPr>
            <w:r>
              <w:rPr>
                <w:rFonts w:ascii="仿宋_GB2312" w:hAnsi="仿宋_GB2312" w:cs="仿宋_GB2312" w:eastAsia="仿宋_GB2312"/>
                <w:sz w:val="24"/>
              </w:rPr>
              <w:t>3、充分论证衔接。组织相关专家对规划进行充分论证，做好与国家和省级各类规划的衔接。</w:t>
            </w:r>
          </w:p>
          <w:p>
            <w:pPr>
              <w:pStyle w:val="null3"/>
              <w:ind w:firstLine="480"/>
              <w:jc w:val="left"/>
            </w:pPr>
            <w:r>
              <w:rPr>
                <w:rFonts w:ascii="仿宋_GB2312" w:hAnsi="仿宋_GB2312" w:cs="仿宋_GB2312" w:eastAsia="仿宋_GB2312"/>
                <w:sz w:val="24"/>
              </w:rPr>
              <w:t>4、质量要求。严格按照国家现行的相关规范、规程、标准进行编制，对成果资料的质量负责。</w:t>
            </w:r>
          </w:p>
          <w:p>
            <w:pPr>
              <w:pStyle w:val="null3"/>
              <w:jc w:val="left"/>
            </w:pPr>
            <w:r>
              <w:rPr>
                <w:rFonts w:ascii="仿宋_GB2312" w:hAnsi="仿宋_GB2312" w:cs="仿宋_GB2312" w:eastAsia="仿宋_GB2312"/>
                <w:sz w:val="24"/>
                <w:b/>
              </w:rPr>
              <w:t xml:space="preserve">    三、技术要求</w:t>
            </w:r>
          </w:p>
          <w:p>
            <w:pPr>
              <w:pStyle w:val="null3"/>
              <w:ind w:firstLine="480"/>
              <w:jc w:val="left"/>
            </w:pPr>
            <w:r>
              <w:rPr>
                <w:rFonts w:ascii="仿宋_GB2312" w:hAnsi="仿宋_GB2312" w:cs="仿宋_GB2312" w:eastAsia="仿宋_GB2312"/>
                <w:sz w:val="24"/>
              </w:rPr>
              <w:t>《规划》需系统总结评估全省</w:t>
            </w:r>
            <w:r>
              <w:rPr>
                <w:rFonts w:ascii="仿宋_GB2312" w:hAnsi="仿宋_GB2312" w:cs="仿宋_GB2312" w:eastAsia="仿宋_GB2312"/>
                <w:sz w:val="24"/>
              </w:rPr>
              <w:t>“十四五”农业农村发展现状短板、研判新阶段发展机遇挑战，对标国家及省级上位规划科学设置发展指标，围绕粮油产能提升、巩固拓展脱贫攻坚成果、特色产业提质、农业科技装备、农业绿色低碳转型、和美乡村建设、惠农政策增效等方面细化重点任务、谋划重大工程与配套保障措施。全程提供实地调研、部门对接、专家评审、文稿修改等全流程技术服务，交付符合政府公文标准、可上报审议的完整规划成果。</w:t>
            </w:r>
          </w:p>
          <w:p>
            <w:pPr>
              <w:pStyle w:val="null3"/>
              <w:ind w:firstLine="480"/>
              <w:jc w:val="left"/>
            </w:pPr>
            <w:r>
              <w:rPr>
                <w:rFonts w:ascii="仿宋_GB2312" w:hAnsi="仿宋_GB2312" w:cs="仿宋_GB2312" w:eastAsia="仿宋_GB2312"/>
                <w:sz w:val="24"/>
                <w:b/>
              </w:rPr>
              <w:t>四、服务要求</w:t>
            </w:r>
          </w:p>
          <w:p>
            <w:pPr>
              <w:pStyle w:val="null3"/>
              <w:jc w:val="left"/>
            </w:pPr>
            <w:r>
              <w:rPr>
                <w:rFonts w:ascii="仿宋_GB2312" w:hAnsi="仿宋_GB2312" w:cs="仿宋_GB2312" w:eastAsia="仿宋_GB2312"/>
                <w:sz w:val="24"/>
              </w:rPr>
              <w:t xml:space="preserve">   （一）人员配置要求</w:t>
            </w:r>
          </w:p>
          <w:p>
            <w:pPr>
              <w:pStyle w:val="null3"/>
              <w:jc w:val="left"/>
            </w:pPr>
            <w:r>
              <w:rPr>
                <w:rFonts w:ascii="仿宋_GB2312" w:hAnsi="仿宋_GB2312" w:cs="仿宋_GB2312" w:eastAsia="仿宋_GB2312"/>
                <w:sz w:val="24"/>
              </w:rPr>
              <w:t xml:space="preserve">    1、供应商须组建专门的项目团队承担本项工作，团队人员应保持相对稳定，项目负责人及主笔人员须具有中级以上专业技术职称或同等专业水平。</w:t>
            </w:r>
          </w:p>
          <w:p>
            <w:pPr>
              <w:pStyle w:val="null3"/>
              <w:jc w:val="left"/>
            </w:pPr>
            <w:r>
              <w:rPr>
                <w:rFonts w:ascii="仿宋_GB2312" w:hAnsi="仿宋_GB2312" w:cs="仿宋_GB2312" w:eastAsia="仿宋_GB2312"/>
                <w:sz w:val="24"/>
              </w:rPr>
              <w:t xml:space="preserve">    2、项目团队应人员结构合理，配备农业经济、区域规划、产业发展等相关专业背景人员，能够满足规划编制多学科交叉的需要。</w:t>
            </w:r>
          </w:p>
          <w:p>
            <w:pPr>
              <w:pStyle w:val="null3"/>
              <w:jc w:val="left"/>
            </w:pPr>
            <w:r>
              <w:rPr>
                <w:rFonts w:ascii="仿宋_GB2312" w:hAnsi="仿宋_GB2312" w:cs="仿宋_GB2312" w:eastAsia="仿宋_GB2312"/>
                <w:sz w:val="24"/>
              </w:rPr>
              <w:t xml:space="preserve">    3、供应商应指定专人作为项目联络人，负责与采购人进行日常沟通协调，重要事项应及时报告。</w:t>
            </w:r>
          </w:p>
          <w:p>
            <w:pPr>
              <w:pStyle w:val="null3"/>
              <w:jc w:val="left"/>
            </w:pPr>
            <w:r>
              <w:rPr>
                <w:rFonts w:ascii="仿宋_GB2312" w:hAnsi="仿宋_GB2312" w:cs="仿宋_GB2312" w:eastAsia="仿宋_GB2312"/>
                <w:sz w:val="24"/>
              </w:rPr>
              <w:t xml:space="preserve">   （二）工作过程要求</w:t>
            </w:r>
          </w:p>
          <w:p>
            <w:pPr>
              <w:pStyle w:val="null3"/>
              <w:jc w:val="left"/>
            </w:pPr>
            <w:r>
              <w:rPr>
                <w:rFonts w:ascii="仿宋_GB2312" w:hAnsi="仿宋_GB2312" w:cs="仿宋_GB2312" w:eastAsia="仿宋_GB2312"/>
                <w:sz w:val="24"/>
              </w:rPr>
              <w:t xml:space="preserve">    1、供应商须制定详细的工作计划，报采购人审核同意后严格执行。如遇特殊情况需调整计划，应提前书面报告采购人并取得同意。</w:t>
            </w:r>
          </w:p>
          <w:p>
            <w:pPr>
              <w:pStyle w:val="null3"/>
              <w:jc w:val="left"/>
            </w:pPr>
            <w:r>
              <w:rPr>
                <w:rFonts w:ascii="仿宋_GB2312" w:hAnsi="仿宋_GB2312" w:cs="仿宋_GB2312" w:eastAsia="仿宋_GB2312"/>
                <w:sz w:val="24"/>
              </w:rPr>
              <w:t xml:space="preserve">    2、供应商应建立汇报制度，定期向采购人报告工作进展情况，包括已完成事项、存在问题及下一步安排，重大事项随时报告。</w:t>
            </w:r>
          </w:p>
          <w:p>
            <w:pPr>
              <w:pStyle w:val="null3"/>
              <w:jc w:val="left"/>
            </w:pPr>
            <w:r>
              <w:rPr>
                <w:rFonts w:ascii="仿宋_GB2312" w:hAnsi="仿宋_GB2312" w:cs="仿宋_GB2312" w:eastAsia="仿宋_GB2312"/>
                <w:sz w:val="24"/>
              </w:rPr>
              <w:t xml:space="preserve">    3、供应商应建立内部质量审核制度，对阶段性成果进行内部审查，确保提交采购人审议的材料内容完整、数据准确、表述规范。</w:t>
            </w:r>
          </w:p>
          <w:p>
            <w:pPr>
              <w:pStyle w:val="null3"/>
            </w:pPr>
            <w:r>
              <w:rPr>
                <w:rFonts w:ascii="仿宋_GB2312" w:hAnsi="仿宋_GB2312" w:cs="仿宋_GB2312" w:eastAsia="仿宋_GB2312"/>
                <w:sz w:val="24"/>
              </w:rPr>
              <w:t xml:space="preserve">    4、供应商应做好与省级相关部门、各市（区）农业农村部门及相关专家的沟通协调工作，确保调研座谈、征求意见等环节有序开展。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依据招标文件、投标文件、澄清表（函）、合同内容及附件文本；合同签订时国家及行业现行的标准和技术规范，符合采购人验收标准。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进度款，项目结束验收完毕后按照验收情况 ，达到付款条件起10个工作日内，支付合同总金额的60.0%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以双方最终签订的合同文本为准。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具有独立承担民事责任能力的法人、其他组织或自然人，提供营业执照/事业单位法人证书/非企业专业服务机构执业许可证/自然人身份证等身份证明。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（1）投标⽂件的签字、盖章：投标⽂件上法定代表⼈或其委托代理⼈的签字齐全并加盖单位公章；投标⽂件应逐页加盖单位公章，且公章清晰可见； （2）投标⽂件格式：应符合招标文件要求； （3）报价唯⼀：只能有⼀个有效报价， 不得提交选择性报价，且报价不超过限价。</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（1）对投标⽂件响应程度：要求全⾯响应，不能有任何采购⼈不能接受的附加条件；（2）服务时间：应满足招标⽂件要求；（3) 服务地点：采购⼈指定地点；（4）有效期：应满⾜招标文件要求。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供应商提供近三年同类项目业绩，每份计4分，计满20分为止。以合同或中标通知书为准（时间以合同签订时间或中标通知书时间为准）。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项目负责人具有农业经济或区域规划或产业发展等相关专业高级以上职称（含高级）得4分，其他不得分。注：提供项目负责人相关证书及在本单位缴纳社保证明或签订的劳动合同，未提供不得分。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项目组成员（除项目负责人外），具备农业经济或区域规划或产业发展等相关专业高级以上职称（含高级）的每人得3分，具备中级职称的每人得2分，满分 12 分。 注：提供人员身份证、职称证（或职称认定文件）等复印件加盖公章，否则不得分。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评审内容： 1. 项目背景的解读； 2. 现行政策的分析； 3. 前期工作的准备； 4. 规划编制的条件认知。 评审依据：方案各部分内容全面详细、阐述条理清晰详尽符合本项需求得 4 分； 以上评审内容每缺一项扣1 分；每一项评审内容有缺陷扣 0.5 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规划编制服务方案</w:t>
            </w:r>
          </w:p>
        </w:tc>
        <w:tc>
          <w:tcPr>
            <w:tcW w:type="dxa" w:w="2492"/>
          </w:tcPr>
          <w:p>
            <w:pPr>
              <w:pStyle w:val="null3"/>
            </w:pPr>
            <w:r>
              <w:rPr>
                <w:rFonts w:ascii="仿宋_GB2312" w:hAnsi="仿宋_GB2312" w:cs="仿宋_GB2312" w:eastAsia="仿宋_GB2312"/>
              </w:rPr>
              <w:t>评审内容： 1. 规划编制的思路和理念； 2. 规划编制工作成果； 3. 规划编制工作的进度； 4. 拟投入规划设备。 评审依据：方案各部分内容全面详细、阐述条理清晰详尽符合本项需求得12分；以上评审内容每缺一项扣3分；每一项评审内容有缺陷扣1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 1. 项目的总体计划； 2. 各子项任务的衔接； 3. 文字及图表的说明； 4. 保证工作进度计划措施。 评审依据：方案各部分内容全面详细、阐述条理清晰详尽符合本项需求得8分；以上评审内容每缺一项扣2分；每一项评审内容有缺陷扣1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1. 项目质量保证体系； 2. 项目质量控制措施； 3. 项目质量保障方案； 4. 进度质量保证。 评审依据：方案各部分内容全面详细、阐述条理清晰详尽符合本项需求得8分；以上评审内容每缺一项扣2分；每一项评审内容有缺陷扣1分。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评审内容： 1. 重点、难点分析； 2. 应对措施； 3. 重点、难点相关经验； 4. 合理化措施。 评审依据：方案各部分内容全面详细、阐述条理清晰详尽符合本项需求得4 分；以上评审内容每缺一项扣1分；每一项评审内容有缺陷扣0.5分。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评审内容： 1. 后续服务内容和范围； 2. 后续服务计划； 3. 服务响应时间； 4. 服务质量承诺。 评审依据： 方案各部分内容全面详细、阐述条理清晰详尽符合本项需求得4分；以上评审内容每缺一项扣1分；每一项评审内容有缺陷扣0.5 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①供应商承诺项目经理及项目团队成员未经采购人许可不得更换。在项目实施过程中，供应商须按照采购人的要求更换不合格人员，得2分。 ②供应商承诺提供7×24⼩时售后保障，在接收到采购人指令后10分钟内响应，2小时内提供解决办法，得2分。 注：须提供承诺函并加盖单位公章，未提供或不满足上述要求，得0分。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