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版本号：陕融招字-2026-0702号20260710001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适用于先进制造的高性能伺服驱动与变频控制研发平台及重离子加速器智能电源系统及测控平台及复杂环境下电机性能与可靠性智能化测试平台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陕融招字-2026-0702号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适用于先进制造的高性能伺服驱动与变频控制研发平台及重离子加速器智能电源系统及测控平台及复杂环境下电机性能与可靠性智能化测试平台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陕融招字-2026-0702号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适用于先进制造的高性能伺服驱动与变频控制研发平台及重离子加速器智能电源系统及测控平台及复杂环境下电机性能与可靠性智能化测试平台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本项目为西安理工大学适用于先进制造的高性能伺服驱动与变频控制研发平台、重离子加速器智能电源系统及测控平台及复杂环境下电机性能与可靠性智能化测试平台采购项目，分为 3 个采购包，采购包 1：适用于先进制造的高性能伺服驱动与变频控制研发平台，采购包2：重离子加速器智能电源系统及测控平台，采购包3：复杂环境下电机性能与可靠性智能化测试平台。其中，采购包 1用于伺服电机高精度控制的教学和科研实验。实现伺服电机精准控制、超高转速运行及更高的定位精度。并通过并联机器人协同控制，可实现多机床并联同时运行；采购包2 主要由模块化多电平矩阵变换器（M3C）及控制器、可编程交直流电源、宽频电流探头以及电能质量分析仪等组成。 围绕重离子加速器智能电源 系统功率变换与测控协同的高精度控制需求，开展全链条实验。集科研开发、技术验证、人才培养于一 体，达到支撑系统级研究与全链条验证，全面覆盖实验研发、性能测试等需求；采购包3 旨在构建一套集环境模拟、数据采集、智能分析与故障诊断于一体的智能化测试平台，满足多相电机、步进电机、伺服电机等特种电机在复杂工况下的性能测试与可靠性验证需求。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采购包1（适用于先进制造的高性能伺服驱动与变频控制研发平台）：属于专门面向中小企业采购。</w:t>
      </w:r>
    </w:p>
    <w:p>
      <w:pPr>
        <w:pStyle w:val="null3"/>
      </w:pPr>
      <w:r>
        <w:rPr>
          <w:rFonts w:ascii="仿宋_GB2312" w:hAnsi="仿宋_GB2312" w:cs="仿宋_GB2312" w:eastAsia="仿宋_GB2312"/>
        </w:rPr>
        <w:t>采购包2（重离子加速器智能电源系统及测控平台）：属于专门面向中小企业采购。</w:t>
      </w:r>
    </w:p>
    <w:p>
      <w:pPr>
        <w:pStyle w:val="null3"/>
      </w:pPr>
      <w:r>
        <w:rPr>
          <w:rFonts w:ascii="仿宋_GB2312" w:hAnsi="仿宋_GB2312" w:cs="仿宋_GB2312" w:eastAsia="仿宋_GB2312"/>
        </w:rPr>
        <w:t>采购包3（复杂环境下电机性能与可靠性智能化测试平台）：属于专门面向中小企业采购。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2、财务状况报告：提供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 3 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 附法定代表人/负责人、被授权人身份证复印件及被授权人近半年任意一个月社保缴纳证明或劳动合同。）（ 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2、财务状况报告：提供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 3 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 附法定代表人/负责人、被授权人身份证复印件及被授权人近半年任意一个月社保缴纳证明或劳动合同。）（ 法定代表人/负责人直接参加投标，须提供法定代表人/负责人身份证明）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2、财务状况报告：提供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 3 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 附法定代表人/负责人、被授权人身份证复印件及被授权人近半年任意一个月社保缴纳证明或劳动合同。）（ 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18291996082、029-82295130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采购包2：440,000.00元</w:t>
            </w:r>
          </w:p>
          <w:p>
            <w:pPr>
              <w:pStyle w:val="null3"/>
            </w:pPr>
            <w:r>
              <w:rPr>
                <w:rFonts w:ascii="仿宋_GB2312" w:hAnsi="仿宋_GB2312" w:cs="仿宋_GB2312" w:eastAsia="仿宋_GB2312"/>
              </w:rPr>
              <w:t>采购包3：430,000.00元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采购包1保证金金额：8,800.00元</w:t>
            </w:r>
          </w:p>
          <w:p>
            <w:pPr>
              <w:pStyle w:val="null3"/>
            </w:pPr>
            <w:r>
              <w:rPr>
                <w:rFonts w:ascii="仿宋_GB2312" w:hAnsi="仿宋_GB2312" w:cs="仿宋_GB2312" w:eastAsia="仿宋_GB2312"/>
              </w:rPr>
              <w:t>采购包2保证金金额：8,700.00元</w:t>
            </w:r>
          </w:p>
          <w:p>
            <w:pPr>
              <w:pStyle w:val="null3"/>
            </w:pPr>
            <w:r>
              <w:rPr>
                <w:rFonts w:ascii="仿宋_GB2312" w:hAnsi="仿宋_GB2312" w:cs="仿宋_GB2312" w:eastAsia="仿宋_GB2312"/>
              </w:rPr>
              <w:t>采购包3保证金金额：8,600.00元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 中国银行西安金花南路支行 银行账号： 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 80 万元以下收取定额 3000 元；代理项目金额 80 万以上-400 万以下，按照《招标代理服务收费管理暂行办法》（计价格[2002]1980 号）及（发改办价格 [2011]534 号）规定的计费标准*55%计取。 中标单位在领取中标通知书前，须向采购代理机构一次性支付招标代理服务费；代理服务费以转账、 电汇或现金等形式交纳。 缴纳账号： 开户名称： 陕西思迈融工程建设项目管理有限公司 开户银行：招商银行股份有限公司西安西影路支行 银行账号： 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 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 1 号 B 座 2606 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本项目为西安理工大学适用于先进制造的高性能伺服驱动与变频控制研发平台、重离子加速器 智能电源系统及测控平台及复杂环境下电机性能与可靠性智能化测试平台采购项目，分为 3 个采购 包，采购包 1：适用于先进制造的高性能伺服驱动与变频控制研发平台，采购包2：重离子加速器智能电源系统及测控平台，采购包3：复杂环境下电机性能与可靠性智能化测试平台。其中，采购包 1用于伺服电机高精度控制的教学和科研实验。实现伺服电机精准控制、超高转速运行及更高的定位精度。并通过并联机器人协同控制，可实现多机床并联同时运行；采购包2 主要由模块化多电平矩阵变换器（M3C）及控制器、可编程交直流电源、宽频电流探头以及电能质量分析仪等组成。 围绕重离子加速器智能电源 系统功率变换与测控协同的高精度控制需求，开展全链条实验。集科研开发、技术验证、人才培养于一 体，达到支撑系统级研究与全链条验证，全面覆盖实验研发、性能测试等需求；采购包3 旨在构建一套集环境模拟、数据采集、智能分析与故障诊断于一体的智能化测试平台，满足多相电机、步进电机、伺服电机等特种电机在复杂工况下的性能测试与可靠性验证需求。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适用于先进制造的高性能伺服驱动与变频控制研发平台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重离子加速器智能电源系统及测控平台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复杂环境下电机性能与可靠性智能化测试平台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标的名称：适用于先进制造的高性能伺服驱动与变频控制研发平台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tbl>
            <w:tblPr>
              <w:tblInd w:type="dxa" w:w="105"/>
              <w:tblBorders>
                <w:top w:val="none" w:color="000000" w:sz="4"/>
                <w:left w:val="none" w:color="000000" w:sz="4"/>
                <w:bottom w:val="none" w:color="000000" w:sz="4"/>
                <w:right w:val="none" w:color="000000" w:sz="4"/>
                <w:insideH w:val="none"/>
                <w:insideV w:val="none"/>
              </w:tblBorders>
            </w:tblPr>
            <w:tblGrid>
              <w:gridCol w:w="304"/>
              <w:gridCol w:w="1000"/>
              <w:gridCol w:w="654"/>
            </w:tblGrid>
            <w:tr>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序号</w:t>
                  </w:r>
                </w:p>
              </w:tc>
              <w:tc>
                <w:tcPr>
                  <w:tcW w:type="dxa" w:w="10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名称</w:t>
                  </w:r>
                </w:p>
              </w:tc>
              <w:tc>
                <w:tcPr>
                  <w:tcW w:type="dxa" w:w="6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数量</w:t>
                  </w:r>
                </w:p>
              </w:tc>
            </w:tr>
            <w:tr>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1"/>
                    </w:rPr>
                    <w:t>1</w:t>
                  </w:r>
                </w:p>
              </w:tc>
              <w:tc>
                <w:tcPr>
                  <w:tcW w:type="dxa" w:w="1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810"/>
                  </w:pPr>
                  <w:r>
                    <w:rPr>
                      <w:rFonts w:ascii="仿宋_GB2312" w:hAnsi="仿宋_GB2312" w:cs="仿宋_GB2312" w:eastAsia="仿宋_GB2312"/>
                      <w:sz w:val="21"/>
                    </w:rPr>
                    <w:t>高速电机驱动器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1"/>
                    </w:rPr>
                    <w:t>1 套</w:t>
                  </w:r>
                </w:p>
              </w:tc>
            </w:tr>
            <w:tr>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2</w:t>
                  </w:r>
                </w:p>
              </w:tc>
              <w:tc>
                <w:tcPr>
                  <w:tcW w:type="dxa" w:w="1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170"/>
                  </w:pPr>
                  <w:r>
                    <w:rPr>
                      <w:rFonts w:ascii="仿宋_GB2312" w:hAnsi="仿宋_GB2312" w:cs="仿宋_GB2312" w:eastAsia="仿宋_GB2312"/>
                      <w:sz w:val="21"/>
                    </w:rPr>
                    <w:t>高速电机</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1"/>
                    </w:rPr>
                    <w:t>1 台</w:t>
                  </w:r>
                </w:p>
              </w:tc>
            </w:tr>
            <w:tr>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1"/>
                    </w:rPr>
                    <w:t>3</w:t>
                  </w:r>
                </w:p>
              </w:tc>
              <w:tc>
                <w:tcPr>
                  <w:tcW w:type="dxa" w:w="1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0"/>
                  </w:pPr>
                  <w:r>
                    <w:rPr>
                      <w:rFonts w:ascii="仿宋_GB2312" w:hAnsi="仿宋_GB2312" w:cs="仿宋_GB2312" w:eastAsia="仿宋_GB2312"/>
                      <w:sz w:val="21"/>
                    </w:rPr>
                    <w:t>并联机器人</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1"/>
                    </w:rPr>
                    <w:t>1 套</w:t>
                  </w:r>
                </w:p>
              </w:tc>
            </w:tr>
            <w:tr>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4</w:t>
                  </w:r>
                </w:p>
              </w:tc>
              <w:tc>
                <w:tcPr>
                  <w:tcW w:type="dxa" w:w="1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840"/>
                  </w:pPr>
                  <w:r>
                    <w:rPr>
                      <w:rFonts w:ascii="仿宋_GB2312" w:hAnsi="仿宋_GB2312" w:cs="仿宋_GB2312" w:eastAsia="仿宋_GB2312"/>
                      <w:sz w:val="21"/>
                    </w:rPr>
                    <w:t>电主轴及驱动器</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1"/>
                    </w:rPr>
                    <w:t>1 套</w:t>
                  </w:r>
                </w:p>
              </w:tc>
            </w:tr>
            <w:tr>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1"/>
                    </w:rPr>
                    <w:t>5</w:t>
                  </w:r>
                </w:p>
              </w:tc>
              <w:tc>
                <w:tcPr>
                  <w:tcW w:type="dxa" w:w="1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80"/>
                  </w:pPr>
                  <w:r>
                    <w:rPr>
                      <w:rFonts w:ascii="仿宋_GB2312" w:hAnsi="仿宋_GB2312" w:cs="仿宋_GB2312" w:eastAsia="仿宋_GB2312"/>
                      <w:sz w:val="21"/>
                    </w:rPr>
                    <w:t>电机故障智能诊断平台</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1"/>
                    </w:rPr>
                    <w:t>1 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45"/>
              <w:ind w:left="120"/>
            </w:pPr>
            <w:r>
              <w:rPr>
                <w:rFonts w:ascii="仿宋_GB2312" w:hAnsi="仿宋_GB2312" w:cs="仿宋_GB2312" w:eastAsia="仿宋_GB2312"/>
              </w:rPr>
              <w:t>一、高速电机驱动器参数要求：</w:t>
            </w:r>
          </w:p>
          <w:p>
            <w:pPr>
              <w:pStyle w:val="null3"/>
            </w:pPr>
            <w:r>
              <w:rPr>
                <w:rFonts w:ascii="仿宋_GB2312" w:hAnsi="仿宋_GB2312" w:cs="仿宋_GB2312" w:eastAsia="仿宋_GB2312"/>
              </w:rPr>
              <w:t>▲1.额定输出频率：0～1333Hz；</w:t>
            </w:r>
          </w:p>
          <w:p>
            <w:pPr>
              <w:pStyle w:val="null3"/>
            </w:pPr>
            <w:r>
              <w:rPr>
                <w:rFonts w:ascii="仿宋_GB2312" w:hAnsi="仿宋_GB2312" w:cs="仿宋_GB2312" w:eastAsia="仿宋_GB2312"/>
              </w:rPr>
              <w:t>▲2.输入电压适应范围：200V～450V；</w:t>
            </w:r>
          </w:p>
          <w:p>
            <w:pPr>
              <w:pStyle w:val="null3"/>
            </w:pPr>
            <w:r>
              <w:rPr>
                <w:rFonts w:ascii="仿宋_GB2312" w:hAnsi="仿宋_GB2312" w:cs="仿宋_GB2312" w:eastAsia="仿宋_GB2312"/>
              </w:rPr>
              <w:t>3.峰值效率： ≥97% ；</w:t>
            </w:r>
          </w:p>
          <w:p>
            <w:pPr>
              <w:pStyle w:val="null3"/>
            </w:pPr>
            <w:r>
              <w:rPr>
                <w:rFonts w:ascii="仿宋_GB2312" w:hAnsi="仿宋_GB2312" w:cs="仿宋_GB2312" w:eastAsia="仿宋_GB2312"/>
              </w:rPr>
              <w:t>4.额定输出功率： ≥10kW，</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ind w:left="120"/>
            </w:pPr>
            <w:r>
              <w:rPr>
                <w:rFonts w:ascii="仿宋_GB2312" w:hAnsi="仿宋_GB2312" w:cs="仿宋_GB2312" w:eastAsia="仿宋_GB2312"/>
              </w:rPr>
              <w:t>二、高速电机参数要求：</w:t>
            </w:r>
          </w:p>
          <w:p>
            <w:pPr>
              <w:pStyle w:val="null3"/>
            </w:pPr>
            <w:r>
              <w:rPr>
                <w:rFonts w:ascii="仿宋_GB2312" w:hAnsi="仿宋_GB2312" w:cs="仿宋_GB2312" w:eastAsia="仿宋_GB2312"/>
              </w:rPr>
              <w:t>★1.调速范围：0～80000rpm；</w:t>
            </w:r>
          </w:p>
          <w:p>
            <w:pPr>
              <w:pStyle w:val="null3"/>
            </w:pPr>
            <w:r>
              <w:rPr>
                <w:rFonts w:ascii="仿宋_GB2312" w:hAnsi="仿宋_GB2312" w:cs="仿宋_GB2312" w:eastAsia="仿宋_GB2312"/>
              </w:rPr>
              <w:t xml:space="preserve">▲2.峰值效率： ≥94% ;  </w:t>
            </w:r>
          </w:p>
          <w:p>
            <w:pPr>
              <w:pStyle w:val="null3"/>
            </w:pPr>
            <w:r>
              <w:rPr>
                <w:rFonts w:ascii="仿宋_GB2312" w:hAnsi="仿宋_GB2312" w:cs="仿宋_GB2312" w:eastAsia="仿宋_GB2312"/>
              </w:rPr>
              <w:t>3.额定输出功率： ≥10kW；</w:t>
            </w:r>
          </w:p>
          <w:p>
            <w:pPr>
              <w:pStyle w:val="null3"/>
            </w:pPr>
            <w:r>
              <w:rPr>
                <w:rFonts w:ascii="仿宋_GB2312" w:hAnsi="仿宋_GB2312" w:cs="仿宋_GB2312" w:eastAsia="仿宋_GB2312"/>
              </w:rPr>
              <w:t xml:space="preserve">4.工作环境温度：-35℃~+105℃;  </w:t>
            </w:r>
          </w:p>
          <w:p>
            <w:pPr>
              <w:pStyle w:val="null3"/>
            </w:pPr>
            <w:r>
              <w:rPr>
                <w:rFonts w:ascii="仿宋_GB2312" w:hAnsi="仿宋_GB2312" w:cs="仿宋_GB2312" w:eastAsia="仿宋_GB2312"/>
              </w:rPr>
              <w:t>5.电机绝缘等级：不低于 H 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0"/>
              <w:ind w:left="120"/>
            </w:pPr>
            <w:r>
              <w:rPr>
                <w:rFonts w:ascii="仿宋_GB2312" w:hAnsi="仿宋_GB2312" w:cs="仿宋_GB2312" w:eastAsia="仿宋_GB2312"/>
              </w:rPr>
              <w:t>三、并联机器人参数要求：</w:t>
            </w:r>
          </w:p>
          <w:p>
            <w:pPr>
              <w:pStyle w:val="null3"/>
            </w:pPr>
            <w:r>
              <w:rPr>
                <w:rFonts w:ascii="仿宋_GB2312" w:hAnsi="仿宋_GB2312" w:cs="仿宋_GB2312" w:eastAsia="仿宋_GB2312"/>
              </w:rPr>
              <w:t>▲1.重复定位精度： ±0.03～0.15mm；</w:t>
            </w:r>
          </w:p>
          <w:p>
            <w:pPr>
              <w:pStyle w:val="null3"/>
            </w:pPr>
            <w:r>
              <w:rPr>
                <w:rFonts w:ascii="仿宋_GB2312" w:hAnsi="仿宋_GB2312" w:cs="仿宋_GB2312" w:eastAsia="仿宋_GB2312"/>
              </w:rPr>
              <w:t>▲2.负载： ≥4kg；</w:t>
            </w:r>
          </w:p>
          <w:p>
            <w:pPr>
              <w:pStyle w:val="null3"/>
            </w:pPr>
            <w:r>
              <w:rPr>
                <w:rFonts w:ascii="仿宋_GB2312" w:hAnsi="仿宋_GB2312" w:cs="仿宋_GB2312" w:eastAsia="仿宋_GB2312"/>
              </w:rPr>
              <w:t>3.较大水平行程：覆盖 500～900mm;</w:t>
            </w:r>
          </w:p>
          <w:p>
            <w:pPr>
              <w:pStyle w:val="null3"/>
            </w:pPr>
            <w:r>
              <w:rPr>
                <w:rFonts w:ascii="仿宋_GB2312" w:hAnsi="仿宋_GB2312" w:cs="仿宋_GB2312" w:eastAsia="仿宋_GB2312"/>
              </w:rPr>
              <w:t>4.较大垂直行程：覆盖 50～500mm;</w:t>
            </w:r>
          </w:p>
          <w:p>
            <w:pPr>
              <w:pStyle w:val="null3"/>
            </w:pPr>
            <w:r>
              <w:rPr>
                <w:rFonts w:ascii="仿宋_GB2312" w:hAnsi="仿宋_GB2312" w:cs="仿宋_GB2312" w:eastAsia="仿宋_GB2312"/>
              </w:rPr>
              <w:t>5.额定功率： ≥3kW。</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ind w:left="120"/>
            </w:pPr>
            <w:r>
              <w:rPr>
                <w:rFonts w:ascii="仿宋_GB2312" w:hAnsi="仿宋_GB2312" w:cs="仿宋_GB2312" w:eastAsia="仿宋_GB2312"/>
              </w:rPr>
              <w:t>四、电主轴及驱动器参数要求：</w:t>
            </w:r>
          </w:p>
          <w:p>
            <w:pPr>
              <w:pStyle w:val="null3"/>
            </w:pPr>
            <w:r>
              <w:rPr>
                <w:rFonts w:ascii="仿宋_GB2312" w:hAnsi="仿宋_GB2312" w:cs="仿宋_GB2312" w:eastAsia="仿宋_GB2312"/>
              </w:rPr>
              <w:t>▲1.调速范围： ≥0-80000rpm，在额定负载下持续稳定运行；</w:t>
            </w:r>
          </w:p>
          <w:p>
            <w:pPr>
              <w:pStyle w:val="null3"/>
            </w:pPr>
            <w:r>
              <w:rPr>
                <w:rFonts w:ascii="仿宋_GB2312" w:hAnsi="仿宋_GB2312" w:cs="仿宋_GB2312" w:eastAsia="仿宋_GB2312"/>
              </w:rPr>
              <w:t>▲2.控制方法：SVC、FOC、VVVF 等；</w:t>
            </w:r>
          </w:p>
          <w:p>
            <w:pPr>
              <w:pStyle w:val="null3"/>
            </w:pPr>
            <w:r>
              <w:rPr>
                <w:rFonts w:ascii="仿宋_GB2312" w:hAnsi="仿宋_GB2312" w:cs="仿宋_GB2312" w:eastAsia="仿宋_GB2312"/>
              </w:rPr>
              <w:t>3. 额定输出功率： ≥10kW；持续运行能力≥12 小时；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30"/>
              <w:ind w:left="120"/>
            </w:pPr>
            <w:r>
              <w:rPr>
                <w:rFonts w:ascii="仿宋_GB2312" w:hAnsi="仿宋_GB2312" w:cs="仿宋_GB2312" w:eastAsia="仿宋_GB2312"/>
              </w:rPr>
              <w:t>五、电机故障智能诊断平台参数要求：</w:t>
            </w:r>
          </w:p>
          <w:p>
            <w:pPr>
              <w:pStyle w:val="null3"/>
            </w:pPr>
            <w:r>
              <w:rPr>
                <w:rFonts w:ascii="仿宋_GB2312" w:hAnsi="仿宋_GB2312" w:cs="仿宋_GB2312" w:eastAsia="仿宋_GB2312"/>
              </w:rPr>
              <w:t>1.带宽： ≥2.5GHz；</w:t>
            </w:r>
          </w:p>
          <w:p>
            <w:pPr>
              <w:pStyle w:val="null3"/>
            </w:pPr>
            <w:r>
              <w:rPr>
                <w:rFonts w:ascii="仿宋_GB2312" w:hAnsi="仿宋_GB2312" w:cs="仿宋_GB2312" w:eastAsia="仿宋_GB2312"/>
              </w:rPr>
              <w:t>2.采样率： ≥5GSa/s；</w:t>
            </w:r>
          </w:p>
          <w:p>
            <w:pPr>
              <w:pStyle w:val="null3"/>
            </w:pPr>
            <w:r>
              <w:rPr>
                <w:rFonts w:ascii="仿宋_GB2312" w:hAnsi="仿宋_GB2312" w:cs="仿宋_GB2312" w:eastAsia="仿宋_GB2312"/>
              </w:rPr>
              <w:t>▲3.振动加速度：10～12g（峰值），多轴 (≥3 轴）</w:t>
            </w:r>
          </w:p>
          <w:p>
            <w:pPr>
              <w:pStyle w:val="null3"/>
            </w:pPr>
            <w:r>
              <w:rPr>
                <w:rFonts w:ascii="仿宋_GB2312" w:hAnsi="仿宋_GB2312" w:cs="仿宋_GB2312" w:eastAsia="仿宋_GB2312"/>
              </w:rPr>
              <w:t>4.频谱分析范围：10～1200Hz 多轴振动频谱分析；</w:t>
            </w:r>
          </w:p>
          <w:p>
            <w:pPr>
              <w:pStyle w:val="null3"/>
            </w:pPr>
            <w:r>
              <w:rPr>
                <w:rFonts w:ascii="仿宋_GB2312" w:hAnsi="仿宋_GB2312" w:cs="仿宋_GB2312" w:eastAsia="仿宋_GB2312"/>
              </w:rPr>
              <w:t>5.工作温度范围：-30℃~110℃；相对湿度范围：30～98%RH</w:t>
            </w:r>
          </w:p>
          <w:p>
            <w:pPr>
              <w:pStyle w:val="null3"/>
            </w:pPr>
            <w:r>
              <w:rPr>
                <w:rFonts w:ascii="仿宋_GB2312" w:hAnsi="仿宋_GB2312" w:cs="仿宋_GB2312" w:eastAsia="仿宋_GB2312"/>
              </w:rPr>
              <w:t>6.防护等级： ≥IP67；</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标的名称：重离子加速器智能电源系统及测控平台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tbl>
            <w:tblPr>
              <w:tblBorders>
                <w:top w:val="none" w:color="000000" w:sz="4"/>
                <w:left w:val="none" w:color="000000" w:sz="4"/>
                <w:bottom w:val="none" w:color="000000" w:sz="4"/>
                <w:right w:val="none" w:color="000000" w:sz="4"/>
                <w:insideH w:val="none"/>
                <w:insideV w:val="none"/>
              </w:tblBorders>
            </w:tblPr>
            <w:tblGrid>
              <w:gridCol w:w="303"/>
              <w:gridCol w:w="1390"/>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模块化多电平矩阵变换器（</w:t>
                  </w:r>
                  <w:r>
                    <w:rPr>
                      <w:rFonts w:ascii="仿宋_GB2312" w:hAnsi="仿宋_GB2312" w:cs="仿宋_GB2312" w:eastAsia="仿宋_GB2312"/>
                      <w:sz w:val="21"/>
                      <w:color w:val="000000"/>
                    </w:rPr>
                    <w:t>M3C）及控制器</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 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可编程交直流电源</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 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宽频电流探头</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 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电能质量分析仪</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 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一、模块化多电平矩阵变换器（M3C）及控制器参数要求：</w:t>
            </w:r>
          </w:p>
          <w:p>
            <w:pPr>
              <w:pStyle w:val="null3"/>
            </w:pPr>
            <w:r>
              <w:rPr>
                <w:rFonts w:ascii="仿宋_GB2312" w:hAnsi="仿宋_GB2312" w:cs="仿宋_GB2312" w:eastAsia="仿宋_GB2312"/>
              </w:rPr>
              <w:t>★1、模块化多电平矩阵变换器（M3C）子模块：应采用全桥拓扑结构；</w:t>
            </w:r>
          </w:p>
          <w:p>
            <w:pPr>
              <w:pStyle w:val="null3"/>
            </w:pPr>
            <w:r>
              <w:rPr>
                <w:rFonts w:ascii="仿宋_GB2312" w:hAnsi="仿宋_GB2312" w:cs="仿宋_GB2312" w:eastAsia="仿宋_GB2312"/>
              </w:rPr>
              <w:t>2、开关管：须采用SMPD型封装IGBT；</w:t>
            </w:r>
          </w:p>
          <w:p>
            <w:pPr>
              <w:pStyle w:val="null3"/>
            </w:pPr>
            <w:r>
              <w:rPr>
                <w:rFonts w:ascii="仿宋_GB2312" w:hAnsi="仿宋_GB2312" w:cs="仿宋_GB2312" w:eastAsia="仿宋_GB2312"/>
              </w:rPr>
              <w:t>▲3、子模块具备4路光纤输入/1路光纤输出，内置电压/电流测量模块；</w:t>
            </w:r>
          </w:p>
          <w:p>
            <w:pPr>
              <w:pStyle w:val="null3"/>
            </w:pPr>
            <w:r>
              <w:rPr>
                <w:rFonts w:ascii="仿宋_GB2312" w:hAnsi="仿宋_GB2312" w:cs="仿宋_GB2312" w:eastAsia="仿宋_GB2312"/>
              </w:rPr>
              <w:t>▲4、系统主控板：采用DSP+ARM+FPGA架构；</w:t>
            </w:r>
          </w:p>
          <w:p>
            <w:pPr>
              <w:pStyle w:val="null3"/>
            </w:pPr>
            <w:r>
              <w:rPr>
                <w:rFonts w:ascii="仿宋_GB2312" w:hAnsi="仿宋_GB2312" w:cs="仿宋_GB2312" w:eastAsia="仿宋_GB2312"/>
              </w:rPr>
              <w:t>▲5、直流母线电压额定值400V,最大开关频率≥30kHz，系统最大电流（正弦波）≥25A；</w:t>
            </w:r>
          </w:p>
          <w:p>
            <w:pPr>
              <w:pStyle w:val="null3"/>
            </w:pPr>
            <w:r>
              <w:rPr>
                <w:rFonts w:ascii="仿宋_GB2312" w:hAnsi="仿宋_GB2312" w:cs="仿宋_GB2312" w:eastAsia="仿宋_GB2312"/>
              </w:rPr>
              <w:t>▲6、系统额定负载下效率≥95%，输出波形总谐波畸变率（THD）≤5% ；</w:t>
            </w:r>
          </w:p>
          <w:p>
            <w:pPr>
              <w:pStyle w:val="null3"/>
            </w:pPr>
            <w:r>
              <w:rPr>
                <w:rFonts w:ascii="仿宋_GB2312" w:hAnsi="仿宋_GB2312" w:cs="仿宋_GB2312" w:eastAsia="仿宋_GB2312"/>
              </w:rPr>
              <w:t>7、系统具备三相交流-交流直接变换功能，具备低频输入时(典型值50/3Hz)工频输出，及其工频输入时低频输出功能，具备电容电压均衡、环流抑制及输入/输出侧独立解耦控制功能；</w:t>
            </w:r>
          </w:p>
          <w:p>
            <w:pPr>
              <w:pStyle w:val="null3"/>
            </w:pPr>
            <w:r>
              <w:rPr>
                <w:rFonts w:ascii="仿宋_GB2312" w:hAnsi="仿宋_GB2312" w:cs="仿宋_GB2312" w:eastAsia="仿宋_GB2312"/>
              </w:rPr>
              <w:t>8、系统每个桥臂具备桥臂电感，电感值≥2.5mH，每个子模块具备子模块电容，电容值≥1500μF；</w:t>
            </w:r>
          </w:p>
          <w:p>
            <w:pPr>
              <w:pStyle w:val="null3"/>
            </w:pPr>
            <w:r>
              <w:rPr>
                <w:rFonts w:ascii="仿宋_GB2312" w:hAnsi="仿宋_GB2312" w:cs="仿宋_GB2312" w:eastAsia="仿宋_GB2312"/>
              </w:rPr>
              <w:t>9、机箱配置实时显示各功能模块的电压、电流和温度等运行参数，并支持故障事件的本地存储与历史记录调阅；</w:t>
            </w:r>
          </w:p>
          <w:p>
            <w:pPr>
              <w:pStyle w:val="null3"/>
            </w:pPr>
            <w:r>
              <w:rPr>
                <w:rFonts w:ascii="仿宋_GB2312" w:hAnsi="仿宋_GB2312" w:cs="仿宋_GB2312" w:eastAsia="仿宋_GB2312"/>
              </w:rPr>
              <w:t>10、控制功能：配套上位机监控软件，具备上位机控制功能，可实时采集、显示并存储系统内部所有关键节点的电压、电流数据及波形；</w:t>
            </w:r>
          </w:p>
          <w:p>
            <w:pPr>
              <w:pStyle w:val="null3"/>
            </w:pPr>
            <w:r>
              <w:rPr>
                <w:rFonts w:ascii="仿宋_GB2312" w:hAnsi="仿宋_GB2312" w:cs="仿宋_GB2312" w:eastAsia="仿宋_GB2312"/>
              </w:rPr>
              <w:t>11、支持基于Simulink模型设计与代码自动生成，生成的源代码须支持查看与编辑；</w:t>
            </w:r>
          </w:p>
          <w:p>
            <w:pPr>
              <w:pStyle w:val="null3"/>
            </w:pPr>
            <w:r>
              <w:rPr>
                <w:rFonts w:ascii="仿宋_GB2312" w:hAnsi="仿宋_GB2312" w:cs="仿宋_GB2312" w:eastAsia="仿宋_GB2312"/>
              </w:rPr>
              <w:t>12、提供≥120路PMW电信号输出，输出电平0/5V，频率设置范围500Hz~500KHz；提供≥24路PWM光纤信号输出，≥12路故障信号光纤输入；</w:t>
            </w:r>
          </w:p>
          <w:p>
            <w:pPr>
              <w:pStyle w:val="null3"/>
            </w:pPr>
            <w:r>
              <w:rPr>
                <w:rFonts w:ascii="仿宋_GB2312" w:hAnsi="仿宋_GB2312" w:cs="仿宋_GB2312" w:eastAsia="仿宋_GB2312"/>
              </w:rPr>
              <w:t>13、ADC（模拟量采集）通道数≥64路，分辨率≥16位，采样范围支持-10V~10V，采样率≥200KSPS；</w:t>
            </w:r>
          </w:p>
          <w:p>
            <w:pPr>
              <w:pStyle w:val="null3"/>
            </w:pPr>
            <w:r>
              <w:rPr>
                <w:rFonts w:ascii="仿宋_GB2312" w:hAnsi="仿宋_GB2312" w:cs="仿宋_GB2312" w:eastAsia="仿宋_GB2312"/>
              </w:rPr>
              <w:t>14、DAC（模拟量输出）通道数≥16路，分辨率≥16位，建立时间≤15us，输出范围支持-10V~10V，须支持BNC接口直接与示波器连接；</w:t>
            </w:r>
          </w:p>
          <w:p>
            <w:pPr>
              <w:pStyle w:val="null3"/>
            </w:pPr>
            <w:r>
              <w:rPr>
                <w:rFonts w:ascii="仿宋_GB2312" w:hAnsi="仿宋_GB2312" w:cs="仿宋_GB2312" w:eastAsia="仿宋_GB2312"/>
              </w:rPr>
              <w:t>15、上位机软件须支持所有运行数据及录波文件的导出与保存，至少包含工程管理、代码编辑、工程编译、下载、调试、在线调参、实时波形、手动录波、自动触发录波、自定义用户画面等功能。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ind w:left="135"/>
            </w:pPr>
            <w:r>
              <w:rPr>
                <w:rFonts w:ascii="仿宋_GB2312" w:hAnsi="仿宋_GB2312" w:cs="仿宋_GB2312" w:eastAsia="仿宋_GB2312"/>
              </w:rPr>
              <w:t>二、可编程交直流电源参数要求：</w:t>
            </w:r>
          </w:p>
          <w:p>
            <w:pPr>
              <w:pStyle w:val="null3"/>
            </w:pPr>
            <w:r>
              <w:rPr>
                <w:rFonts w:ascii="仿宋_GB2312" w:hAnsi="仿宋_GB2312" w:cs="仿宋_GB2312" w:eastAsia="仿宋_GB2312"/>
              </w:rPr>
              <w:t>▲1、具备双向直流源和回馈式负载功能，具备输出功率功能,源模式最大输出功率≥±20kW，运行效率≥94%，交流输入谐波电流≤3%，功率因数≥0.99；</w:t>
            </w:r>
          </w:p>
          <w:p>
            <w:pPr>
              <w:pStyle w:val="null3"/>
            </w:pPr>
            <w:r>
              <w:rPr>
                <w:rFonts w:ascii="仿宋_GB2312" w:hAnsi="仿宋_GB2312" w:cs="仿宋_GB2312" w:eastAsia="仿宋_GB2312"/>
              </w:rPr>
              <w:t>▲2、具备编程直流电源等工况需求功能等，可编程在输出上叠加电压正弦波、三角波、脉冲波、削波、半波、多脉波、30组DST等自定义波形；</w:t>
            </w:r>
          </w:p>
          <w:p>
            <w:pPr>
              <w:pStyle w:val="null3"/>
            </w:pPr>
            <w:r>
              <w:rPr>
                <w:rFonts w:ascii="仿宋_GB2312" w:hAnsi="仿宋_GB2312" w:cs="仿宋_GB2312" w:eastAsia="仿宋_GB2312"/>
              </w:rPr>
              <w:t>▲3、输出直流电压可调，最大输出电压≥600V，最大输出电流≥±180A;</w:t>
            </w:r>
          </w:p>
          <w:p>
            <w:pPr>
              <w:pStyle w:val="null3"/>
            </w:pPr>
            <w:r>
              <w:rPr>
                <w:rFonts w:ascii="仿宋_GB2312" w:hAnsi="仿宋_GB2312" w:cs="仿宋_GB2312" w:eastAsia="仿宋_GB2312"/>
              </w:rPr>
              <w:t>▲4、输出电压精度≤±0.03%F.S.（满量程），电流精度≤± 0.03%F.S.（满量程），电压纹波(有效值)≤400mV RMS；</w:t>
            </w:r>
          </w:p>
          <w:p>
            <w:pPr>
              <w:pStyle w:val="null3"/>
            </w:pPr>
            <w:r>
              <w:rPr>
                <w:rFonts w:ascii="仿宋_GB2312" w:hAnsi="仿宋_GB2312" w:cs="仿宋_GB2312" w:eastAsia="仿宋_GB2312"/>
              </w:rPr>
              <w:t>5、功率编程精度≤0.02%F.S.（满量程），功率编程分辨率≤ ±2W，显示精度≤±4W，显示分辨率≤±2W；</w:t>
            </w:r>
          </w:p>
          <w:p>
            <w:pPr>
              <w:pStyle w:val="null3"/>
            </w:pPr>
            <w:r>
              <w:rPr>
                <w:rFonts w:ascii="仿宋_GB2312" w:hAnsi="仿宋_GB2312" w:cs="仿宋_GB2312" w:eastAsia="仿宋_GB2312"/>
              </w:rPr>
              <w:t>6、电流编程分辨率≤±20mA，显示分辨率≤±2mA；</w:t>
            </w:r>
          </w:p>
          <w:p>
            <w:pPr>
              <w:pStyle w:val="null3"/>
            </w:pPr>
            <w:r>
              <w:rPr>
                <w:rFonts w:ascii="仿宋_GB2312" w:hAnsi="仿宋_GB2312" w:cs="仿宋_GB2312" w:eastAsia="仿宋_GB2312"/>
              </w:rPr>
              <w:t>7、具备上位机控制功能。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0"/>
              <w:ind w:left="120"/>
            </w:pPr>
            <w:r>
              <w:rPr>
                <w:rFonts w:ascii="仿宋_GB2312" w:hAnsi="仿宋_GB2312" w:cs="仿宋_GB2312" w:eastAsia="仿宋_GB2312"/>
              </w:rPr>
              <w:t>三、宽频电流探头参数要求：</w:t>
            </w:r>
          </w:p>
          <w:p>
            <w:pPr>
              <w:pStyle w:val="null3"/>
            </w:pPr>
            <w:r>
              <w:rPr>
                <w:rFonts w:ascii="仿宋_GB2312" w:hAnsi="仿宋_GB2312" w:cs="仿宋_GB2312" w:eastAsia="仿宋_GB2312"/>
              </w:rPr>
              <w:t>▲1、带宽≥100MHz；</w:t>
            </w:r>
          </w:p>
          <w:p>
            <w:pPr>
              <w:pStyle w:val="null3"/>
            </w:pPr>
            <w:r>
              <w:rPr>
                <w:rFonts w:ascii="仿宋_GB2312" w:hAnsi="仿宋_GB2312" w:cs="仿宋_GB2312" w:eastAsia="仿宋_GB2312"/>
              </w:rPr>
              <w:t>2、上升时间（阶跃响应从稳态幅值 10%上升到90%所用时间） ≤3.2ns；</w:t>
            </w:r>
          </w:p>
          <w:p>
            <w:pPr>
              <w:pStyle w:val="null3"/>
            </w:pPr>
            <w:r>
              <w:rPr>
                <w:rFonts w:ascii="仿宋_GB2312" w:hAnsi="仿宋_GB2312" w:cs="仿宋_GB2312" w:eastAsia="仿宋_GB2312"/>
              </w:rPr>
              <w:t>3、具备多量程切换功能，至少包含 5A 和 30A 两档可调，切换方式支持手动或自动识别，在 30A 量程下，最大连续电流≥30A RMS，峰值电流脉冲电流≥45A；</w:t>
            </w:r>
          </w:p>
          <w:p>
            <w:pPr>
              <w:pStyle w:val="null3"/>
            </w:pPr>
            <w:r>
              <w:rPr>
                <w:rFonts w:ascii="仿宋_GB2312" w:hAnsi="仿宋_GB2312" w:cs="仿宋_GB2312" w:eastAsia="仿宋_GB2312"/>
              </w:rPr>
              <w:t>4、输入阻抗≥0.9MΩ;</w:t>
            </w:r>
          </w:p>
          <w:p>
            <w:pPr>
              <w:pStyle w:val="null3"/>
            </w:pPr>
            <w:r>
              <w:rPr>
                <w:rFonts w:ascii="仿宋_GB2312" w:hAnsi="仿宋_GB2312" w:cs="仿宋_GB2312" w:eastAsia="仿宋_GB2312"/>
              </w:rPr>
              <w:t>5、具备交流/直流测量能力，测量精度：直流增益精度≤3%。</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ind w:left="150"/>
            </w:pPr>
            <w:r>
              <w:rPr>
                <w:rFonts w:ascii="仿宋_GB2312" w:hAnsi="仿宋_GB2312" w:cs="仿宋_GB2312" w:eastAsia="仿宋_GB2312"/>
              </w:rPr>
              <w:t>四、电能质量分析仪参数要求：</w:t>
            </w:r>
          </w:p>
          <w:p>
            <w:pPr>
              <w:pStyle w:val="null3"/>
            </w:pPr>
            <w:r>
              <w:rPr>
                <w:rFonts w:ascii="仿宋_GB2312" w:hAnsi="仿宋_GB2312" w:cs="仿宋_GB2312" w:eastAsia="仿宋_GB2312"/>
              </w:rPr>
              <w:t>1、须完全符合国际标准 IEC 61000-4-30 要求，具备连续记录与运算能力，可检测瞬态电压、电压骤升、电压骤降、停电、频率波动、冲击电流、电压总谐波畸变率、电流总谐波畸变率，具备有功功率、无功功率、视在功率、功率因数测量功能；</w:t>
            </w:r>
          </w:p>
          <w:p>
            <w:pPr>
              <w:pStyle w:val="null3"/>
            </w:pPr>
            <w:r>
              <w:rPr>
                <w:rFonts w:ascii="仿宋_GB2312" w:hAnsi="仿宋_GB2312" w:cs="仿宋_GB2312" w:eastAsia="仿宋_GB2312"/>
              </w:rPr>
              <w:t>2、具备电压及电流负序不平衡度、电压及电流零序不平衡度、谐波电压、谐波电流、间谐波电压、间谐波电流检测能力，</w:t>
            </w:r>
          </w:p>
          <w:p>
            <w:pPr>
              <w:pStyle w:val="null3"/>
            </w:pPr>
            <w:r>
              <w:rPr>
                <w:rFonts w:ascii="仿宋_GB2312" w:hAnsi="仿宋_GB2312" w:cs="仿宋_GB2312" w:eastAsia="仿宋_GB2312"/>
              </w:rPr>
              <w:t>谐波可测量：0 次 (直流)~50 次，间谐波可测量 0.5 次~49.5次；</w:t>
            </w:r>
          </w:p>
          <w:p>
            <w:pPr>
              <w:pStyle w:val="null3"/>
            </w:pPr>
            <w:r>
              <w:rPr>
                <w:rFonts w:ascii="仿宋_GB2312" w:hAnsi="仿宋_GB2312" w:cs="仿宋_GB2312" w:eastAsia="仿宋_GB2312"/>
              </w:rPr>
              <w:t>3、瞬态电压测量最大量程≥±2000V peak，瞬态电压最大测量带宽≥40kHz，瞬态电压测量精度≤±5.0%rdg. ±2.0%F.S. （满量程）。</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标的名称：复杂环境下电机性能与可靠性智能化测试平台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tbl>
            <w:tblPr>
              <w:tblInd w:type="dxa" w:w="19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序号</w:t>
                  </w:r>
                </w:p>
              </w:tc>
              <w:tc>
                <w:tcPr>
                  <w:tcW w:type="dxa" w:w="8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名称</w:t>
                  </w:r>
                </w:p>
              </w:tc>
              <w:tc>
                <w:tcPr>
                  <w:tcW w:type="dxa" w:w="8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数量</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1</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实时数字控制器</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台</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2</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快速原型控制器</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台</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3</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积木式功率模块</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6 </w:t>
                  </w:r>
                  <w:r>
                    <w:rPr>
                      <w:rFonts w:ascii="仿宋_GB2312" w:hAnsi="仿宋_GB2312" w:cs="仿宋_GB2312" w:eastAsia="仿宋_GB2312"/>
                      <w:sz w:val="21"/>
                    </w:rPr>
                    <w:t>个</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4</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集成式三相驱动器</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2 </w:t>
                  </w:r>
                  <w:r>
                    <w:rPr>
                      <w:rFonts w:ascii="仿宋_GB2312" w:hAnsi="仿宋_GB2312" w:cs="仿宋_GB2312" w:eastAsia="仿宋_GB2312"/>
                      <w:sz w:val="21"/>
                    </w:rPr>
                    <w:t>台</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5</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电机加载系统</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台</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6</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永磁同步电机对拖台架</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套</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7</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直流电源</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台</w:t>
                  </w:r>
                </w:p>
              </w:tc>
            </w:tr>
            <w:tr>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8</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大功率电机对拖平台</w:t>
                  </w:r>
                </w:p>
              </w:tc>
              <w:tc>
                <w:tcPr>
                  <w:tcW w:type="dxa" w:w="85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1"/>
                    </w:rPr>
                    <w:t xml:space="preserve">1 </w:t>
                  </w: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45"/>
              <w:ind w:left="120"/>
            </w:pPr>
            <w:r>
              <w:rPr>
                <w:rFonts w:ascii="仿宋_GB2312" w:hAnsi="仿宋_GB2312" w:cs="仿宋_GB2312" w:eastAsia="仿宋_GB2312"/>
              </w:rPr>
              <w:t>一、实时数字控制器参数要求：</w:t>
            </w:r>
          </w:p>
          <w:p>
            <w:pPr>
              <w:pStyle w:val="null3"/>
            </w:pPr>
            <w:r>
              <w:rPr>
                <w:rFonts w:ascii="仿宋_GB2312" w:hAnsi="仿宋_GB2312" w:cs="仿宋_GB2312" w:eastAsia="仿宋_GB2312"/>
              </w:rPr>
              <w:t>1.构架要求：主控制器须为双核 32 位浮点 DSP，总处理能力≥ 800MIPS；</w:t>
            </w:r>
          </w:p>
          <w:p>
            <w:pPr>
              <w:pStyle w:val="null3"/>
            </w:pPr>
            <w:r>
              <w:rPr>
                <w:rFonts w:ascii="仿宋_GB2312" w:hAnsi="仿宋_GB2312" w:cs="仿宋_GB2312" w:eastAsia="仿宋_GB2312"/>
              </w:rPr>
              <w:t>2.模型设计：支持Simulink模型设计，具备代码自动生成功能，支持生成代码的查看与二次编辑；</w:t>
            </w:r>
          </w:p>
          <w:p>
            <w:pPr>
              <w:pStyle w:val="null3"/>
            </w:pPr>
            <w:r>
              <w:rPr>
                <w:rFonts w:ascii="仿宋_GB2312" w:hAnsi="仿宋_GB2312" w:cs="仿宋_GB2312" w:eastAsia="仿宋_GB2312"/>
              </w:rPr>
              <w:t>3.电源输入/输出：机箱支持 USB Type-C与 24V DC 双输入；可对外输出 5V/5A、±15V/2A、隔离型 24V/1A 电源供外部设备使用；</w:t>
            </w:r>
          </w:p>
          <w:p>
            <w:pPr>
              <w:pStyle w:val="null3"/>
            </w:pPr>
            <w:r>
              <w:rPr>
                <w:rFonts w:ascii="仿宋_GB2312" w:hAnsi="仿宋_GB2312" w:cs="仿宋_GB2312" w:eastAsia="仿宋_GB2312"/>
              </w:rPr>
              <w:t>★4.PWM 输出：PWM 电信号输出通道≥120 路，输出电平 0/5V，频率可调范围 500Hz～500kHz，满足级联型电力电子拓扑 PWM 脉冲信号需求；PWM 光纤信号输出通道≥24 路，故障信号光纤输入≥12路，满足背靠背型两电平/三电平 PWM 整流器、MMC 变换器等设备使用需求；</w:t>
            </w:r>
          </w:p>
          <w:p>
            <w:pPr>
              <w:pStyle w:val="null3"/>
            </w:pPr>
            <w:r>
              <w:rPr>
                <w:rFonts w:ascii="仿宋_GB2312" w:hAnsi="仿宋_GB2312" w:cs="仿宋_GB2312" w:eastAsia="仿宋_GB2312"/>
              </w:rPr>
              <w:t>▲5.ADC 采集：ADC 通道≥64 路，最大可扩展至 96 路；精度≥16 位，采样范围-10V～10V，采样速率≥200KSPS，支持 500KSPS采样速率可选；</w:t>
            </w:r>
          </w:p>
          <w:p>
            <w:pPr>
              <w:pStyle w:val="null3"/>
            </w:pPr>
            <w:r>
              <w:rPr>
                <w:rFonts w:ascii="仿宋_GB2312" w:hAnsi="仿宋_GB2312" w:cs="仿宋_GB2312" w:eastAsia="仿宋_GB2312"/>
              </w:rPr>
              <w:t>6.DAC 输出：DAC 通道≥16 路，精度≥16 位，建立时间≤15 μs，输出范围-10V～10V，模拟接口须为BNC 接口，可直接与示波器连接；</w:t>
            </w:r>
          </w:p>
          <w:p>
            <w:pPr>
              <w:pStyle w:val="null3"/>
            </w:pPr>
            <w:r>
              <w:rPr>
                <w:rFonts w:ascii="仿宋_GB2312" w:hAnsi="仿宋_GB2312" w:cs="仿宋_GB2312" w:eastAsia="仿宋_GB2312"/>
              </w:rPr>
              <w:t>7.数字量 I/O：数字量输入≥32 路，输入电平兼容 5V，可读取各接口电平，可复用为故障输入，实现功率瞬时过功率保护；数字量输出≥32 路；</w:t>
            </w:r>
          </w:p>
          <w:p>
            <w:pPr>
              <w:pStyle w:val="null3"/>
            </w:pPr>
            <w:r>
              <w:rPr>
                <w:rFonts w:ascii="仿宋_GB2312" w:hAnsi="仿宋_GB2312" w:cs="仿宋_GB2312" w:eastAsia="仿宋_GB2312"/>
              </w:rPr>
              <w:t>▲8.编码器支持：支持正交编码器、旋转变压器、绝对值编码器、脉冲型测速功能；正交编码器测速通道≥5 路、旋转变压器测速≥2 路、SSI绝对值编码器测速≥2 路、EnDat 2.2 绝对值编码器测速≥2 路，脉冲型CAP捕获计算≥5路；</w:t>
            </w:r>
          </w:p>
          <w:p>
            <w:pPr>
              <w:pStyle w:val="null3"/>
            </w:pPr>
            <w:r>
              <w:rPr>
                <w:rFonts w:ascii="仿宋_GB2312" w:hAnsi="仿宋_GB2312" w:cs="仿宋_GB2312" w:eastAsia="仿宋_GB2312"/>
              </w:rPr>
              <w:t>9.隔离型 I/O：隔离型开入信号16路，支持 24V/110V/220V；隔离型继电器开出信号12路 ，最大带载能力≥8A/250VAC、 5A/30VDC；</w:t>
            </w:r>
          </w:p>
          <w:p>
            <w:pPr>
              <w:pStyle w:val="null3"/>
            </w:pPr>
            <w:r>
              <w:rPr>
                <w:rFonts w:ascii="仿宋_GB2312" w:hAnsi="仿宋_GB2312" w:cs="仿宋_GB2312" w:eastAsia="仿宋_GB2312"/>
              </w:rPr>
              <w:t>10.通信接 口：隔离型 RS232接口 ≥1 个、隔离型 RS485 接口 ≥2个、隔离型 CAN2.0B 接口 ≥2 个、10M/100M 以太网口 ≥2 个；支持 Modbus RTU、Modbus TCP 等通信协议，支持可在Simulink模型中实现自定义通信协议；</w:t>
            </w:r>
          </w:p>
          <w:p>
            <w:pPr>
              <w:pStyle w:val="null3"/>
            </w:pPr>
            <w:r>
              <w:rPr>
                <w:rFonts w:ascii="仿宋_GB2312" w:hAnsi="仿宋_GB2312" w:cs="仿宋_GB2312" w:eastAsia="仿宋_GB2312"/>
              </w:rPr>
              <w:t>11.运行监测：须具备代码运行时间测量功能、代码运行超负荷重启提醒功能；</w:t>
            </w:r>
          </w:p>
          <w:p>
            <w:pPr>
              <w:pStyle w:val="null3"/>
            </w:pPr>
            <w:r>
              <w:rPr>
                <w:rFonts w:ascii="仿宋_GB2312" w:hAnsi="仿宋_GB2312" w:cs="仿宋_GB2312" w:eastAsia="仿宋_GB2312"/>
              </w:rPr>
              <w:t>12.实时仿真：通过以太网与 Simulink实时通信，可将数据回传至Simulink，参与在线实时仿真；支持多步长混合调度运行；</w:t>
            </w:r>
          </w:p>
          <w:p>
            <w:pPr>
              <w:pStyle w:val="null3"/>
            </w:pPr>
            <w:r>
              <w:rPr>
                <w:rFonts w:ascii="仿宋_GB2312" w:hAnsi="仿宋_GB2312" w:cs="仿宋_GB2312" w:eastAsia="仿宋_GB2312"/>
              </w:rPr>
              <w:t>13.软件系统：由上位机软件、Simulink 专用模块库、底层驱动软件组成，所有软件须提供终身免费升级；</w:t>
            </w:r>
          </w:p>
          <w:p>
            <w:pPr>
              <w:pStyle w:val="null3"/>
            </w:pPr>
            <w:r>
              <w:rPr>
                <w:rFonts w:ascii="仿宋_GB2312" w:hAnsi="仿宋_GB2312" w:cs="仿宋_GB2312" w:eastAsia="仿宋_GB2312"/>
              </w:rPr>
              <w:t>14.模块库功能：至少包含基于dq同步旋转坐标变换的三相锁相环（SRF-PLL）模块、基于二阶广义积分器的单相并网系统锁相（SPLL-SOGI）模块；DAB控制模型算法兼容单移相控制（SPS）、扩展移相控制（ESPS）、双重移相扩展控制算法（DPS）等；</w:t>
            </w:r>
          </w:p>
          <w:p>
            <w:pPr>
              <w:pStyle w:val="null3"/>
            </w:pPr>
            <w:r>
              <w:rPr>
                <w:rFonts w:ascii="仿宋_GB2312" w:hAnsi="仿宋_GB2312" w:cs="仿宋_GB2312" w:eastAsia="仿宋_GB2312"/>
              </w:rPr>
              <w:t>15.上位机功能：支持工程管理、代码编辑、工程编译、下载、调试、在线调参、实时波形显示、手动录波、 自动触发录波、自定义用户画面、数据导出保存；支持≥256 个变量在线实时观测与调试；支持≥32 条波形在线实时显示，传输速率≥2K 点/秒，数据可保存导出；支持≥8 条波形录波，可选择手动或自动触发录波，每条记录数据量≥80K 点，数据可保存导出；</w:t>
            </w:r>
          </w:p>
          <w:p>
            <w:pPr>
              <w:pStyle w:val="null3"/>
            </w:pPr>
            <w:r>
              <w:rPr>
                <w:rFonts w:ascii="仿宋_GB2312" w:hAnsi="仿宋_GB2312" w:cs="仿宋_GB2312" w:eastAsia="仿宋_GB2312"/>
              </w:rPr>
              <w:t>16.用户自定义：支持自定义用户画面，支持文本、按钮、时间、图片、标签、波形、趋势、线段等图元控件，可通过拖拽关联变量、波形与图元控件；支持多画面切换、GIF 动画、启动外部程序等功能。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ind w:left="120"/>
            </w:pPr>
            <w:r>
              <w:rPr>
                <w:rFonts w:ascii="仿宋_GB2312" w:hAnsi="仿宋_GB2312" w:cs="仿宋_GB2312" w:eastAsia="仿宋_GB2312"/>
              </w:rPr>
              <w:t>二、快速原型控制器参数要求：</w:t>
            </w:r>
          </w:p>
          <w:p>
            <w:pPr>
              <w:pStyle w:val="null3"/>
            </w:pPr>
            <w:r>
              <w:rPr>
                <w:rFonts w:ascii="仿宋_GB2312" w:hAnsi="仿宋_GB2312" w:cs="仿宋_GB2312" w:eastAsia="仿宋_GB2312"/>
              </w:rPr>
              <w:t>1.架构：主控制器须为双核 32 位浮点 DSP，运行主频≥300MHz；</w:t>
            </w:r>
          </w:p>
          <w:p>
            <w:pPr>
              <w:pStyle w:val="null3"/>
            </w:pPr>
            <w:r>
              <w:rPr>
                <w:rFonts w:ascii="仿宋_GB2312" w:hAnsi="仿宋_GB2312" w:cs="仿宋_GB2312" w:eastAsia="仿宋_GB2312"/>
              </w:rPr>
              <w:t>2.模型设计：支持 Simulink 模型设计，具备代码自动生成功能，生成的源代码可查看、可编辑。</w:t>
            </w:r>
          </w:p>
          <w:p>
            <w:pPr>
              <w:pStyle w:val="null3"/>
            </w:pPr>
            <w:r>
              <w:rPr>
                <w:rFonts w:ascii="仿宋_GB2312" w:hAnsi="仿宋_GB2312" w:cs="仿宋_GB2312" w:eastAsia="仿宋_GB2312"/>
              </w:rPr>
              <w:t>3. 电源输入/输出：输入电压 220VAC；可对外输出 5V/5A、 ± 15V/2A、24V/1A，其中 5V、+15V、-15V 共地。</w:t>
            </w:r>
          </w:p>
          <w:p>
            <w:pPr>
              <w:pStyle w:val="null3"/>
            </w:pPr>
            <w:r>
              <w:rPr>
                <w:rFonts w:ascii="仿宋_GB2312" w:hAnsi="仿宋_GB2312" w:cs="仿宋_GB2312" w:eastAsia="仿宋_GB2312"/>
              </w:rPr>
              <w:t>4.DO 输出：DO 输出端口 ≥36 路，输出电平 5V，其中≥12 路可复用为 PWM，复用后 PWM 频率可调范围覆盖 100Hz～100kHz（独立 PWM 频率范围 500Hz～500kHz）。</w:t>
            </w:r>
          </w:p>
          <w:p>
            <w:pPr>
              <w:pStyle w:val="null3"/>
            </w:pPr>
            <w:r>
              <w:rPr>
                <w:rFonts w:ascii="仿宋_GB2312" w:hAnsi="仿宋_GB2312" w:cs="仿宋_GB2312" w:eastAsia="仿宋_GB2312"/>
              </w:rPr>
              <w:t>▲5.PWM 输出：PWM 输出≥60 路，最大可扩展至 120 路，输出电平 5V，同步输出，频率可调范围 500Hz～500kHz。</w:t>
            </w:r>
          </w:p>
          <w:p>
            <w:pPr>
              <w:pStyle w:val="null3"/>
            </w:pPr>
            <w:r>
              <w:rPr>
                <w:rFonts w:ascii="仿宋_GB2312" w:hAnsi="仿宋_GB2312" w:cs="仿宋_GB2312" w:eastAsia="仿宋_GB2312"/>
              </w:rPr>
              <w:t>▲6.ADC 采集：ADC 通道≥32 路，精度≥16 位，单端输入，采样范围-10V～10V，采样速率≥200KSPS，采样精度≤0.2%FS（满量程）。</w:t>
            </w:r>
          </w:p>
          <w:p>
            <w:pPr>
              <w:pStyle w:val="null3"/>
            </w:pPr>
            <w:r>
              <w:rPr>
                <w:rFonts w:ascii="仿宋_GB2312" w:hAnsi="仿宋_GB2312" w:cs="仿宋_GB2312" w:eastAsia="仿宋_GB2312"/>
              </w:rPr>
              <w:t>7.DAC 输出：DAC 通道≥8 路，精度≥16 位，建立时间≤15 μs，输出范围≥-10V～10V。</w:t>
            </w:r>
          </w:p>
          <w:p>
            <w:pPr>
              <w:pStyle w:val="null3"/>
            </w:pPr>
            <w:r>
              <w:rPr>
                <w:rFonts w:ascii="仿宋_GB2312" w:hAnsi="仿宋_GB2312" w:cs="仿宋_GB2312" w:eastAsia="仿宋_GB2312"/>
              </w:rPr>
              <w:t>8.数字量 I/O：数字量输入≥36 路，输入电平 5V，可复用为Fault故障输入功能，实现功率瞬时过功率保护。</w:t>
            </w:r>
          </w:p>
          <w:p>
            <w:pPr>
              <w:pStyle w:val="null3"/>
            </w:pPr>
            <w:r>
              <w:rPr>
                <w:rFonts w:ascii="仿宋_GB2312" w:hAnsi="仿宋_GB2312" w:cs="仿宋_GB2312" w:eastAsia="仿宋_GB2312"/>
              </w:rPr>
              <w:t>9.编码器支持：支持正交编码器接口 ≥5 个，旋转变压器接口 ≥ 2 个，脉冲捕获编码器≥3 路。</w:t>
            </w:r>
          </w:p>
          <w:p>
            <w:pPr>
              <w:pStyle w:val="null3"/>
            </w:pPr>
            <w:r>
              <w:rPr>
                <w:rFonts w:ascii="仿宋_GB2312" w:hAnsi="仿宋_GB2312" w:cs="仿宋_GB2312" w:eastAsia="仿宋_GB2312"/>
              </w:rPr>
              <w:t>10.通信接口：隔离型 RS232 接口 ≥1 个、隔离型 RS485 接口 ≥1个、隔离型 CAN2.0B 接口 ≥1 个、10M/100M 以太网口 ≥1 个；支持 Modbus RTU、Modbus TCP 通信协议。</w:t>
            </w:r>
          </w:p>
          <w:p>
            <w:pPr>
              <w:pStyle w:val="null3"/>
            </w:pPr>
            <w:r>
              <w:rPr>
                <w:rFonts w:ascii="仿宋_GB2312" w:hAnsi="仿宋_GB2312" w:cs="仿宋_GB2312" w:eastAsia="仿宋_GB2312"/>
              </w:rPr>
              <w:t>11.运行监测：具备代码运行时间测量功能、代码运行超负荷重启提醒功能；支持多步长混合调度运行。</w:t>
            </w:r>
          </w:p>
          <w:p>
            <w:pPr>
              <w:pStyle w:val="null3"/>
            </w:pPr>
            <w:r>
              <w:rPr>
                <w:rFonts w:ascii="仿宋_GB2312" w:hAnsi="仿宋_GB2312" w:cs="仿宋_GB2312" w:eastAsia="仿宋_GB2312"/>
              </w:rPr>
              <w:t>12.实时仿真：支持通过以太网与 Simulink 实时通信，可将数据回传至 Simulink，参与在线实时仿真。</w:t>
            </w:r>
          </w:p>
          <w:p>
            <w:pPr>
              <w:pStyle w:val="null3"/>
            </w:pPr>
            <w:r>
              <w:rPr>
                <w:rFonts w:ascii="仿宋_GB2312" w:hAnsi="仿宋_GB2312" w:cs="仿宋_GB2312" w:eastAsia="仿宋_GB2312"/>
              </w:rPr>
              <w:t>13.软件系统：由上位机软件、Simulink 专用模块库、底层驱动软件组成，所有软件须提供终身免费升级。</w:t>
            </w:r>
          </w:p>
          <w:p>
            <w:pPr>
              <w:pStyle w:val="null3"/>
            </w:pPr>
            <w:r>
              <w:rPr>
                <w:rFonts w:ascii="仿宋_GB2312" w:hAnsi="仿宋_GB2312" w:cs="仿宋_GB2312" w:eastAsia="仿宋_GB2312"/>
              </w:rPr>
              <w:t>14.模块库功能：至少包含基于 dq 同步旋转坐标变换的三相锁相环（SRF-PLL）模块、基于二阶广义积分器的单相并网系统锁相（SPLL-SOGI）模块；DAB 控制模型算法兼容单移相控制（SPS）、扩展移相控制（ESPS）、双重移相扩展控制算法（DPS）等。</w:t>
            </w:r>
          </w:p>
          <w:p>
            <w:pPr>
              <w:pStyle w:val="null3"/>
            </w:pPr>
            <w:r>
              <w:rPr>
                <w:rFonts w:ascii="仿宋_GB2312" w:hAnsi="仿宋_GB2312" w:cs="仿宋_GB2312" w:eastAsia="仿宋_GB2312"/>
              </w:rPr>
              <w:t>15.上位机功能：用于工程管理、代码编辑、工程编译、下载、调试、在线调参、实时波形显示、手动录波、 自动触发录波、自定义用户画面等；所有数据可导出保存；支持≥256 个变量在线实时观测与调试；支持≥8 条波形在线实时显示，传输速率≥ 2K 点/秒，数据可保存导出；支持≥8 条波形录波，可选择手动或自动触发录波，每条记录数据量≥80K 点，数据可保存导出。</w:t>
            </w:r>
          </w:p>
          <w:p>
            <w:pPr>
              <w:pStyle w:val="null3"/>
            </w:pPr>
            <w:r>
              <w:rPr>
                <w:rFonts w:ascii="仿宋_GB2312" w:hAnsi="仿宋_GB2312" w:cs="仿宋_GB2312" w:eastAsia="仿宋_GB2312"/>
              </w:rPr>
              <w:t>16.用户自定义：具备用户画面自定义功能，支持文本、按钮、时间、图片、标签、波形、趋势、线段等图元控件，可通过拖拽方式将程序中任意变量或波形与图元控件关联；支持多画面切换、GIF 动画、启动外部程序等功能。</w:t>
            </w:r>
          </w:p>
          <w:p>
            <w:pPr>
              <w:pStyle w:val="null3"/>
            </w:pPr>
            <w:r>
              <w:rPr>
                <w:rFonts w:ascii="仿宋_GB2312" w:hAnsi="仿宋_GB2312" w:cs="仿宋_GB2312" w:eastAsia="仿宋_GB2312"/>
              </w:rPr>
              <w:t>17.控制器主频 200M～2G，600～800MIPS，与 Matlab 兼容。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0"/>
              <w:ind w:left="120"/>
            </w:pPr>
            <w:r>
              <w:rPr>
                <w:rFonts w:ascii="仿宋_GB2312" w:hAnsi="仿宋_GB2312" w:cs="仿宋_GB2312" w:eastAsia="仿宋_GB2312"/>
              </w:rPr>
              <w:t>三、积木式功率模块参数要求：</w:t>
            </w:r>
          </w:p>
          <w:p>
            <w:pPr>
              <w:pStyle w:val="null3"/>
            </w:pPr>
            <w:r>
              <w:rPr>
                <w:rFonts w:ascii="仿宋_GB2312" w:hAnsi="仿宋_GB2312" w:cs="仿宋_GB2312" w:eastAsia="仿宋_GB2312"/>
              </w:rPr>
              <w:t>▲1.电气参数：单个模块最高耐压≥800VDC，最大电流有效值≥25A；功率器件须为 IGBT，开关频率≥20kHz；可满足 8×8 轮特种车辆驱动，多电机构成的抽水蓄能机组驱动使用需求。</w:t>
            </w:r>
          </w:p>
          <w:p>
            <w:pPr>
              <w:pStyle w:val="null3"/>
            </w:pPr>
            <w:r>
              <w:rPr>
                <w:rFonts w:ascii="仿宋_GB2312" w:hAnsi="仿宋_GB2312" w:cs="仿宋_GB2312" w:eastAsia="仿宋_GB2312"/>
              </w:rPr>
              <w:t>2.保护功能：模块板载硬件、软件双重保护，包含过压、过流、过热、PWM 同高等保护；过压、过流、过热保护阈值可手动设定；</w:t>
            </w:r>
          </w:p>
          <w:p>
            <w:pPr>
              <w:pStyle w:val="null3"/>
            </w:pPr>
            <w:r>
              <w:rPr>
                <w:rFonts w:ascii="仿宋_GB2312" w:hAnsi="仿宋_GB2312" w:cs="仿宋_GB2312" w:eastAsia="仿宋_GB2312"/>
              </w:rPr>
              <w:t>3.通信功能：具备 RS485 通信接口，可将模块的电压、电流、温度等数据与配套机箱进行交互；</w:t>
            </w:r>
          </w:p>
          <w:p>
            <w:pPr>
              <w:pStyle w:val="null3"/>
            </w:pPr>
            <w:r>
              <w:rPr>
                <w:rFonts w:ascii="仿宋_GB2312" w:hAnsi="仿宋_GB2312" w:cs="仿宋_GB2312" w:eastAsia="仿宋_GB2312"/>
              </w:rPr>
              <w:t>4.复位功能：配备复位按钮，模块保护状态解除后，可通过复位按钮实现手动复位；</w:t>
            </w:r>
          </w:p>
          <w:p>
            <w:pPr>
              <w:pStyle w:val="null3"/>
            </w:pPr>
            <w:r>
              <w:rPr>
                <w:rFonts w:ascii="仿宋_GB2312" w:hAnsi="仿宋_GB2312" w:cs="仿宋_GB2312" w:eastAsia="仿宋_GB2312"/>
              </w:rPr>
              <w:t>5.散热系统：须采用风扇散热方式，风扇具备独立转速反馈；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ind w:left="150"/>
            </w:pPr>
            <w:r>
              <w:rPr>
                <w:rFonts w:ascii="仿宋_GB2312" w:hAnsi="仿宋_GB2312" w:cs="仿宋_GB2312" w:eastAsia="仿宋_GB2312"/>
              </w:rPr>
              <w:t>四、集成式三相驱动器参数要求：</w:t>
            </w:r>
          </w:p>
          <w:p>
            <w:pPr>
              <w:pStyle w:val="null3"/>
            </w:pPr>
            <w:r>
              <w:rPr>
                <w:rFonts w:ascii="仿宋_GB2312" w:hAnsi="仿宋_GB2312" w:cs="仿宋_GB2312" w:eastAsia="仿宋_GB2312"/>
              </w:rPr>
              <w:t>▲1.输入电压：直流（DC）输入电压≥800V；交流（AC）输入电压≥560Vrms；</w:t>
            </w:r>
          </w:p>
          <w:p>
            <w:pPr>
              <w:pStyle w:val="null3"/>
            </w:pPr>
            <w:r>
              <w:rPr>
                <w:rFonts w:ascii="仿宋_GB2312" w:hAnsi="仿宋_GB2312" w:cs="仿宋_GB2312" w:eastAsia="仿宋_GB2312"/>
              </w:rPr>
              <w:t>▲2.输出参数：额定输出电流≥20Arms，最高开关频率≥20kHz；</w:t>
            </w:r>
          </w:p>
          <w:p>
            <w:pPr>
              <w:pStyle w:val="null3"/>
            </w:pPr>
            <w:r>
              <w:rPr>
                <w:rFonts w:ascii="仿宋_GB2312" w:hAnsi="仿宋_GB2312" w:cs="仿宋_GB2312" w:eastAsia="仿宋_GB2312"/>
              </w:rPr>
              <w:t>3.内置单元：电流检测单元、电压检测单元、预充电回路及 EMC滤波器；</w:t>
            </w:r>
          </w:p>
          <w:p>
            <w:pPr>
              <w:pStyle w:val="null3"/>
            </w:pPr>
            <w:r>
              <w:rPr>
                <w:rFonts w:ascii="仿宋_GB2312" w:hAnsi="仿宋_GB2312" w:cs="仿宋_GB2312" w:eastAsia="仿宋_GB2312"/>
              </w:rPr>
              <w:t>4.保护功能：具备软硬件双重过流、直流过压、过温、IGBT 驱动故障保护；</w:t>
            </w:r>
          </w:p>
          <w:p>
            <w:pPr>
              <w:pStyle w:val="null3"/>
            </w:pPr>
            <w:r>
              <w:rPr>
                <w:rFonts w:ascii="仿宋_GB2312" w:hAnsi="仿宋_GB2312" w:cs="仿宋_GB2312" w:eastAsia="仿宋_GB2312"/>
              </w:rPr>
              <w:t>5.显示与设置：工业级触摸屏，显示设备运行参数；支持软件保护阈值手动设置；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30"/>
              <w:ind w:left="120"/>
            </w:pPr>
            <w:r>
              <w:rPr>
                <w:rFonts w:ascii="仿宋_GB2312" w:hAnsi="仿宋_GB2312" w:cs="仿宋_GB2312" w:eastAsia="仿宋_GB2312"/>
              </w:rPr>
              <w:t>五、电机加载系统参数要求：</w:t>
            </w:r>
          </w:p>
          <w:p>
            <w:pPr>
              <w:pStyle w:val="null3"/>
            </w:pPr>
            <w:r>
              <w:rPr>
                <w:rFonts w:ascii="仿宋_GB2312" w:hAnsi="仿宋_GB2312" w:cs="仿宋_GB2312" w:eastAsia="仿宋_GB2312"/>
              </w:rPr>
              <w:t>1.额定电压：380VAC；</w:t>
            </w:r>
          </w:p>
          <w:p>
            <w:pPr>
              <w:pStyle w:val="null3"/>
            </w:pPr>
            <w:r>
              <w:rPr>
                <w:rFonts w:ascii="仿宋_GB2312" w:hAnsi="仿宋_GB2312" w:cs="仿宋_GB2312" w:eastAsia="仿宋_GB2312"/>
              </w:rPr>
              <w:t>2.额定功率≥4kW；</w:t>
            </w:r>
          </w:p>
          <w:p>
            <w:pPr>
              <w:pStyle w:val="null3"/>
            </w:pPr>
            <w:r>
              <w:rPr>
                <w:rFonts w:ascii="仿宋_GB2312" w:hAnsi="仿宋_GB2312" w:cs="仿宋_GB2312" w:eastAsia="仿宋_GB2312"/>
              </w:rPr>
              <w:t>3.额定电流≥10.5A；</w:t>
            </w:r>
          </w:p>
          <w:p>
            <w:pPr>
              <w:pStyle w:val="null3"/>
            </w:pPr>
            <w:r>
              <w:rPr>
                <w:rFonts w:ascii="仿宋_GB2312" w:hAnsi="仿宋_GB2312" w:cs="仿宋_GB2312" w:eastAsia="仿宋_GB2312"/>
              </w:rPr>
              <w:t>4.电机控制方式：矢量控制或直接转矩控制（DTC）；</w:t>
            </w:r>
          </w:p>
          <w:p>
            <w:pPr>
              <w:pStyle w:val="null3"/>
            </w:pPr>
            <w:r>
              <w:rPr>
                <w:rFonts w:ascii="仿宋_GB2312" w:hAnsi="仿宋_GB2312" w:cs="仿宋_GB2312" w:eastAsia="仿宋_GB2312"/>
              </w:rPr>
              <w:t>5.最高输出频率≥1000Hz；</w:t>
            </w:r>
          </w:p>
          <w:p>
            <w:pPr>
              <w:pStyle w:val="null3"/>
            </w:pPr>
            <w:r>
              <w:rPr>
                <w:rFonts w:ascii="仿宋_GB2312" w:hAnsi="仿宋_GB2312" w:cs="仿宋_GB2312" w:eastAsia="仿宋_GB2312"/>
              </w:rPr>
              <w:t>6.最大制动电压≥750Vmax；</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before="30"/>
              <w:ind w:left="120"/>
            </w:pPr>
            <w:r>
              <w:rPr>
                <w:rFonts w:ascii="仿宋_GB2312" w:hAnsi="仿宋_GB2312" w:cs="仿宋_GB2312" w:eastAsia="仿宋_GB2312"/>
              </w:rPr>
              <w:t>六、永磁同步电机对拖台架参数要求：</w:t>
            </w:r>
          </w:p>
          <w:p>
            <w:pPr>
              <w:pStyle w:val="null3"/>
            </w:pPr>
            <w:r>
              <w:rPr>
                <w:rFonts w:ascii="仿宋_GB2312" w:hAnsi="仿宋_GB2312" w:cs="仿宋_GB2312" w:eastAsia="仿宋_GB2312"/>
              </w:rPr>
              <w:t>1.电机类型：永磁同步电机；</w:t>
            </w:r>
          </w:p>
          <w:p>
            <w:pPr>
              <w:pStyle w:val="null3"/>
            </w:pPr>
            <w:r>
              <w:rPr>
                <w:rFonts w:ascii="仿宋_GB2312" w:hAnsi="仿宋_GB2312" w:cs="仿宋_GB2312" w:eastAsia="仿宋_GB2312"/>
              </w:rPr>
              <w:t>2.额定功率≥0.75kW；</w:t>
            </w:r>
          </w:p>
          <w:p>
            <w:pPr>
              <w:pStyle w:val="null3"/>
            </w:pPr>
            <w:r>
              <w:rPr>
                <w:rFonts w:ascii="仿宋_GB2312" w:hAnsi="仿宋_GB2312" w:cs="仿宋_GB2312" w:eastAsia="仿宋_GB2312"/>
              </w:rPr>
              <w:t>3.额定转速≥3000rpm；</w:t>
            </w:r>
          </w:p>
          <w:p>
            <w:pPr>
              <w:pStyle w:val="null3"/>
            </w:pPr>
            <w:r>
              <w:rPr>
                <w:rFonts w:ascii="仿宋_GB2312" w:hAnsi="仿宋_GB2312" w:cs="仿宋_GB2312" w:eastAsia="仿宋_GB2312"/>
              </w:rPr>
              <w:t>4.额定电流≥3A；</w:t>
            </w:r>
          </w:p>
          <w:p>
            <w:pPr>
              <w:pStyle w:val="null3"/>
            </w:pPr>
            <w:r>
              <w:rPr>
                <w:rFonts w:ascii="仿宋_GB2312" w:hAnsi="仿宋_GB2312" w:cs="仿宋_GB2312" w:eastAsia="仿宋_GB2312"/>
              </w:rPr>
              <w:t>5.额定力矩≥2.4N ·m</w:t>
            </w:r>
          </w:p>
          <w:p>
            <w:pPr>
              <w:pStyle w:val="null3"/>
            </w:pPr>
            <w:r>
              <w:rPr>
                <w:rFonts w:ascii="仿宋_GB2312" w:hAnsi="仿宋_GB2312" w:cs="仿宋_GB2312" w:eastAsia="仿宋_GB2312"/>
              </w:rPr>
              <w:t>6.峰值力矩≥7.1N ·m</w:t>
            </w:r>
          </w:p>
          <w:p>
            <w:pPr>
              <w:pStyle w:val="null3"/>
            </w:pPr>
            <w:r>
              <w:rPr>
                <w:rFonts w:ascii="仿宋_GB2312" w:hAnsi="仿宋_GB2312" w:cs="仿宋_GB2312" w:eastAsia="仿宋_GB2312"/>
              </w:rPr>
              <w:t>7.极对数：4 对极；</w:t>
            </w:r>
          </w:p>
          <w:p>
            <w:pPr>
              <w:pStyle w:val="null3"/>
            </w:pPr>
            <w:r>
              <w:rPr>
                <w:rFonts w:ascii="仿宋_GB2312" w:hAnsi="仿宋_GB2312" w:cs="仿宋_GB2312" w:eastAsia="仿宋_GB2312"/>
              </w:rPr>
              <w:t>8.编码器类型：增量式光电编码器；</w:t>
            </w:r>
          </w:p>
          <w:p>
            <w:pPr>
              <w:pStyle w:val="null3"/>
            </w:pPr>
            <w:r>
              <w:rPr>
                <w:rFonts w:ascii="仿宋_GB2312" w:hAnsi="仿宋_GB2312" w:cs="仿宋_GB2312" w:eastAsia="仿宋_GB2312"/>
              </w:rPr>
              <w:t>9.编码器线数≥2500 线；</w:t>
            </w:r>
          </w:p>
          <w:p>
            <w:pPr>
              <w:pStyle w:val="null3"/>
            </w:pPr>
            <w:r>
              <w:rPr>
                <w:rFonts w:ascii="仿宋_GB2312" w:hAnsi="仿宋_GB2312" w:cs="仿宋_GB2312" w:eastAsia="仿宋_GB2312"/>
              </w:rPr>
              <w:t>10.扭矩仪量程≥5N.m</w:t>
            </w:r>
          </w:p>
          <w:p>
            <w:pPr>
              <w:pStyle w:val="null3"/>
            </w:pPr>
            <w:r>
              <w:rPr>
                <w:rFonts w:ascii="仿宋_GB2312" w:hAnsi="仿宋_GB2312" w:cs="仿宋_GB2312" w:eastAsia="仿宋_GB2312"/>
              </w:rPr>
              <w:t>11.扭矩仪精度≥0.1%F.S</w:t>
            </w:r>
          </w:p>
          <w:p>
            <w:pPr>
              <w:pStyle w:val="null3"/>
            </w:pPr>
            <w:r>
              <w:rPr>
                <w:rFonts w:ascii="仿宋_GB2312" w:hAnsi="仿宋_GB2312" w:cs="仿宋_GB2312" w:eastAsia="仿宋_GB2312"/>
              </w:rPr>
              <w:t>12.台架底座：铸铝；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before="30"/>
              <w:ind w:left="120"/>
            </w:pPr>
            <w:r>
              <w:rPr>
                <w:rFonts w:ascii="仿宋_GB2312" w:hAnsi="仿宋_GB2312" w:cs="仿宋_GB2312" w:eastAsia="仿宋_GB2312"/>
              </w:rPr>
              <w:t>七、直流电源参数要求：</w:t>
            </w:r>
          </w:p>
          <w:p>
            <w:pPr>
              <w:pStyle w:val="null3"/>
            </w:pPr>
            <w:r>
              <w:rPr>
                <w:rFonts w:ascii="仿宋_GB2312" w:hAnsi="仿宋_GB2312" w:cs="仿宋_GB2312" w:eastAsia="仿宋_GB2312"/>
              </w:rPr>
              <w:t>▲1.额定功率≥15kW；</w:t>
            </w:r>
          </w:p>
          <w:p>
            <w:pPr>
              <w:pStyle w:val="null3"/>
            </w:pPr>
            <w:r>
              <w:rPr>
                <w:rFonts w:ascii="仿宋_GB2312" w:hAnsi="仿宋_GB2312" w:cs="仿宋_GB2312" w:eastAsia="仿宋_GB2312"/>
              </w:rPr>
              <w:t>2.电压可调范围≥0～610V；</w:t>
            </w:r>
          </w:p>
          <w:p>
            <w:pPr>
              <w:pStyle w:val="null3"/>
            </w:pPr>
            <w:r>
              <w:rPr>
                <w:rFonts w:ascii="仿宋_GB2312" w:hAnsi="仿宋_GB2312" w:cs="仿宋_GB2312" w:eastAsia="仿宋_GB2312"/>
              </w:rPr>
              <w:t>3.电流可调范围≥0～28A；</w:t>
            </w:r>
          </w:p>
          <w:p>
            <w:pPr>
              <w:pStyle w:val="null3"/>
            </w:pPr>
            <w:r>
              <w:rPr>
                <w:rFonts w:ascii="仿宋_GB2312" w:hAnsi="仿宋_GB2312" w:cs="仿宋_GB2312" w:eastAsia="仿宋_GB2312"/>
              </w:rPr>
              <w:t>4.效率（@220Vac 满载时） ≥90%</w:t>
            </w:r>
          </w:p>
          <w:p>
            <w:pPr>
              <w:pStyle w:val="null3"/>
            </w:pPr>
            <w:r>
              <w:rPr>
                <w:rFonts w:ascii="仿宋_GB2312" w:hAnsi="仿宋_GB2312" w:cs="仿宋_GB2312" w:eastAsia="仿宋_GB2312"/>
              </w:rPr>
              <w:t>5.功率因数（典型值） ≥0.97@380Vac，额定输出功率；</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180"/>
              <w:ind w:left="135"/>
            </w:pPr>
            <w:r>
              <w:rPr>
                <w:rFonts w:ascii="仿宋_GB2312" w:hAnsi="仿宋_GB2312" w:cs="仿宋_GB2312" w:eastAsia="仿宋_GB2312"/>
              </w:rPr>
              <w:t>八、大功率电机对拖平台参数要求：</w:t>
            </w:r>
          </w:p>
          <w:p>
            <w:pPr>
              <w:pStyle w:val="null3"/>
            </w:pPr>
            <w:r>
              <w:rPr>
                <w:rFonts w:ascii="仿宋_GB2312" w:hAnsi="仿宋_GB2312" w:cs="仿宋_GB2312" w:eastAsia="仿宋_GB2312"/>
              </w:rPr>
              <w:t>1.电机类型：永磁同步电机</w:t>
            </w:r>
          </w:p>
          <w:p>
            <w:pPr>
              <w:pStyle w:val="null3"/>
            </w:pPr>
            <w:r>
              <w:rPr>
                <w:rFonts w:ascii="仿宋_GB2312" w:hAnsi="仿宋_GB2312" w:cs="仿宋_GB2312" w:eastAsia="仿宋_GB2312"/>
              </w:rPr>
              <w:t>2.额定功率≥15kW；</w:t>
            </w:r>
          </w:p>
          <w:p>
            <w:pPr>
              <w:pStyle w:val="null3"/>
            </w:pPr>
            <w:r>
              <w:rPr>
                <w:rFonts w:ascii="仿宋_GB2312" w:hAnsi="仿宋_GB2312" w:cs="仿宋_GB2312" w:eastAsia="仿宋_GB2312"/>
              </w:rPr>
              <w:t>3.转矩测试范围 0.01Nm～30Nm，转速范围 0～8000r/min；速度控制精度≤±0.1%F.S.</w:t>
            </w:r>
          </w:p>
          <w:p>
            <w:pPr>
              <w:pStyle w:val="null3"/>
            </w:pPr>
            <w:r>
              <w:rPr>
                <w:rFonts w:ascii="仿宋_GB2312" w:hAnsi="仿宋_GB2312" w:cs="仿宋_GB2312" w:eastAsia="仿宋_GB2312"/>
              </w:rPr>
              <w:t>4.能够模拟多轮独立驱动特种车辆运行工况，包括人机对话接口</w:t>
            </w:r>
          </w:p>
          <w:p>
            <w:pPr>
              <w:pStyle w:val="null3"/>
            </w:pPr>
            <w:r>
              <w:rPr>
                <w:rFonts w:ascii="仿宋_GB2312" w:hAnsi="仿宋_GB2312" w:cs="仿宋_GB2312" w:eastAsia="仿宋_GB2312"/>
              </w:rPr>
              <w:t>5.能够模拟抽水蓄能机组发电、电动、调相等运行工况。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 15个日历日完成供货、安装、调试并交付使用。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 30 个日历日完成供货、安装、调试并交付使用。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 70 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西安理工大学曲江校区综合楼（以采购人指定位置为准）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西安理工大学曲江校区（以采购人指定位置为准）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进度款，供应商按照合同规定期限内供货、调试完成，经采购人最终验收合格并签署《验收合格确认书》后，供应商开具全额合法有效的增值税专用发票，达到付款条件起7个工作日内，支付合同总金额的100.0%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进度款，供应商按照合同规定期限内供货、调试完成，经采购人最终验收合格并签署《验收合格确认书》后，供应商开具全额合法有效的增值税专用发票，达到付款条件起7个工作日内，支付合同总金额的100.0%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①招标文件、投标文件及技术澄清文件（函）； ②国家、行业现行有效的技术标准、规 范、规程及强制性条文。（2）验收条件： ①供应商已按照合同规定提供了全部产品及完整的技术资料。 ②所供货物符合招标文件和投标文件技术规格要求，性能满足要求。 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 5 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 由此产生的所有费用由供应商承担，且更换后的设备质保期自新设备验收合格之日起重新计算。（4）验收流程： ①到货初检（采购人、供应商共同参与）：检查外包装完整性、防伪标识、运输损伤情况；核对货物型号、数量、规格是否与合同一致；检查随机文件（合格证、说明书、保修卡等）。 ②安装调试验收：设备安装符合 GB 50231-2009《机械设备安装工程施工及验收通用规范》；调试记录完整。 ③性能测试验收（关键指标实测）：连续运行 72小时无故障；关键参数与投标文件承诺值对比，符合文件相关规定。 ③最终验收：签署《验收合格确认书》，产品保修期自最终验收合格之日起算， 由供应商提供产品保修文件。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①招标文件、投标文件及技术澄清文件（函）； ②国家、行业现行有效的技术标准、规范、规程及强制性条文。（2）验收条件： ①供应商已按照合同规定提供了全部产品及完整的技术资料。 ②所供货物符合招标文件和投标文件技术规格要求，性能满足要求。 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 5 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 由此产生的所有费用由供应商承担，且更换后的设备质保期自新设备验收合格之日起重新计算。（4）验收流程： ①到货初检（采购人、供应商共同参与）：检查外包装完整性、防伪标识、运输损伤情况；核对货物型号、数量、规格是否与合同一致；检查随机文件（合格证、说明书、保修卡等）。 ②安装调试验收：设备安装符合 GB 50231-2009《机械设备安装工程施工及验收通用规范》；调试记录完整。 ③性能测试验收（关键指标实测）：连续运行 24小时无故障；关键参数与投标文件承诺值对比，符合文件相关规定。 ③最终验收：签署《验收合格确认书》，产品保修期自最终验收合格之日起算， 由供应商提供产品保修文件。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①招标文件、投标文件及技术澄清文件（函）； ②国家、行业现行有效的技术标准、规范、规程及强制性条文。（2）验收条件： ①供应商已按照合同规定提供了全部产品及完整的技术资料。 ②所供货物符合招标文件和投标文件技术规格要求，性能满足要求。 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 5 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 由此产生的所有费用由供应商承担，且更换后的设备质保期自新设备验收合格之日起重新计算。（4）验收流程： ①到货初检（采购人、供应商共同参与）：检查外包装完整性、防伪标识、运输损伤情况；核对货物型号、数量、规格是否与合同一致；检查随机文件（合格证、说明书、保修卡等）。 ②安装调试验收：设备安装符合 GB 50254-2014《电气装置安装工程 低压电器施工及验收规范》、GB 50168-2018《电气装置安装工程 电缆线路施工及验收标准》、GB50231-2009《机械设备安装工程施工及验收通用规范》；调试记录完整。 ③性能测试验收（关键指标实测）：连续运行 48小时无故障。 ③最终验收：签署《验收合格报告》 ，产品保修期自最终验收合格之日起算， 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 《快递包装政府采购需求标准（试行）》执行，确保防潮、 防震、 防锈蚀、防碎；包装箱外应清晰标明设备名称、编号、重量、尺寸及防雨、易碎、 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 《快递包装政府采购需求标准（试行）》执行，确保防潮、 防震、 防锈蚀、防碎；包装箱外应清晰标明设备名称、编号、重量、尺寸及防雨、易碎、 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（1）包装标准：供应商提供产品及相关快递服务的包装要求，按照《商品包装政府采购需求标准（试行）》、 《快递包装政府采购需求标准（试行）》执行，确保防潮、 防震、 防锈蚀、防碎；包装箱外应清晰标明设备名称、编号、重量、尺寸及防雨、易碎、 向上等标识；从而保证所供产品能够经受多次搬运、装卸及长途运输；产品运输过程中损失或丢失由供应商承担。（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1）质保要求：质保期 3 年（ 自验收合格出具验收报告之日起算）。质保期内出现任何非人为故意损坏的质量问题， 由供应商包换或包退，并承担调换或退货的全部费用。 ①质量标准：供应商的产品质量应当符合国家行业规定的标准，并无任何瑕疵；供应商应按配置清单要求提供原装产品，除人为因素损坏外，对该产品实行三包（ 即包修、包退、包换） ，及时提供所有设备正常使用所需的备品备件，且供应商维修所更换的配件和备品备件均为原设备厂家生产； ②不符约定处理：如交付品种、型号、规格不符合同约定的， 由供应商负责退换， 由此产生的一切费用及给采购人造成的相关损失由供应商全部承担并赔偿相应损失； ③不能修理或调换：如不能修理或者不能调换的，按不能交货处理， 因此给采购人造成的所有经济损失供应商应予全额赔偿； ④质保服务：保修期内由供应商提供质保，整套设备维修保障范围包含高速电机驱动器、高速电机、并联机器人、 电主轴及驱动器、 电机故障智能诊断平台等所有平台部件，其他按照国家新三包规定办理。采购人报修后 1 小时内快速响应，零小问题 24小时内上门解决，其他问题 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 ⑤瑕疵责任：供应商提供产品应无任何瑕疵，符合国际、国内相关标准。如在使用过程中本产品存在隐蔽瑕疵造成任何事故而引发的纠纷， 由供应商全额负责赔偿，并为采购人修复瑕疵或更新换代，其间产生的费用均由供应商承担。（ 2）安装调试及售后服务要求： ①安装调试要求：安装标准：执行 GB50231-2009《机械设备安装工程施工及验收通用规范》；调试周期：连续 72 小时无故障运行测试；人员培训：提供相关操作人员培训资料。②配套工程：包含安装设备所需各种工具（ 需提前 2 日做好准备）。 ③质量保证：按采购人及招标文件要求，为采购人提供全新的货物（包括零部件），对提供的货物在质保期内， 因产品质量而导致的缺陷，供应商须及时提供包修、包换、包退服务；超出质保期后，提供上门维修服务，仅收取成本费。 ④售后服务：响应时限：采购人报修后 1 小时内快速响应，零小问题 24小时内上门解决，其他问题 48小时内解决；定期维护：质保期内每年提供保养服务。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1）质保要求：质保期 1 年（ 自验收合格出具验收报告之日起算）。质保期内出现任何非人为故意损坏的质量问题， 由供应商包换或包退，并承担调换或退货的全部费用。 ①质量标准：供应商的产品质量应当符合国家行业规定的标准，并无任何瑕疵；供应商应按配置清单要求提供原装产品，除人为因素损坏外，对该产品实行三包（ 即包修、包退、包换） ，及时提供所有设备正常使用所需的备品备件，且供应商维修所更换的配件和备品备件均为原设备厂家生产； ②不符约定处理：如交付品种、型号、规格不符合同约定的， 由供应商负责退换， 由此产生的一切费用及给采购人造成的相关损失由供应商全部承担并赔偿相应损失； ③不能修理或调换：如不能修理或者不能调换的，按不能交货处理， 因此给采购人造成的所有经济损失供应商应予全额赔偿； ④质保服务：保修期内由供应商提供质保，整套设备维修保障范围包含高速电机驱动器、高速电机、并联机器人、 电主轴及驱动器、 电机故障智能诊断平台等所有平台部件，其他按照国家新三包规定办理。采购人报修后 1 小时内快速响应，零小问题 24小时内上门解决，其他问题 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 ⑤瑕疵责任：供应商提供产品应无任何瑕疵，符合国际、国内相关标准。如在使用过程中本产品存在隐蔽瑕疵造成任何事故而引发的纠纷， 由供应商全额负责赔偿，并为采购人修复瑕疵或更新换代，其间产生的费用均由供应商承担。（ 2）安装调试及售后服务要求： ①安装调试要求：安装标准：执行 GB50231-2009 规范及厂家标准施工，布线规整、接地牢固，符合实验室安全用电要求；调试周期：供应商负责全程调试、精度标定，连续 24小时无故障运行测试；人员培训：供应商现场培训操作人员，配套完整操作维保资料，确保人员熟练使用设备。配合完成验收，提交调试校准资料，验收合格后正式交付。 ②配套工程：a. 供应商负责设备卸车、转运、就位，提前 2 日备齐安装工具及器材，采购方仅提供场地。 b.供应商负责供电、接地、通讯布线及软件安装，保障设备稳定运行，施工安全由供应商负责。c.完工后清理现场，恢复场地原貌，不损坏现有设施。 ③质量保证：a.按采购人及招标文件要求，为采购人提供全新正品原厂货物，附带合格证明及质检报告；b.平台整机保修 1 年，涵盖全部零部件，质保期内免费维修、更换原厂配件、校准调试；c.配套测控软件、通讯系统质保 1 年，免费升级、修复漏洞；d.对提供的货物在质保期内， 因产品质量而导致的缺陷，供应商须及时提供包修、包换、包退服务；超出质保期后，提供上门维修服务，仅收取成本费。 ④售后服务：响应时限：采购人报修后 1 小时内快速响应，零小问题 24小时内上门解决，其他问题 48小时内解决；定期维护：质保期内每年提供保养服务。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1）质保要求：质保期 3 年（ 自验收合格出具验收报告之日起算）。质保期内出现任何非人为故意损坏的质量问题， 由供应商包换或包退，并承担调换或退货的全部费用。 ①质量标准：供应商的产品质量应当符合国家行业规定的标准，并无任何瑕疵；供应商应按配置清单要求提供原装产品，除人为因素损坏外，对该产品实行三包（ 即包修、包退、包换） ，及时提供所有设备正常使用所需的备品备件，且供应商维修所更换的配件和备品备件均为原设备厂家生产； ②不符约定处理：如交付品种、型号、规格不符合同约定的， 由供应商负责退换， 由此产生的一切费用及给采购人造成的相关损失由供应商全部承担并赔偿相应损失； ③不能修理或调换：如不能修理或者不能调换的，按不能交货处理， 因此给采购人造成的所有经济损失供应商应予全额赔偿； ④质保服务：保修期内由供应商提供质保，采购人报修后采购人报修后 1 小时内快速响应，零小问题 24小时内上门解决，其他问题 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 ⑤瑕疵责任：供应商提供产品应无任何瑕疵，符合国际、 国内相关标准。如在使用过程中本产品存在隐蔽瑕疵造成任何事故而引发的纠纷， 由供应商全额负责赔偿，并为采购人修复瑕疵或更新换代，其间产生的费用均由供应商承担。（ 2）安装调试及售后服务要求： ①安装调试要求：安装标准：设备安装符合 GB 50254-2014《电气装置安装工程低压电器施工及验收规范》、GB 50168-2018《电气装置安装工程 电缆线路施工及验收标准》、GB50231-2009 《机械设备安装工程施工及验收通用规范》；调试周期：连续 48小时无故障运行测试；人员培训：按采购人要求开展产品软硬件操作培训。提供相关操作人员培训资料。 ②配套工程：包含安装设备所需各种工具（需提前 2 日做好准备）。 ③质量保证：质保期内，供应商应对因产品设计、制造缺陷或安装调试问题导致的故障及时提供维修、更换零部件或整机更换服务；质保期外，供应商应提供终身维护服务， 仅收取合理的零部件成本费及人工服务费。 ④售后服务：响应时限：供应商应建立 7 ×24 小时售后服务热线，保证全年接收报修信息；质保期内，接到用户报修通知后，1 小时内响应并提供远程技术指导，若远程无法解决问题，需在 24小时内安排技术人员到达现场，市外地区需在 48小时内到达现场；现场故障应在 48小时内排除，若因特殊情况无法及时修复，供应商需提供同等性能的备用设备供用户临时使用，直至故障设备修复完毕。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 中的相关条款执行；（2）供应商应对其工作人员人身安全负责，如因工作人员在履行职务过程中的疏忽、失职、过错等故意或者过失原因给采购人造成损失或侵害，包括但不限于采购人本身的财产损失（直接损失、 间接损失、采购人为避免损失扩大或维权而支出的律师费、诉讼费、保全费、鉴定费、差旅费等所有合理费用等）、 由此而导致的采购人对任何第三方的法律责任等，供应商对此均应承担全部的赔偿责任；（3）未按合同要求提供设备或提供的设备质量或规格不能满足技术要求，采购人有权终止合同并对供应商违约行为进行追究， 同时按政府采购法的有关规定进行相应的处罚；（4）若供应商发生延迟交货，每延迟 1 日，应向采购人支付合同总金额 1‰的违约金；延迟超过 15 日的，采购人有权单方解除合同，并要求供应商支付合同总金额 20%的违约金，如该违约金不足以弥补采购人损失的，供应商还应予以赔偿。（5）合同履行过程中出现争议时， 由双方友好协商解决。协商不成， 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 中的相关条款执行；（2）供应商应对其工作人员人身安全负责，如因工作人员在履行职务过程中的疏忽、失职、过错等故意或者过失原因给采购人造成损失或侵害，包括但不限于采购人本身的财产损失（直接损失、 间接损失、采购人为避免损失扩大或维权而支出的律师费、诉讼费、保全费、鉴定费、差旅费等所有合理费用等）、 由此而导致的采购人对任何第三方的法律责任等，供应商对此均应承担全部的赔偿责任；（3）未按合同要求提供设备或提供的设备质量或规格不能满足技术要求，采购人有权终止合同并对供应商违约行为进行追究， 同时按政府采购法的有关规定进行相应的处罚；（4）若供应商发生延迟交货，每延迟 1 日，应向采购人支付合同总金额 1‰的违约金；延迟超过 15 日的，采购人有权单方解除合同，并要求供应商支付合同总金额 20%的违约金，如该违约金不足以弥补采购人损失的，供应商还应予以赔偿。（5）合同履行过程中出现争议时， 由双方友好协商解决。协商不成， 向采购人所在地有管辖权的人民法院提起诉讼。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（1）合同违约情况按《中华人民共和国民法典》 中的相关条款执行；（2）供应商应对其工作人员人身安全负责，如因工作人员在履行职务过程中的疏忽、失职、过错等故意或者过失原因给采购人造成损失或侵害，包括但不限于采购人本身的财产损失（直接损失、 间接损失、采购人为避免损失扩大或维权而支出的律师费、诉讼费、保全费、鉴定费、差旅费等所有合理费用等）、 由此而导致的采购人对任何第三方的法律责任等，供应商对此均应承担全部的赔偿责任；（3）未按合同要求提供设备或提供的设备质量或规格不能满足技术要求，采购人有权终止合同并对供应商违约行为进行追究， 同时按政府采购法的有关规定进行相应的处罚；（4）若供应商发生延迟交货，每延迟 1 日，应向采购人支付合同总金额 1‰的违约金；延迟超过 15 日的，采购人有权单方解除合同，并要求供应商支付合同总金额 20%的违约金，如该违约金不足以弥补采购人损失的，供应商还应予以赔偿。（5）合同履行过程中出现争议时， 由双方友好协商解决。协商不成， 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 3 日内提交纸质投标文件肆份（正本壹份、副本叁份），纸质版投标文件需包含目录、无少页、缺页、连续页码（要求首封面为第 1页，从第 2 页开始连续编辑页码），封面加盖投标人公章及骑缝章。纸质版文件内容应与电子版文件内容保持一致。递交地点：西安市雁塔区南二环东段凯森盛世 1 号 B 座 2606 室； （2）以保函形式交纳投标保证金的，投标人应在投标截止时间前将保函扫描成清晰的 PDF 文件，发送至邮箱 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3）本项目可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 附法定代表人/负责人、被授权人身份证复印件及被授权人近半年任意一个月社保缴纳证明或劳动合同。）（ 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 附法定代表人/负责人、被授权人身份证复印件及被授权人近半年任意一个月社保缴纳证明或劳动合同。）（ 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 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 附法定代表人/负责人、被授权人身份证复印件及被授权人近半年任意一个月社保缴纳证明或劳动合同。）（ 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 号）； （2）《政府采购促进中小企业发展管理办法》 （财库〔2020〕46 号 ）、《关于进一步加大政府采购支持中小企业力 度的通知》（财库〔2022〕19 号 ） 《关于政府采购支持监狱企业发展 有关问题的通知》（财库〔2014〕68号）以及《关于促进残疾人就业政府采购政策的通知》（财库〔2017〕141号）； （3）国务院办公厅《关于建立政府强制采购节能产品制度的通 知》（ 国办发〔2007〕51 号 ）、财政部、国家发改委、生态环境部、市监总局联合印发《关于调整优化节能产品、环境标志产品政府采购执行机制的通知》（财库〔2019〕9 号 ）；（4）《陕西省财政厅关于加快推进我省中小企业政府采购信用融资工作的通知》（ 陕财办采〔2020〕15 号）、陕西省财政厅关于印发《陕西省中小企业政府采购信用融资办法》（ 陕财办采〔2018〕23 号 ）；（5）根据《国务院办公厅关于在政府采购中实施本国产品标准及相关政策的通知 》（ 国办发〔2025〕34 号 ），政府采购活动中既有本国产品又有非本国产品参与竞争的，依法对本国产品给予价格评审优惠，对本国产品的报价给予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 号）；（2）《政府采购促进中小企业发展管理办法》（财库〔2020〕46 号 ）、《关于进一步加大政府采购支持中小企业力 度的通知》（财库〔2022〕19 号 ） 《关于政府采购支持监狱企业发展 有关问题的通知》（财库〔2014〕68号）以及《关于促进残疾人就业政府采购政策的通知》（财库〔2017〕141号）；（3）国务院办公厅《关于建立政府强制采购节能产品制度的通 知》（ 国办发〔2007〕51 号 ）、财政部、国家发改委、生态环境部、市监总局联合印发《关于调整优化节能产品、环境标志产品政府采购执行机制的通知》（财库〔2019〕9 号 ）；（4）《陕西省财政厅关于加快推进我省中小企业政府采购信用融资工作的通知》（ 陕财办采〔2020〕15 号）、陕西省财政厅关于印发《陕西省中小企业政府采购信用融资办法》（ 陕财办采〔2018〕23 号 ）；（5）根据《国务院办公厅关于在政府采购中实施本国产品标准及相关政策的通知 》（ 国办发〔2025〕34 号 ），政府采购活动中既有本国产品又有非本国产品参与竞争的，依法对本国产品给予价格评审优惠，对本国产品的报价给予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 号）；（2）《政府采购促进中小企业发展管理办法》（财库〔2020〕46 号 ）、《关于进一步加大政府采购支持中小企业力 度的通知》（财库〔2022〕19 号 ） 《关于政府采购支持监狱企业发展 有关问题的通知》（财库〔2014〕68号）以及《关于促进残疾人就业政府采购政策的通知》（财库〔2017〕141号）；（3）国务院办公厅《关于建立政府强制采购节能产品制度的通 知》（ 国办发〔2007〕51 号 ）、财政部、国家发改委、生态环境部、市监总局联合印发《关于调整优化节能产品、环境标志产品政府采购执行机制的通知》（财库〔2019〕9 号 ）；（4）《陕西省财政厅关于加快推进我省中小企业政府采购信用融资工作的通知》（ 陕财办采〔2020〕15 号）、陕西省财政厅关于印发《陕西省中小企业政府采购信用融资办法》（ 陕财办采〔2018〕23 号 ）；（5）根据《国务院办公厅关于在政府采购中实施本国产品标准及相关政策的通知 》（ 国办发〔2025〕34 号 ），政府采购活动中既有本国产品又有非本国产品参与竞争的，依法对本国产品给予价格评审优惠，对本国产品的报价给予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 号）政府采购评审中出现下列情形之一的，评审委员会应当启动异常低价投标（响应） 审查程序： ①投标（响应）报价低于全部通过符合性审查供应商投标（响应）报价平均值 50%的，即投标（响应）报价&lt;全部通过符合性审查供应商投标（响应）报价平均值×50%； ②投标（响应）报价低于通过符合性审查的次低报价供应商投标（响应）报价 50%的，即投标（响应）报价&lt;通过符合性审查的次低报价供应商投标（响应）报价×50%； ③投标（响应）报价低于采购项目最高限价 45%的，即投标（响应）报价&lt;采购项目最高限价×45%； ④评审委员会基于专业判断，认为供应商报价过低，有可能影响产品质量或者不能诚信履约的其他情形。 启动异常低价投标（响应） 审查后，属于前述第①项至第④项情形的，供应商在评审现场 30 分钟内对投标 （响应）价格作出解释，提供项目具体成本测算等与报价合理性相关的书面说明及必要的证明材料，包括但不限于原材料成本、人工成本、制造费用等。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 3.4 商务要求及 3.5 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 ”项参数响应不得负偏离，并提供佐证材料（佐证材料包括：国家认可的第三方检测机构出具的检测报告、技术白皮书、产品彩页、官网功能截图任意一种），参数负偏离或未提供证明材料，视为未响应。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 号）政府采购评审中出现下列情形之一的，评审委员会应当启动异常低价投标（响应） 审查程序： ①投标（响应）报价低于全部通过符合性审查供应商投标（响应）报价平均值 50%的，即投标（响应）报价&lt;全部通过符合性审查供应商投标（响应）报价平均值×50%； ②投标（响应）报价低于通过符合性审查的次低报价供应商投标（响应）报价 50%的，即投标（响应）报价&lt;通过符合性审查的次低报价供应商投标（响应）报价×50%； ③投标（响应）报价低于采购项目最高限价 45%的，即投标（响应）报价&lt;采购项目最高限价×45%； ④评审委员会基于专业判断，认为供应商报价过低，有可能影响产品质量或者不能诚信履约的其他情形。 启动异常低价投标（响应） 审查后，属于前述第①项至第④项情形的，供应商在评审现场 30 分钟内对投标 （响应）价格作出解释，提供项目具体成本测算等与报价合理性相关的书面说明及必要的证明材料，包括但不限于原材料成本、人工成本、制造费用等。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 3.4 商务要求及 3.5 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 ”项参数响应不得负偏离，并提供佐证材料（佐证材料包括：国家认可的第三方检测机构出具的检测报告、技术白皮书、产品彩页、官网功能截图任意一种），参数负偏离或未提供证明材料，视为未响应。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 号）政府采购评审中出现下列情形之一的，评审委员会应当启动异常低价投标（响应） 审查程序： ①投标（响应）报价低于全部通过符合性审查供应商投标（响应）报价平均值 50%的，即投标（响应）报价&lt;全部通过符合性审查供应商投标（响应）报价平均值×50%； ②投标（响应）报价低于通过符合性审查的次低报价供应商投标（响应）报价 50%的，即投标（响应）报价&lt;通过符合性审查的次低报价供应商投标（响应）报价×50%； ③投标（响应）报价低于采购项目最高限价 45%的，即投标（响应）报价&lt;采购项目最高限价×45%； ④评审委员会基于专业判断，认为供应商报价过低，有可能影响产品质量或者不能诚信履约的其他情形。 启动异常低价投标（响应） 审查后，属于前述第①项至第④项情形的，供应商在评审现场 30 分钟内对投标 （响应）价格作出解释，提供项目具体成本测算等与报价合理性相关的书面说明及必要的证明材料，包括但不限于原材料成本、人工成本、制造费用等。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 3.4 商务要求及 3.5 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 5个工作日内，供应商向采购人缴纳履约保证金（合同金额的 5%） ”的要求（合格），不满足（不合格）。招标文件未约定收取履约保证金的可不提交。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 ”项参数响应不得负偏离，并提供佐证材料（佐证材料包括：国家认可的第三方检测机构出具的检测报告、技术白皮书、产品彩页、官网功能截图任意一种），参数负偏离或未提供证明材料，视为未响应。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 ”项为实质性要求，不满足视为未响应投标无效，不参与后续评分。 完全符合、响应招标文件要求，没有负偏离的得 34 分； “▲ ”参数（共 8 项）负偏离一项扣 2.5 分，非“▲ ”参数（共 14 项）负偏离一项扣 1 分，扣完为止。 【备注：所有标注“▲ ”的参数均须提供佐证材料，佐证材料包括：国家认可的第三方检测机构出具的检测报告、技术白皮书、产品彩页、官网功能截图任意一种，经评审专家审定得分。未提供不得分。】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 二、评审标准 1、完整性：方案须全面，对评审内容中的各项要求有详细描述； 2、可实施性及针对性：切合本项目实际情况，实施步骤清晰、内容科学合理。 三、赋分依据（满分 6 分） ①供货组织及进度安排：每完全满足一个评审标准得 1 分，满分 2 分； ②对接及运输方案:每完全满足一个评审标准得 1 分，满分 2 分。 ③安装调试方案：每完全满足一个评审标准得 1 分，满分 2 分; 内容有缺陷扣0.5 分，缺项或未提供得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根据项目实际需求，提供完整详细的项目质量保证方案。内容包含①产品性能②质量保证体系③质量保证措施。 二、评审标准 1、完整性：方案须全面，对评审内容中的各项要求有详细描述； 2、可实施性及针对性：切合本项目实际情况，实施步骤清晰、内容科学合理。 三、赋分依据（满分 6 分） ①产品性能：每完全满足一个评审标准得 1 分，满分 2 分； ②质量保证体系：每完全满足一个评审标准得 1 分，满分 2 分; ③质量保证措施：每完全满足一个评审标准得 1 分，满分 2 分; 内容有缺陷扣0.5 分，缺项或未提供得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根据项目实际需求提供售后服务方案。内容包含①售后服务内容及响应时间、方式②故障处理、补救措施及定期回访维护。 二、评审标准 1、完整性：方案须全面，对评审内容中的各项要求描述详细； 2、可实施性及针对性：切合本项目实际情况，实施步骤清晰、内容科学合理。 三、赋分依据（满分4 分） ①售后服务内容及响应时间、方式：每完全满足一个评审标准得 1 分，满分 2 分； ②故障处理、补救措施及定期回访维护:每完全满足一个评审标准得 1 分，满分 2 分。 内容有缺陷扣0.5 分，缺项或未提供得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 ②配件更换服务及其他服务。 二、评审标准 1、完整性：方案须全面，对评审内容中的各项要求描述详细； 2、可实施性及针对性：切合本项目实际情况，实施步骤清晰、内容科学合理。 三、赋分依据（满分4 分） ①硬件、软件更新服务：每完全满足一个评审标准得 1 分，满分 2 分； ②配件更换服务及其他服务:每完全满足一个评审标准得 1 分，满分 2 分。内容有缺陷扣0.5 分，缺项或未提供得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质保期高于采购文件要求（3 年）的，每增加一年得 0.5 分，最高得 1 分。无承诺不得分。 【提供承诺书并加盖公章】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 1 日至今类似项目业绩（仅限投标人本身业绩，以合同签订日期为准），每份合格业绩合同计 1 分，满分 5 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 40 分。 3、按（评标基准价/评审价格） ×40的公式计算报价得分。 4、投标报价不完整的，不进入评标基准价的计算，本项得 0 分。 备注： 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 ”项为实质性要求，不满足视为未响应投标无效，不参与后续评分。 完全符合、响应招标文件要求，没有负偏离的得 34分；“▲ ”参数（共 8 项）负偏离一项扣 1.5 分，非“▲ ”参数（共 22项）负偏离一项扣 1分，扣完为止。 【备注：所有标注“▲ ”的参数均须提供佐证材料，佐证材料包括： 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 二、评审标准 1、完整性：方案须全面，对评审内容中的各项要求有详细描述； 2、可实施性及针对性：切合本项目实际情况，实施步骤清晰、 内容科学合理。 三、赋分依据（满分 6 分） ①供货组织及进度安排：每完全满足一个评审标准得 1 分，满分 2 分； ②对接及运输方案:每完全满足一个评审标准得 1 分，满分 2 分。 ③安装调试方案：每完全满足一个评审标准得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根据项目实际需求，提供完整详细的项目质量保证方案。内容包含①产品性能②质量保证体系③质量保证措施。 二、评审标准 1、完整性：方案须全面，对评审内容中的各项要求有详细描述； 2、可实施性及针对性：切合本项目实际情况，实施步骤清晰、 内容科学合理。 三、赋分依据（满分 6 分） ①产品性能：每完全满足一个评审标准得 1分，满分 2 分； ②质量保证体系：每完全满足一个评审标准得 1 分，满分 2 分 ③质量保证措施：每完全满足一个评审标准得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根据项目实际需求提供售后服务方案。内容包含①售后服务内容及响应时间、方式②售后保障（处理、补救）措施及售后回访维护。 二、评审标准 1、完整性：方案须全面，对评审内容中的各项要求描述详细； 2、可实施性及针对性：切合本项目实际情况，实施步骤清晰、 内容科学合理。 三、赋分依据（满分4 分） ①售后服务内容及响应时间、方式：每完全满足一个评审标准得 1 分，满分2 分； ②售后保障（处理、补救）措施及售后回访维护:每完全满足一个评审标准得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 内容科学合理。 三、赋分依据（满分4 分） ①硬件、软件更新服务：每完全满足一个评审标准得 1 分，满分 2 分； ②配件更换服务及其他服务:每完全满足一个评审标准得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质保期高于采购文件要求（1 年）的，每增加一年得 0.5分，最高得1分。无承诺不得分。 【提供承诺书并加盖公章】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 年 1 月 1 日至今类似项目业绩（仅限投标人本身业绩，以合同签订日期为准），每份合格业绩合同计 1 分，满分5 分。 【需提供业绩完整合同及对应货款发票复 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 40 分。 3、按（评标基准价/评审价格） ×40 的公式计算报价得分。 4、投标报价不完整的，不进入评标基准价的计算，本项得 0 分。 备注： 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 ”项为实质性要求，不满足视为未响应投标无效，不参与后续评分。 完全符合、响应招标文件要求，没有负偏离的得 34 分；“▲ ”参数（共 8 项）负偏离一项扣2 分，非“▲ ”参数负偏离一项扣 0.5 分，扣完为止。 【备注：所有标注“▲ ”的参数均须提供佐证材料，佐证材料包括： 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 内容包含①供货组织及进度安排②对接及运输方案③安装调试方案。 二、评审标准 1、完整性：方案须全面，对评审内容中的各项要求有详细描述； 2、可实施性及针对性：切合本项目实际情况，实施步骤清晰、 内容科学合理。 三、赋分依据（满分6 分） ①供货组织及进度安排：每完全满足一个评审标准得 1 分，满分 2 分； ②对接及运输方案:每完全满足一个评审标准得 1 分，满分 2 分。 ③安装调试方案：每完全满足一个评审标准得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 内容包含①质量检验及质检方案②质量保证措施。 二、评审标准 1、完整性：方案须全面，对评审内容中的各项要求有详细描述； 2、可实施性及针对性：切合本项目实际情况，实施步骤清晰、 内容科学合理。 三、赋分依据（满分4 分） ①产品性能：每完全满足一个评审标准得 1分，满分 2 分； ②质量保证措施：每完全满足一个评审标准得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 内容包含①售后服务体系、 内容、人员及响应时间②售后服务承诺及质保期满后售后服务保证。 二、评审标准 1、完整性：方案须全面，对评审内容中的各项要求描述详细； 2、可实施性及针对性：切合本项目实际情况，实施步骤清晰、 内容科学合理。 三、赋分依据（满分4 分） ①售后服务体系、 内容、人员及响应时间：每完全满足一个评审标准得 1 分，满分2 分； ②售后服务承诺及质保期满后售后服务保 证:每完全满足一个评审标准得 1 分，满分2分。 内容有缺陷扣0.5 分，缺项或未提供得0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 内容包含①培训计划、时长及人员安排②培训内容及形式。 二、评审标准 1、完整性：方案须全面，对评审内容中的各项要求描述详细； 2、可实施性及针对性：切合本项目实际情况，实施步骤清晰、 内容科学合理。 三、赋分依据（满分4 分） ①培训计划、时长及人员安排：每完全满足一个评审标准得 1 分，满分 2 分； ②培训内容及形式:每完全满足一个评审标准得 1 分，满分 2 分。 内容有缺陷扣0.5 分，缺项或未提供得0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 内容包含①硬件、软件更新服务②配件更换服务及其他服务。 二、评审标准 1、完整性：方案须全面，对评审内容中的各项要求描述详细； 2、可实施性及针对性：切合本项目实际情况，实施步骤清晰、 内容科学合理。 三、赋分依据（满分 2 分） ①硬件、软件更新服务：每完全满足一个评审标准得 0.5 分，满分 1 分； ②配件更换服务及其他服务:每完全满足一个评审标准得 0.5 分，满分 1 分。 缺项或未提供得0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质保期高于采购文件要求（3 年）的，每增加一年得0.5 分，最高得 1 分。无承诺不得分。 【提供承诺书并加盖公章】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 1 日至今类似项目业绩（仅限投标人本身业绩，以合同签订日期为准），每份合格业绩合同计 1 分，满分 5 分。 【需提供业绩完整合同及对应货款发票复印件（任意一张），并加盖投标人公章， 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 40 分。 3、按（评标基准价/评审价格） ×40 的公式计算报价得分。 4、投标报价不完整的，不进入评标基准价的计算，本项得 0 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